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সাধারণ শাখা</w:t>
      </w:r>
    </w:p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হিসাব শাখা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প্রশাসনিক যাবতীয় কাজ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২) উপজেলার সকল বিভাগীয় অফিসের কাজের তদারকি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৩) হাট-বাজার ও সায়রাত মহল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৪) উপজেলা বাসা-বাড়ি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৫) উপজেলা রাজস্ব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৬) স্থাবর সম্পত্তি হস্তান্তর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নির্বাহি অফিসারের কার্যালয়ের কর্মচারিদের বেতন ভাতাদি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২) বিভিন্ন অনুদান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৩) ইউনিয়ন পরিষদ কর্মচারিদের বেতন ভাতাদি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৪) চেয়ারম্যান/সদস্যদের সম্মানি ভাতা সংক্রান্ত</w:t>
      </w:r>
    </w:p>
    <w:p w:rsidR="008D6301" w:rsidRDefault="008D6301" w:rsidP="008D6301">
      <w:pPr>
        <w:pStyle w:val="NormalWeb"/>
      </w:pPr>
    </w:p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শিক্ষা শাখা</w:t>
      </w:r>
    </w:p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নির্বাহি ম্যাজিস্ট্রেটের আদালত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শিক্ষা সংক্রান্ত যাবতীয় কাজ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২) পাবলিক পরীক্ষা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ভ্রাম্যমান আদালত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২) ইভটিজিং সংক্রান্ত</w:t>
      </w:r>
    </w:p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সার্টিফিকেট শাখা</w:t>
      </w:r>
    </w:p>
    <w:p w:rsidR="008D6301" w:rsidRDefault="008D6301" w:rsidP="008D6301">
      <w:pPr>
        <w:pStyle w:val="NormalWeb"/>
      </w:pPr>
      <w:r>
        <w:rPr>
          <w:rStyle w:val="Strong"/>
          <w:rFonts w:cs="Vrinda"/>
          <w:cs/>
        </w:rPr>
        <w:t>গোপনীয় শাখা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কৃষি ঋণ মোকর্দ্দমা সংক্রান্ত</w:t>
      </w:r>
    </w:p>
    <w:p w:rsidR="008D6301" w:rsidRDefault="008D6301" w:rsidP="008D6301">
      <w:pPr>
        <w:pStyle w:val="NormalWeb"/>
      </w:pPr>
      <w:r>
        <w:rPr>
          <w:rFonts w:cs="Vrinda"/>
          <w:cs/>
        </w:rPr>
        <w:t>১) অফিসের যাবতীয় গোপনীয় কাজ সংক্রান্ত</w:t>
      </w:r>
    </w:p>
    <w:p w:rsidR="005C4292" w:rsidRDefault="005C4292"/>
    <w:sectPr w:rsidR="005C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6301"/>
    <w:rsid w:val="005C4292"/>
    <w:rsid w:val="008D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3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COMPUTER'S PATHOLOGY @ UTTARA HM PLAZA SHOP # 35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SSA. SAZIB # 01671417741 # 01816746474</dc:creator>
  <cp:keywords/>
  <dc:description/>
  <cp:lastModifiedBy>SSA. SAZIB # 01671417741 # 01816746474</cp:lastModifiedBy>
  <cp:revision>2</cp:revision>
  <dcterms:created xsi:type="dcterms:W3CDTF">2017-08-05T04:40:00Z</dcterms:created>
  <dcterms:modified xsi:type="dcterms:W3CDTF">2017-08-05T04:40:00Z</dcterms:modified>
</cp:coreProperties>
</file>