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shd w:val="clear" w:color="auto" w:fill="FFFFFF"/>
        <w:tblCellMar>
          <w:left w:w="0" w:type="dxa"/>
          <w:right w:w="0" w:type="dxa"/>
        </w:tblCellMar>
        <w:tblLook w:val="04A0"/>
      </w:tblPr>
      <w:tblGrid>
        <w:gridCol w:w="187"/>
        <w:gridCol w:w="1778"/>
        <w:gridCol w:w="468"/>
        <w:gridCol w:w="4493"/>
        <w:gridCol w:w="2434"/>
      </w:tblGrid>
      <w:tr w:rsidR="00CA49F8" w:rsidRPr="00CA49F8" w:rsidTr="00CA49F8">
        <w:trPr>
          <w:tblCellSpacing w:w="0" w:type="dxa"/>
          <w:jc w:val="center"/>
        </w:trPr>
        <w:tc>
          <w:tcPr>
            <w:tcW w:w="0" w:type="auto"/>
            <w:gridSpan w:val="5"/>
            <w:shd w:val="clear" w:color="auto" w:fill="5D65B0"/>
            <w:vAlign w:val="center"/>
            <w:hideMark/>
          </w:tcPr>
          <w:tbl>
            <w:tblPr>
              <w:tblW w:w="5000" w:type="pct"/>
              <w:jc w:val="center"/>
              <w:tblCellSpacing w:w="0" w:type="dxa"/>
              <w:tblCellMar>
                <w:left w:w="0" w:type="dxa"/>
                <w:right w:w="0" w:type="dxa"/>
              </w:tblCellMar>
              <w:tblLook w:val="04A0"/>
            </w:tblPr>
            <w:tblGrid>
              <w:gridCol w:w="9360"/>
            </w:tblGrid>
            <w:tr w:rsidR="00CA49F8" w:rsidRPr="00CA49F8">
              <w:trPr>
                <w:tblCellSpacing w:w="0" w:type="dxa"/>
                <w:jc w:val="center"/>
              </w:trPr>
              <w:tc>
                <w:tcPr>
                  <w:tcW w:w="0" w:type="auto"/>
                  <w:shd w:val="clear" w:color="auto" w:fill="5D65B0"/>
                  <w:vAlign w:val="center"/>
                  <w:hideMark/>
                </w:tcPr>
                <w:p w:rsidR="00CA49F8" w:rsidRPr="00CA49F8" w:rsidRDefault="00CA49F8" w:rsidP="00CA49F8">
                  <w:pPr>
                    <w:spacing w:after="0" w:line="240" w:lineRule="auto"/>
                    <w:jc w:val="center"/>
                    <w:rPr>
                      <w:rFonts w:ascii="Times New Roman" w:eastAsia="Times New Roman" w:hAnsi="Times New Roman" w:cs="Times New Roman"/>
                      <w:sz w:val="24"/>
                      <w:szCs w:val="24"/>
                    </w:rPr>
                  </w:pPr>
                  <w:r w:rsidRPr="00CA49F8">
                    <w:rPr>
                      <w:rFonts w:ascii="Verdana" w:eastAsia="Times New Roman" w:hAnsi="Verdana" w:cs="Times New Roman"/>
                      <w:b/>
                      <w:bCs/>
                      <w:color w:val="FFFFFF"/>
                      <w:sz w:val="17"/>
                    </w:rPr>
                    <w:t>THE BANGLADESH PETROLEUM ACT, 1974 </w:t>
                  </w:r>
                  <w:r w:rsidRPr="00CA49F8">
                    <w:rPr>
                      <w:rFonts w:ascii="Verdana" w:eastAsia="Times New Roman" w:hAnsi="Verdana" w:cs="Times New Roman"/>
                      <w:b/>
                      <w:bCs/>
                      <w:color w:val="FFFFFF"/>
                      <w:sz w:val="17"/>
                      <w:szCs w:val="17"/>
                    </w:rPr>
                    <w:br/>
                  </w:r>
                  <w:r w:rsidRPr="00CA49F8">
                    <w:rPr>
                      <w:rFonts w:ascii="Verdana" w:eastAsia="Times New Roman" w:hAnsi="Verdana" w:cs="Times New Roman"/>
                      <w:b/>
                      <w:bCs/>
                      <w:color w:val="FFFFFF"/>
                      <w:sz w:val="17"/>
                      <w:szCs w:val="17"/>
                    </w:rPr>
                    <w:br/>
                  </w:r>
                  <w:r w:rsidRPr="00CA49F8">
                    <w:rPr>
                      <w:rFonts w:ascii="Arial" w:eastAsia="Times New Roman" w:hAnsi="Arial" w:cs="Arial"/>
                      <w:color w:val="FFFFFF"/>
                      <w:sz w:val="20"/>
                    </w:rPr>
                    <w:t>(ACT NO. LXIX OF 1974).</w:t>
                  </w:r>
                </w:p>
              </w:tc>
            </w:tr>
          </w:tbl>
          <w:p w:rsidR="00CA49F8" w:rsidRPr="00CA49F8" w:rsidRDefault="00CA49F8" w:rsidP="00CA49F8">
            <w:pPr>
              <w:spacing w:after="0" w:line="240" w:lineRule="auto"/>
              <w:jc w:val="center"/>
              <w:rPr>
                <w:rFonts w:ascii="Arial" w:eastAsia="Times New Roman" w:hAnsi="Arial" w:cs="Arial"/>
                <w:color w:val="000000"/>
                <w:sz w:val="14"/>
                <w:szCs w:val="14"/>
              </w:rPr>
            </w:pPr>
          </w:p>
        </w:tc>
      </w:tr>
      <w:tr w:rsidR="00CA49F8" w:rsidRPr="00CA49F8" w:rsidTr="00CA49F8">
        <w:trPr>
          <w:tblCellSpacing w:w="0" w:type="dxa"/>
          <w:jc w:val="center"/>
        </w:trPr>
        <w:tc>
          <w:tcPr>
            <w:tcW w:w="0" w:type="auto"/>
            <w:gridSpan w:val="3"/>
            <w:shd w:val="clear" w:color="auto" w:fill="000066"/>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bookmarkStart w:id="0" w:name="top"/>
            <w:bookmarkEnd w:id="0"/>
          </w:p>
        </w:tc>
        <w:tc>
          <w:tcPr>
            <w:tcW w:w="0" w:type="auto"/>
            <w:gridSpan w:val="2"/>
            <w:shd w:val="clear" w:color="auto" w:fill="000066"/>
            <w:vAlign w:val="center"/>
            <w:hideMark/>
          </w:tcPr>
          <w:p w:rsidR="00CA49F8" w:rsidRPr="00CA49F8" w:rsidRDefault="00CA49F8" w:rsidP="00CA49F8">
            <w:pPr>
              <w:spacing w:after="0" w:line="240" w:lineRule="auto"/>
              <w:jc w:val="right"/>
              <w:rPr>
                <w:rFonts w:ascii="Verdana" w:eastAsia="Times New Roman" w:hAnsi="Verdana" w:cs="Arial"/>
                <w:color w:val="FFFFFF"/>
                <w:sz w:val="13"/>
                <w:szCs w:val="13"/>
              </w:rPr>
            </w:pPr>
            <w:r w:rsidRPr="00CA49F8">
              <w:rPr>
                <w:rFonts w:ascii="Verdana" w:eastAsia="Times New Roman" w:hAnsi="Verdana" w:cs="Arial"/>
                <w:color w:val="FFFFFF"/>
                <w:sz w:val="13"/>
                <w:szCs w:val="13"/>
              </w:rPr>
              <w:t>[</w:t>
            </w:r>
            <w:r w:rsidRPr="00CA49F8">
              <w:rPr>
                <w:rFonts w:ascii="Verdana" w:eastAsia="Times New Roman" w:hAnsi="Verdana" w:cs="Arial"/>
                <w:i/>
                <w:iCs/>
                <w:color w:val="FFFFFF"/>
                <w:sz w:val="13"/>
                <w:szCs w:val="13"/>
              </w:rPr>
              <w:t>28th November, 1974</w:t>
            </w:r>
            <w:r w:rsidRPr="00CA49F8">
              <w:rPr>
                <w:rFonts w:ascii="Verdana" w:eastAsia="Times New Roman" w:hAnsi="Verdana" w:cs="Arial"/>
                <w:color w:val="FFFFFF"/>
                <w:sz w:val="13"/>
                <w:szCs w:val="13"/>
              </w:rPr>
              <w:t>]</w:t>
            </w:r>
          </w:p>
        </w:tc>
      </w:tr>
      <w:tr w:rsidR="00CA49F8" w:rsidRPr="00CA49F8" w:rsidTr="00CA49F8">
        <w:trPr>
          <w:tblCellSpacing w:w="0" w:type="dxa"/>
          <w:jc w:val="center"/>
        </w:trPr>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240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130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5"/>
            <w:shd w:val="clear" w:color="auto" w:fill="FFFFFF"/>
            <w:vAlign w:val="center"/>
            <w:hideMark/>
          </w:tcPr>
          <w:tbl>
            <w:tblPr>
              <w:tblW w:w="5000" w:type="pct"/>
              <w:jc w:val="center"/>
              <w:tblCellSpacing w:w="0" w:type="dxa"/>
              <w:tblCellMar>
                <w:left w:w="0" w:type="dxa"/>
                <w:right w:w="0" w:type="dxa"/>
              </w:tblCellMar>
              <w:tblLook w:val="04A0"/>
            </w:tblPr>
            <w:tblGrid>
              <w:gridCol w:w="1123"/>
              <w:gridCol w:w="8237"/>
            </w:tblGrid>
            <w:tr w:rsidR="00CA49F8" w:rsidRPr="00CA49F8">
              <w:trPr>
                <w:tblCellSpacing w:w="0" w:type="dxa"/>
                <w:jc w:val="center"/>
              </w:trPr>
              <w:tc>
                <w:tcPr>
                  <w:tcW w:w="600" w:type="pct"/>
                  <w:vAlign w:val="center"/>
                  <w:hideMark/>
                </w:tcPr>
                <w:p w:rsidR="00CA49F8" w:rsidRPr="00CA49F8" w:rsidRDefault="00CA49F8" w:rsidP="00CA49F8">
                  <w:pPr>
                    <w:spacing w:after="0" w:line="240" w:lineRule="auto"/>
                    <w:rPr>
                      <w:rFonts w:ascii="Verdana" w:eastAsia="Times New Roman" w:hAnsi="Verdana" w:cs="Times New Roman"/>
                      <w:color w:val="000000"/>
                      <w:sz w:val="13"/>
                      <w:szCs w:val="13"/>
                    </w:rPr>
                  </w:pPr>
                </w:p>
              </w:tc>
              <w:tc>
                <w:tcPr>
                  <w:tcW w:w="0" w:type="auto"/>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rPr>
                      <w:rFonts w:ascii="Arial" w:eastAsia="Times New Roman" w:hAnsi="Arial" w:cs="Arial"/>
                      <w:color w:val="000000"/>
                      <w:sz w:val="20"/>
                      <w:szCs w:val="20"/>
                    </w:rPr>
                  </w:pPr>
                  <w:r w:rsidRPr="00CA49F8">
                    <w:rPr>
                      <w:rFonts w:ascii="Arial" w:eastAsia="Times New Roman" w:hAnsi="Arial" w:cs="Arial"/>
                      <w:b/>
                      <w:bCs/>
                      <w:color w:val="000000"/>
                      <w:sz w:val="20"/>
                      <w:szCs w:val="20"/>
                    </w:rPr>
                    <w:t>     An Act to provide for the exploration, development, exploitation, production, processing, refining and marketing of petroleum.</w:t>
                  </w:r>
                </w:p>
              </w:tc>
            </w:tr>
            <w:tr w:rsidR="00CA49F8" w:rsidRPr="00CA49F8">
              <w:trPr>
                <w:tblCellSpacing w:w="0" w:type="dxa"/>
                <w:jc w:val="center"/>
              </w:trPr>
              <w:tc>
                <w:tcPr>
                  <w:tcW w:w="0" w:type="auto"/>
                  <w:gridSpan w:val="2"/>
                  <w:vAlign w:val="center"/>
                  <w:hideMark/>
                </w:tcPr>
                <w:p w:rsidR="00CA49F8" w:rsidRPr="00CA49F8" w:rsidRDefault="00CA49F8" w:rsidP="00CA49F8">
                  <w:pPr>
                    <w:spacing w:after="0" w:line="240" w:lineRule="auto"/>
                    <w:rPr>
                      <w:rFonts w:ascii="Times New Roman" w:eastAsia="Times New Roman" w:hAnsi="Times New Roman" w:cs="Times New Roman"/>
                      <w:sz w:val="24"/>
                      <w:szCs w:val="24"/>
                    </w:rPr>
                  </w:pPr>
                  <w:r w:rsidRPr="00CA49F8">
                    <w:rPr>
                      <w:rFonts w:ascii="Times New Roman" w:eastAsia="Times New Roman" w:hAnsi="Times New Roman" w:cs="Times New Roman"/>
                      <w:sz w:val="24"/>
                      <w:szCs w:val="24"/>
                    </w:rPr>
                    <w:t> </w:t>
                  </w:r>
                </w:p>
              </w:tc>
            </w:tr>
            <w:tr w:rsidR="00CA49F8" w:rsidRPr="00CA49F8">
              <w:trPr>
                <w:tblCellSpacing w:w="0" w:type="dxa"/>
                <w:jc w:val="center"/>
              </w:trPr>
              <w:tc>
                <w:tcPr>
                  <w:tcW w:w="0" w:type="auto"/>
                  <w:tcMar>
                    <w:top w:w="43" w:type="dxa"/>
                    <w:left w:w="43" w:type="dxa"/>
                    <w:bottom w:w="43" w:type="dxa"/>
                    <w:right w:w="43" w:type="dxa"/>
                  </w:tcMar>
                  <w:hideMark/>
                </w:tcPr>
                <w:p w:rsidR="00CA49F8" w:rsidRDefault="00CA49F8" w:rsidP="00CA49F8">
                  <w:pPr>
                    <w:spacing w:before="43" w:after="43" w:line="240" w:lineRule="auto"/>
                    <w:ind w:left="43" w:right="43"/>
                    <w:rPr>
                      <w:rFonts w:ascii="Arial" w:eastAsia="Times New Roman" w:hAnsi="Arial" w:cs="Arial"/>
                      <w:color w:val="000000"/>
                      <w:sz w:val="20"/>
                      <w:szCs w:val="20"/>
                    </w:rPr>
                  </w:pPr>
                </w:p>
                <w:p w:rsidR="00CA49F8" w:rsidRDefault="00CA49F8" w:rsidP="00CA49F8">
                  <w:pPr>
                    <w:rPr>
                      <w:rFonts w:ascii="Arial" w:eastAsia="Times New Roman" w:hAnsi="Arial" w:cs="Arial"/>
                      <w:sz w:val="20"/>
                      <w:szCs w:val="20"/>
                    </w:rPr>
                  </w:pPr>
                </w:p>
                <w:p w:rsidR="00CA49F8" w:rsidRPr="00CA49F8" w:rsidRDefault="00CA49F8" w:rsidP="00CA49F8">
                  <w:pPr>
                    <w:tabs>
                      <w:tab w:val="left" w:pos="795"/>
                    </w:tabs>
                    <w:rPr>
                      <w:rFonts w:ascii="Arial" w:eastAsia="Times New Roman" w:hAnsi="Arial" w:cs="Arial"/>
                      <w:sz w:val="20"/>
                      <w:szCs w:val="20"/>
                    </w:rPr>
                  </w:pPr>
                  <w:r>
                    <w:rPr>
                      <w:rFonts w:ascii="Arial" w:eastAsia="Times New Roman" w:hAnsi="Arial" w:cs="Arial"/>
                      <w:sz w:val="20"/>
                      <w:szCs w:val="20"/>
                    </w:rPr>
                    <w:tab/>
                  </w:r>
                </w:p>
              </w:tc>
              <w:tc>
                <w:tcPr>
                  <w:tcW w:w="0" w:type="auto"/>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rPr>
                      <w:rFonts w:ascii="Arial" w:eastAsia="Times New Roman" w:hAnsi="Arial" w:cs="Arial"/>
                      <w:color w:val="000000"/>
                      <w:sz w:val="20"/>
                      <w:szCs w:val="20"/>
                    </w:rPr>
                  </w:pPr>
                  <w:r w:rsidRPr="00CA49F8">
                    <w:rPr>
                      <w:rFonts w:ascii="Arial" w:eastAsia="Times New Roman" w:hAnsi="Arial" w:cs="Arial"/>
                      <w:color w:val="000000"/>
                      <w:sz w:val="20"/>
                      <w:szCs w:val="20"/>
                    </w:rPr>
                    <w:t>    WHEREAS it is expedient to provide for the exploration, development, exploitation, production, processing, refining and marketing of petroleum;</w:t>
                  </w:r>
                  <w:r w:rsidRPr="00CA49F8">
                    <w:rPr>
                      <w:rFonts w:ascii="Arial" w:eastAsia="Times New Roman" w:hAnsi="Arial" w:cs="Arial"/>
                      <w:color w:val="000000"/>
                      <w:sz w:val="20"/>
                    </w:rPr>
                    <w:t> </w:t>
                  </w:r>
                  <w:r w:rsidRPr="00CA49F8">
                    <w:rPr>
                      <w:rFonts w:ascii="Arial" w:eastAsia="Times New Roman" w:hAnsi="Arial" w:cs="Arial"/>
                      <w:color w:val="000000"/>
                      <w:sz w:val="20"/>
                      <w:szCs w:val="20"/>
                    </w:rPr>
                    <w:br/>
                  </w:r>
                  <w:r w:rsidRPr="00CA49F8">
                    <w:rPr>
                      <w:rFonts w:ascii="Arial" w:eastAsia="Times New Roman" w:hAnsi="Arial" w:cs="Arial"/>
                      <w:color w:val="000000"/>
                      <w:sz w:val="20"/>
                      <w:szCs w:val="20"/>
                    </w:rPr>
                    <w:br/>
                  </w:r>
                  <w:r w:rsidRPr="00CA49F8">
                    <w:rPr>
                      <w:rFonts w:ascii="Arial" w:eastAsia="Times New Roman" w:hAnsi="Arial" w:cs="Arial"/>
                      <w:color w:val="000000"/>
                      <w:sz w:val="20"/>
                      <w:szCs w:val="20"/>
                    </w:rPr>
                    <w:br/>
                  </w:r>
                  <w:r w:rsidRPr="00CA49F8">
                    <w:rPr>
                      <w:rFonts w:ascii="Arial" w:eastAsia="Times New Roman" w:hAnsi="Arial" w:cs="Arial"/>
                      <w:color w:val="000000"/>
                      <w:sz w:val="20"/>
                      <w:szCs w:val="20"/>
                    </w:rPr>
                    <w:br/>
                    <w:t>It is hereby enacted as follows:-</w:t>
                  </w:r>
                </w:p>
              </w:tc>
            </w:tr>
          </w:tbl>
          <w:p w:rsidR="00CA49F8" w:rsidRPr="00CA49F8" w:rsidRDefault="00CA49F8" w:rsidP="00CA49F8">
            <w:pPr>
              <w:spacing w:after="0" w:line="240" w:lineRule="auto"/>
              <w:rPr>
                <w:rFonts w:ascii="Arial" w:eastAsia="Times New Roman" w:hAnsi="Arial" w:cs="Arial"/>
                <w:color w:val="000000"/>
                <w:sz w:val="14"/>
                <w:szCs w:val="14"/>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r>
      <w:tr w:rsidR="00CA49F8" w:rsidRPr="00CA49F8" w:rsidTr="00CA49F8">
        <w:trPr>
          <w:tblCellSpacing w:w="0" w:type="dxa"/>
          <w:jc w:val="center"/>
        </w:trPr>
        <w:tc>
          <w:tcPr>
            <w:tcW w:w="0" w:type="auto"/>
            <w:gridSpan w:val="3"/>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r w:rsidRPr="00CA49F8">
              <w:rPr>
                <w:rFonts w:ascii="Arial" w:eastAsia="Times New Roman" w:hAnsi="Arial" w:cs="Arial"/>
                <w:color w:val="000000"/>
                <w:sz w:val="20"/>
                <w:szCs w:val="20"/>
              </w:rPr>
              <w:t> </w:t>
            </w:r>
          </w:p>
        </w:tc>
        <w:tc>
          <w:tcPr>
            <w:tcW w:w="0" w:type="auto"/>
            <w:gridSpan w:val="2"/>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gridSpan w:val="2"/>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75"/>
          <w:tblCellSpacing w:w="0" w:type="dxa"/>
          <w:jc w:val="center"/>
        </w:trPr>
        <w:tc>
          <w:tcPr>
            <w:tcW w:w="0" w:type="auto"/>
            <w:gridSpan w:val="2"/>
            <w:shd w:val="clear" w:color="auto" w:fill="FFFFFF"/>
            <w:hideMark/>
          </w:tcPr>
          <w:p w:rsidR="00CA49F8" w:rsidRPr="00CA49F8" w:rsidRDefault="00CA49F8" w:rsidP="00CA49F8">
            <w:pPr>
              <w:spacing w:after="0" w:line="240" w:lineRule="auto"/>
              <w:rPr>
                <w:rFonts w:ascii="Verdana" w:eastAsia="Times New Roman" w:hAnsi="Verdana" w:cs="Arial"/>
                <w:color w:val="000000"/>
                <w:sz w:val="8"/>
                <w:szCs w:val="13"/>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gridSpan w:val="2"/>
            <w:shd w:val="clear" w:color="auto" w:fill="FFFFFF"/>
            <w:hideMark/>
          </w:tcPr>
          <w:p w:rsidR="00CA49F8" w:rsidRPr="00CA49F8" w:rsidRDefault="00CA49F8" w:rsidP="00CA49F8">
            <w:pPr>
              <w:spacing w:after="0" w:line="240" w:lineRule="auto"/>
              <w:jc w:val="center"/>
              <w:rPr>
                <w:rFonts w:ascii="Verdana" w:eastAsia="Times New Roman" w:hAnsi="Verdana" w:cs="Arial"/>
                <w:color w:val="000000"/>
                <w:sz w:val="8"/>
                <w:szCs w:val="13"/>
              </w:rPr>
            </w:pPr>
          </w:p>
        </w:tc>
      </w:tr>
      <w:tr w:rsidR="00CA49F8" w:rsidRPr="00CA49F8" w:rsidTr="00CA49F8">
        <w:trPr>
          <w:tblCellSpacing w:w="0" w:type="dxa"/>
          <w:jc w:val="center"/>
        </w:trPr>
        <w:tc>
          <w:tcPr>
            <w:tcW w:w="100" w:type="pct"/>
            <w:shd w:val="clear" w:color="auto" w:fill="FFFFFF"/>
            <w:hideMark/>
          </w:tcPr>
          <w:p w:rsidR="00CA49F8" w:rsidRPr="00CA49F8" w:rsidRDefault="00CA49F8" w:rsidP="00CA49F8">
            <w:pPr>
              <w:spacing w:after="0" w:line="240" w:lineRule="auto"/>
              <w:rPr>
                <w:rFonts w:ascii="Verdana" w:eastAsia="Times New Roman" w:hAnsi="Verdana" w:cs="Arial"/>
                <w:color w:val="000000"/>
                <w:sz w:val="13"/>
                <w:szCs w:val="13"/>
              </w:rPr>
            </w:pPr>
            <w:r w:rsidRPr="00CA49F8">
              <w:rPr>
                <w:rFonts w:ascii="Verdana" w:eastAsia="Times New Roman" w:hAnsi="Verdana" w:cs="Arial"/>
                <w:color w:val="000000"/>
                <w:sz w:val="13"/>
                <w:szCs w:val="13"/>
              </w:rPr>
              <w:t> </w:t>
            </w:r>
          </w:p>
        </w:tc>
        <w:tc>
          <w:tcPr>
            <w:tcW w:w="950" w:type="pct"/>
            <w:shd w:val="clear" w:color="auto" w:fill="FFFFFF"/>
            <w:hideMark/>
          </w:tcPr>
          <w:p w:rsidR="00CA49F8" w:rsidRPr="00CA49F8" w:rsidRDefault="00CA49F8" w:rsidP="00CA49F8">
            <w:pPr>
              <w:spacing w:after="0" w:line="240" w:lineRule="auto"/>
              <w:rPr>
                <w:rFonts w:ascii="Verdana" w:eastAsia="Times New Roman" w:hAnsi="Verdana" w:cs="Arial"/>
                <w:b/>
                <w:bCs/>
                <w:color w:val="000000"/>
                <w:sz w:val="12"/>
                <w:szCs w:val="12"/>
              </w:rPr>
            </w:pPr>
            <w:r w:rsidRPr="00CA49F8">
              <w:rPr>
                <w:rFonts w:ascii="Verdana" w:eastAsia="Times New Roman" w:hAnsi="Verdana" w:cs="Arial"/>
                <w:b/>
                <w:bCs/>
                <w:color w:val="000000"/>
                <w:sz w:val="12"/>
                <w:szCs w:val="12"/>
              </w:rPr>
              <w:t>Short title, extent and commencement</w:t>
            </w:r>
          </w:p>
        </w:tc>
        <w:tc>
          <w:tcPr>
            <w:tcW w:w="25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hideMark/>
          </w:tcPr>
          <w:p w:rsidR="00CA49F8" w:rsidRPr="00CA49F8" w:rsidRDefault="00CA49F8" w:rsidP="00CA49F8">
            <w:pPr>
              <w:spacing w:after="0" w:line="161" w:lineRule="atLeast"/>
              <w:rPr>
                <w:rFonts w:ascii="Verdana" w:eastAsia="Times New Roman" w:hAnsi="Verdana" w:cs="Arial"/>
                <w:color w:val="000000"/>
                <w:sz w:val="13"/>
                <w:szCs w:val="13"/>
              </w:rPr>
            </w:pPr>
            <w:r w:rsidRPr="00CA49F8">
              <w:rPr>
                <w:rFonts w:ascii="Verdana" w:eastAsia="Times New Roman" w:hAnsi="Verdana" w:cs="Arial"/>
                <w:color w:val="000000"/>
                <w:sz w:val="13"/>
                <w:szCs w:val="13"/>
              </w:rPr>
              <w:t>1. (1) This Act may be called the Bangladesh</w:t>
            </w:r>
            <w:hyperlink r:id="rId6" w:tgtFrame="_blank" w:history="1">
              <w:r w:rsidRPr="00CA49F8">
                <w:rPr>
                  <w:rFonts w:ascii="Verdana" w:eastAsia="Times New Roman" w:hAnsi="Verdana" w:cs="Arial"/>
                  <w:color w:val="0000FF"/>
                  <w:sz w:val="13"/>
                  <w:u w:val="single"/>
                </w:rPr>
                <w:t> Petroleum Act</w:t>
              </w:r>
            </w:hyperlink>
            <w:r w:rsidRPr="00CA49F8">
              <w:rPr>
                <w:rFonts w:ascii="Verdana" w:eastAsia="Times New Roman" w:hAnsi="Verdana" w:cs="Arial"/>
                <w:color w:val="000000"/>
                <w:sz w:val="13"/>
                <w:szCs w:val="13"/>
              </w:rPr>
              <w:t>, 1974.</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(2) It extends to the whole of Bangladesh and shall also apply to the economic zone and continental shelf of Bangladesh.</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(3) It shall be deemed to have come into force on the 22nd day of August, 1974.</w:t>
            </w:r>
          </w:p>
        </w:tc>
      </w:tr>
      <w:tr w:rsidR="00CA49F8" w:rsidRPr="00CA49F8" w:rsidTr="00CA49F8">
        <w:trPr>
          <w:trHeight w:val="75"/>
          <w:tblCellSpacing w:w="0" w:type="dxa"/>
          <w:jc w:val="center"/>
        </w:trPr>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3"/>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r w:rsidRPr="00CA49F8">
              <w:rPr>
                <w:rFonts w:ascii="Arial" w:eastAsia="Times New Roman" w:hAnsi="Arial" w:cs="Arial"/>
                <w:color w:val="000000"/>
                <w:sz w:val="20"/>
                <w:szCs w:val="20"/>
              </w:rPr>
              <w:t> </w:t>
            </w:r>
          </w:p>
        </w:tc>
        <w:tc>
          <w:tcPr>
            <w:tcW w:w="0" w:type="auto"/>
            <w:gridSpan w:val="2"/>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gridSpan w:val="2"/>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75"/>
          <w:tblCellSpacing w:w="0" w:type="dxa"/>
          <w:jc w:val="center"/>
        </w:trPr>
        <w:tc>
          <w:tcPr>
            <w:tcW w:w="0" w:type="auto"/>
            <w:gridSpan w:val="2"/>
            <w:shd w:val="clear" w:color="auto" w:fill="FFFFFF"/>
            <w:hideMark/>
          </w:tcPr>
          <w:p w:rsidR="00CA49F8" w:rsidRPr="00CA49F8" w:rsidRDefault="00CA49F8" w:rsidP="00CA49F8">
            <w:pPr>
              <w:spacing w:after="0" w:line="240" w:lineRule="auto"/>
              <w:rPr>
                <w:rFonts w:ascii="Verdana" w:eastAsia="Times New Roman" w:hAnsi="Verdana" w:cs="Arial"/>
                <w:color w:val="000000"/>
                <w:sz w:val="8"/>
                <w:szCs w:val="13"/>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gridSpan w:val="2"/>
            <w:shd w:val="clear" w:color="auto" w:fill="FFFFFF"/>
            <w:hideMark/>
          </w:tcPr>
          <w:p w:rsidR="00CA49F8" w:rsidRPr="00CA49F8" w:rsidRDefault="00CA49F8" w:rsidP="00CA49F8">
            <w:pPr>
              <w:spacing w:after="0" w:line="240" w:lineRule="auto"/>
              <w:jc w:val="center"/>
              <w:rPr>
                <w:rFonts w:ascii="Verdana" w:eastAsia="Times New Roman" w:hAnsi="Verdana" w:cs="Arial"/>
                <w:color w:val="000000"/>
                <w:sz w:val="8"/>
                <w:szCs w:val="13"/>
              </w:rPr>
            </w:pPr>
          </w:p>
        </w:tc>
      </w:tr>
      <w:tr w:rsidR="00CA49F8" w:rsidRPr="00CA49F8" w:rsidTr="00CA49F8">
        <w:trPr>
          <w:tblCellSpacing w:w="0" w:type="dxa"/>
          <w:jc w:val="center"/>
        </w:trPr>
        <w:tc>
          <w:tcPr>
            <w:tcW w:w="100" w:type="pct"/>
            <w:shd w:val="clear" w:color="auto" w:fill="FFFFFF"/>
            <w:hideMark/>
          </w:tcPr>
          <w:p w:rsidR="00CA49F8" w:rsidRPr="00CA49F8" w:rsidRDefault="00CA49F8" w:rsidP="00CA49F8">
            <w:pPr>
              <w:spacing w:after="0" w:line="240" w:lineRule="auto"/>
              <w:rPr>
                <w:rFonts w:ascii="Verdana" w:eastAsia="Times New Roman" w:hAnsi="Verdana" w:cs="Arial"/>
                <w:color w:val="000000"/>
                <w:sz w:val="13"/>
                <w:szCs w:val="13"/>
              </w:rPr>
            </w:pPr>
            <w:r w:rsidRPr="00CA49F8">
              <w:rPr>
                <w:rFonts w:ascii="Verdana" w:eastAsia="Times New Roman" w:hAnsi="Verdana" w:cs="Arial"/>
                <w:color w:val="000000"/>
                <w:sz w:val="13"/>
                <w:szCs w:val="13"/>
              </w:rPr>
              <w:t> </w:t>
            </w:r>
          </w:p>
        </w:tc>
        <w:tc>
          <w:tcPr>
            <w:tcW w:w="950" w:type="pct"/>
            <w:shd w:val="clear" w:color="auto" w:fill="FFFFFF"/>
            <w:hideMark/>
          </w:tcPr>
          <w:p w:rsidR="00CA49F8" w:rsidRPr="00CA49F8" w:rsidRDefault="00CA49F8" w:rsidP="00CA49F8">
            <w:pPr>
              <w:spacing w:after="0" w:line="240" w:lineRule="auto"/>
              <w:rPr>
                <w:rFonts w:ascii="Verdana" w:eastAsia="Times New Roman" w:hAnsi="Verdana" w:cs="Arial"/>
                <w:b/>
                <w:bCs/>
                <w:color w:val="000000"/>
                <w:sz w:val="12"/>
                <w:szCs w:val="12"/>
              </w:rPr>
            </w:pPr>
            <w:r w:rsidRPr="00CA49F8">
              <w:rPr>
                <w:rFonts w:ascii="Verdana" w:eastAsia="Times New Roman" w:hAnsi="Verdana" w:cs="Arial"/>
                <w:b/>
                <w:bCs/>
                <w:color w:val="000000"/>
                <w:sz w:val="12"/>
                <w:szCs w:val="12"/>
              </w:rPr>
              <w:t>Definitions</w:t>
            </w:r>
          </w:p>
        </w:tc>
        <w:tc>
          <w:tcPr>
            <w:tcW w:w="25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hideMark/>
          </w:tcPr>
          <w:p w:rsidR="00CA49F8" w:rsidRPr="00CA49F8" w:rsidRDefault="00CA49F8" w:rsidP="00CA49F8">
            <w:pPr>
              <w:spacing w:after="0" w:line="161" w:lineRule="atLeast"/>
              <w:rPr>
                <w:rFonts w:ascii="Verdana" w:eastAsia="Times New Roman" w:hAnsi="Verdana" w:cs="Arial"/>
                <w:color w:val="000000"/>
                <w:sz w:val="13"/>
                <w:szCs w:val="13"/>
              </w:rPr>
            </w:pPr>
            <w:r w:rsidRPr="00CA49F8">
              <w:rPr>
                <w:rFonts w:ascii="Verdana" w:eastAsia="Times New Roman" w:hAnsi="Verdana" w:cs="Arial"/>
                <w:color w:val="000000"/>
                <w:sz w:val="13"/>
                <w:szCs w:val="13"/>
              </w:rPr>
              <w:t>2. In this Act, unless there is anything repugnant in the subject or context,-</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(a) “continental shelf” and “economic zone” have the same meaning as in the</w:t>
            </w:r>
            <w:hyperlink r:id="rId7" w:tgtFrame="_blank" w:history="1">
              <w:r w:rsidRPr="00CA49F8">
                <w:rPr>
                  <w:rFonts w:ascii="Verdana" w:eastAsia="Times New Roman" w:hAnsi="Verdana" w:cs="Arial"/>
                  <w:color w:val="0000FF"/>
                  <w:sz w:val="13"/>
                  <w:u w:val="single"/>
                </w:rPr>
                <w:t> Territorial Waters and Maritime Zones Act</w:t>
              </w:r>
            </w:hyperlink>
            <w:r w:rsidRPr="00CA49F8">
              <w:rPr>
                <w:rFonts w:ascii="Verdana" w:eastAsia="Times New Roman" w:hAnsi="Verdana" w:cs="Arial"/>
                <w:color w:val="000000"/>
                <w:sz w:val="13"/>
                <w:szCs w:val="13"/>
              </w:rPr>
              <w:t>, 1974 (XXVI of 1974);</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hyperlink r:id="rId8" w:history="1">
              <w:r w:rsidRPr="00CA49F8">
                <w:rPr>
                  <w:rFonts w:ascii="Verdana" w:eastAsia="Times New Roman" w:hAnsi="Verdana" w:cs="Arial"/>
                  <w:color w:val="0066CC"/>
                  <w:sz w:val="13"/>
                  <w:u w:val="single"/>
                  <w:vertAlign w:val="superscript"/>
                </w:rPr>
                <w:t>1</w:t>
              </w:r>
              <w:r w:rsidRPr="00CA49F8">
                <w:rPr>
                  <w:rFonts w:ascii="Verdana" w:eastAsia="Times New Roman" w:hAnsi="Verdana" w:cs="Arial"/>
                  <w:color w:val="0066CC"/>
                  <w:sz w:val="13"/>
                  <w:u w:val="single"/>
                </w:rPr>
                <w:t>[</w:t>
              </w:r>
            </w:hyperlink>
            <w:r w:rsidRPr="00CA49F8">
              <w:rPr>
                <w:rFonts w:ascii="Verdana" w:eastAsia="Times New Roman" w:hAnsi="Verdana" w:cs="Arial"/>
                <w:color w:val="000000"/>
                <w:sz w:val="13"/>
              </w:rPr>
              <w:t> </w:t>
            </w:r>
            <w:r w:rsidRPr="00CA49F8">
              <w:rPr>
                <w:rFonts w:ascii="Verdana" w:eastAsia="Times New Roman" w:hAnsi="Verdana" w:cs="Arial"/>
                <w:color w:val="000000"/>
                <w:sz w:val="13"/>
                <w:szCs w:val="13"/>
              </w:rPr>
              <w:t>* * *]</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(c) “petroleum” means-</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 xml:space="preserve">(i) any naturally occurring hydrocarbon, whether in a gaseous, liquid </w:t>
            </w:r>
            <w:r w:rsidRPr="00B77EB1">
              <w:rPr>
                <w:rFonts w:ascii="Times New Roman" w:eastAsia="Times New Roman" w:hAnsi="Times New Roman" w:cs="Times New Roman"/>
                <w:color w:val="000000"/>
                <w:sz w:val="13"/>
                <w:szCs w:val="13"/>
              </w:rPr>
              <w:t>or</w:t>
            </w:r>
            <w:r w:rsidRPr="00CA49F8">
              <w:rPr>
                <w:rFonts w:ascii="Verdana" w:eastAsia="Times New Roman" w:hAnsi="Verdana" w:cs="Arial"/>
                <w:color w:val="000000"/>
                <w:sz w:val="13"/>
                <w:szCs w:val="13"/>
              </w:rPr>
              <w:t xml:space="preserve"> solid state;</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(ii) any naturally occurring mixture of hydrocarbons, whether in a gaseous, liquid or solid state; or</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(iii) any naturally occurring mixture of a hydrocarbon or hydrocarbons, whether in a gaseous, liquid or solid state, and one or more of the following, that is to say, hydrogen sulphide, nitrogen, helium and carbondioxide;</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(d) “petroleum agreement” means a production sharing agreement or any other agreement or contract relating to any petroleum operation;</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(e) “petroleum operation” means any activity related to exploration, development, exploitation, production, processing, refining or marketing of petroleum.</w:t>
            </w:r>
          </w:p>
        </w:tc>
      </w:tr>
      <w:tr w:rsidR="00CA49F8" w:rsidRPr="00CA49F8" w:rsidTr="00CA49F8">
        <w:trPr>
          <w:trHeight w:val="75"/>
          <w:tblCellSpacing w:w="0" w:type="dxa"/>
          <w:jc w:val="center"/>
        </w:trPr>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lastRenderedPageBreak/>
              <w:t> </w:t>
            </w:r>
          </w:p>
        </w:tc>
      </w:tr>
      <w:tr w:rsidR="00CA49F8" w:rsidRPr="00CA49F8" w:rsidTr="00CA49F8">
        <w:trPr>
          <w:tblCellSpacing w:w="0" w:type="dxa"/>
          <w:jc w:val="center"/>
        </w:trPr>
        <w:tc>
          <w:tcPr>
            <w:tcW w:w="0" w:type="auto"/>
            <w:gridSpan w:val="3"/>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r w:rsidRPr="00CA49F8">
              <w:rPr>
                <w:rFonts w:ascii="Arial" w:eastAsia="Times New Roman" w:hAnsi="Arial" w:cs="Arial"/>
                <w:color w:val="000000"/>
                <w:sz w:val="20"/>
                <w:szCs w:val="20"/>
              </w:rPr>
              <w:t> </w:t>
            </w:r>
          </w:p>
        </w:tc>
        <w:tc>
          <w:tcPr>
            <w:tcW w:w="0" w:type="auto"/>
            <w:gridSpan w:val="2"/>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gridSpan w:val="2"/>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75"/>
          <w:tblCellSpacing w:w="0" w:type="dxa"/>
          <w:jc w:val="center"/>
        </w:trPr>
        <w:tc>
          <w:tcPr>
            <w:tcW w:w="0" w:type="auto"/>
            <w:gridSpan w:val="2"/>
            <w:shd w:val="clear" w:color="auto" w:fill="FFFFFF"/>
            <w:hideMark/>
          </w:tcPr>
          <w:p w:rsidR="00CA49F8" w:rsidRPr="00CA49F8" w:rsidRDefault="00CA49F8" w:rsidP="00CA49F8">
            <w:pPr>
              <w:spacing w:after="0" w:line="240" w:lineRule="auto"/>
              <w:rPr>
                <w:rFonts w:ascii="Verdana" w:eastAsia="Times New Roman" w:hAnsi="Verdana" w:cs="Arial"/>
                <w:color w:val="000000"/>
                <w:sz w:val="8"/>
                <w:szCs w:val="13"/>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gridSpan w:val="2"/>
            <w:shd w:val="clear" w:color="auto" w:fill="FFFFFF"/>
            <w:hideMark/>
          </w:tcPr>
          <w:p w:rsidR="00CA49F8" w:rsidRPr="00CA49F8" w:rsidRDefault="00CA49F8" w:rsidP="00CA49F8">
            <w:pPr>
              <w:spacing w:after="0" w:line="240" w:lineRule="auto"/>
              <w:jc w:val="center"/>
              <w:rPr>
                <w:rFonts w:ascii="Verdana" w:eastAsia="Times New Roman" w:hAnsi="Verdana" w:cs="Arial"/>
                <w:color w:val="000000"/>
                <w:sz w:val="8"/>
                <w:szCs w:val="13"/>
              </w:rPr>
            </w:pPr>
          </w:p>
        </w:tc>
      </w:tr>
      <w:tr w:rsidR="00CA49F8" w:rsidRPr="00CA49F8" w:rsidTr="00CA49F8">
        <w:trPr>
          <w:tblCellSpacing w:w="0" w:type="dxa"/>
          <w:jc w:val="center"/>
        </w:trPr>
        <w:tc>
          <w:tcPr>
            <w:tcW w:w="100" w:type="pct"/>
            <w:shd w:val="clear" w:color="auto" w:fill="FFFFFF"/>
            <w:hideMark/>
          </w:tcPr>
          <w:p w:rsidR="00CA49F8" w:rsidRPr="00CA49F8" w:rsidRDefault="00CA49F8" w:rsidP="00CA49F8">
            <w:pPr>
              <w:spacing w:after="0" w:line="240" w:lineRule="auto"/>
              <w:rPr>
                <w:rFonts w:ascii="Verdana" w:eastAsia="Times New Roman" w:hAnsi="Verdana" w:cs="Arial"/>
                <w:color w:val="000000"/>
                <w:sz w:val="13"/>
                <w:szCs w:val="13"/>
              </w:rPr>
            </w:pPr>
            <w:r w:rsidRPr="00CA49F8">
              <w:rPr>
                <w:rFonts w:ascii="Verdana" w:eastAsia="Times New Roman" w:hAnsi="Verdana" w:cs="Arial"/>
                <w:color w:val="000000"/>
                <w:sz w:val="13"/>
                <w:szCs w:val="13"/>
              </w:rPr>
              <w:t> </w:t>
            </w:r>
          </w:p>
        </w:tc>
        <w:tc>
          <w:tcPr>
            <w:tcW w:w="950" w:type="pct"/>
            <w:shd w:val="clear" w:color="auto" w:fill="FFFFFF"/>
            <w:hideMark/>
          </w:tcPr>
          <w:p w:rsidR="00CA49F8" w:rsidRPr="00CA49F8" w:rsidRDefault="00CA49F8" w:rsidP="00CA49F8">
            <w:pPr>
              <w:spacing w:after="0" w:line="240" w:lineRule="auto"/>
              <w:rPr>
                <w:rFonts w:ascii="Verdana" w:eastAsia="Times New Roman" w:hAnsi="Verdana" w:cs="Arial"/>
                <w:b/>
                <w:bCs/>
                <w:color w:val="000000"/>
                <w:sz w:val="12"/>
                <w:szCs w:val="12"/>
              </w:rPr>
            </w:pPr>
            <w:r w:rsidRPr="00CA49F8">
              <w:rPr>
                <w:rFonts w:ascii="Verdana" w:eastAsia="Times New Roman" w:hAnsi="Verdana" w:cs="Arial"/>
                <w:b/>
                <w:bCs/>
                <w:color w:val="000000"/>
                <w:sz w:val="12"/>
                <w:szCs w:val="12"/>
              </w:rPr>
              <w:t>Right of Government to explore, etc of Petroleum</w:t>
            </w:r>
          </w:p>
        </w:tc>
        <w:tc>
          <w:tcPr>
            <w:tcW w:w="25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hideMark/>
          </w:tcPr>
          <w:p w:rsidR="00CA49F8" w:rsidRPr="00CA49F8" w:rsidRDefault="00CA49F8" w:rsidP="00CA49F8">
            <w:pPr>
              <w:spacing w:after="0" w:line="161" w:lineRule="atLeast"/>
              <w:rPr>
                <w:rFonts w:ascii="Verdana" w:eastAsia="Times New Roman" w:hAnsi="Verdana" w:cs="Arial"/>
                <w:color w:val="000000"/>
                <w:sz w:val="13"/>
                <w:szCs w:val="13"/>
              </w:rPr>
            </w:pPr>
            <w:r w:rsidRPr="00CA49F8">
              <w:rPr>
                <w:rFonts w:ascii="Verdana" w:eastAsia="Times New Roman" w:hAnsi="Verdana" w:cs="Arial"/>
                <w:color w:val="000000"/>
                <w:sz w:val="13"/>
                <w:szCs w:val="13"/>
              </w:rPr>
              <w:t>3. (1) The Government shall have, within the territory, continental shelf and economic zone of Bangladesh, exclusive right to explore, develop, exploit, produce, process, refine and market petroleum.</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(2) The Government shall plan, promote, organise and implement programmes for exploration, development, exploitation, production, processing, refining and marketing of petroleum.</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(3) In particular, and without prejudice to the generality of the foregoing provisions, the Government may take such steps as it thinks fit-</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(a) to carry out geological, geophysical and other surveys for the exploration of petroleum;</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(b) to carry out drilling and other prospecting operations to prove and estimate the reserves of petroleum;</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(c) to undertake such other activities as may lead to the establishment of such reserves;</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 xml:space="preserve">(d) to undertake the production of petroleum from such reserves and the refining of such petroleum; </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 xml:space="preserve">(e) to sell, distribute, transport and otherwise dispose of petroleum and its refined products; </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(f) to contribute towards the cost of any studies, experiments or technical research connected with petroleum;</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(g) to undertake, assist or encourage the collection, maintenance and publication of statistics, bulletins and monographs;</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(h) to undertake any other activity which is supplemental, incidental or consequential to any of the activities aforesaid, or which may be prescribed by rules made under this Act.</w:t>
            </w:r>
          </w:p>
        </w:tc>
      </w:tr>
      <w:tr w:rsidR="00CA49F8" w:rsidRPr="00CA49F8" w:rsidTr="00CA49F8">
        <w:trPr>
          <w:trHeight w:val="75"/>
          <w:tblCellSpacing w:w="0" w:type="dxa"/>
          <w:jc w:val="center"/>
        </w:trPr>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3"/>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r w:rsidRPr="00CA49F8">
              <w:rPr>
                <w:rFonts w:ascii="Arial" w:eastAsia="Times New Roman" w:hAnsi="Arial" w:cs="Arial"/>
                <w:color w:val="000000"/>
                <w:sz w:val="20"/>
                <w:szCs w:val="20"/>
              </w:rPr>
              <w:t> </w:t>
            </w:r>
          </w:p>
        </w:tc>
        <w:tc>
          <w:tcPr>
            <w:tcW w:w="0" w:type="auto"/>
            <w:gridSpan w:val="2"/>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gridSpan w:val="2"/>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75"/>
          <w:tblCellSpacing w:w="0" w:type="dxa"/>
          <w:jc w:val="center"/>
        </w:trPr>
        <w:tc>
          <w:tcPr>
            <w:tcW w:w="0" w:type="auto"/>
            <w:gridSpan w:val="2"/>
            <w:shd w:val="clear" w:color="auto" w:fill="FFFFFF"/>
            <w:hideMark/>
          </w:tcPr>
          <w:p w:rsidR="00CA49F8" w:rsidRPr="00CA49F8" w:rsidRDefault="00CA49F8" w:rsidP="00CA49F8">
            <w:pPr>
              <w:spacing w:after="0" w:line="240" w:lineRule="auto"/>
              <w:rPr>
                <w:rFonts w:ascii="Verdana" w:eastAsia="Times New Roman" w:hAnsi="Verdana" w:cs="Arial"/>
                <w:color w:val="000000"/>
                <w:sz w:val="8"/>
                <w:szCs w:val="13"/>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gridSpan w:val="2"/>
            <w:shd w:val="clear" w:color="auto" w:fill="FFFFFF"/>
            <w:hideMark/>
          </w:tcPr>
          <w:p w:rsidR="00CA49F8" w:rsidRPr="00CA49F8" w:rsidRDefault="00CA49F8" w:rsidP="00CA49F8">
            <w:pPr>
              <w:spacing w:after="0" w:line="240" w:lineRule="auto"/>
              <w:jc w:val="center"/>
              <w:rPr>
                <w:rFonts w:ascii="Verdana" w:eastAsia="Times New Roman" w:hAnsi="Verdana" w:cs="Arial"/>
                <w:color w:val="000000"/>
                <w:sz w:val="8"/>
                <w:szCs w:val="13"/>
              </w:rPr>
            </w:pPr>
          </w:p>
        </w:tc>
      </w:tr>
      <w:tr w:rsidR="00CA49F8" w:rsidRPr="00CA49F8" w:rsidTr="00CA49F8">
        <w:trPr>
          <w:tblCellSpacing w:w="0" w:type="dxa"/>
          <w:jc w:val="center"/>
        </w:trPr>
        <w:tc>
          <w:tcPr>
            <w:tcW w:w="100" w:type="pct"/>
            <w:shd w:val="clear" w:color="auto" w:fill="FFFFFF"/>
            <w:hideMark/>
          </w:tcPr>
          <w:p w:rsidR="00CA49F8" w:rsidRPr="00CA49F8" w:rsidRDefault="00CA49F8" w:rsidP="00CA49F8">
            <w:pPr>
              <w:spacing w:after="0" w:line="240" w:lineRule="auto"/>
              <w:rPr>
                <w:rFonts w:ascii="Verdana" w:eastAsia="Times New Roman" w:hAnsi="Verdana" w:cs="Arial"/>
                <w:color w:val="000000"/>
                <w:sz w:val="13"/>
                <w:szCs w:val="13"/>
              </w:rPr>
            </w:pPr>
            <w:r w:rsidRPr="00CA49F8">
              <w:rPr>
                <w:rFonts w:ascii="Verdana" w:eastAsia="Times New Roman" w:hAnsi="Verdana" w:cs="Arial"/>
                <w:color w:val="000000"/>
                <w:sz w:val="13"/>
                <w:szCs w:val="13"/>
              </w:rPr>
              <w:t> </w:t>
            </w:r>
          </w:p>
        </w:tc>
        <w:tc>
          <w:tcPr>
            <w:tcW w:w="950" w:type="pct"/>
            <w:shd w:val="clear" w:color="auto" w:fill="FFFFFF"/>
            <w:hideMark/>
          </w:tcPr>
          <w:p w:rsidR="00CA49F8" w:rsidRPr="00CA49F8" w:rsidRDefault="00CA49F8" w:rsidP="00CA49F8">
            <w:pPr>
              <w:spacing w:after="0" w:line="240" w:lineRule="auto"/>
              <w:rPr>
                <w:rFonts w:ascii="Verdana" w:eastAsia="Times New Roman" w:hAnsi="Verdana" w:cs="Arial"/>
                <w:b/>
                <w:bCs/>
                <w:color w:val="000000"/>
                <w:sz w:val="12"/>
                <w:szCs w:val="12"/>
              </w:rPr>
            </w:pPr>
            <w:r w:rsidRPr="00CA49F8">
              <w:rPr>
                <w:rFonts w:ascii="Verdana" w:eastAsia="Times New Roman" w:hAnsi="Verdana" w:cs="Arial"/>
                <w:b/>
                <w:bCs/>
                <w:color w:val="000000"/>
                <w:sz w:val="12"/>
                <w:szCs w:val="12"/>
              </w:rPr>
              <w:t>Petroleum agreement</w:t>
            </w:r>
          </w:p>
        </w:tc>
        <w:tc>
          <w:tcPr>
            <w:tcW w:w="25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hideMark/>
          </w:tcPr>
          <w:p w:rsidR="00CA49F8" w:rsidRPr="00CA49F8" w:rsidRDefault="00CA49F8" w:rsidP="00CA49F8">
            <w:pPr>
              <w:spacing w:after="0" w:line="161" w:lineRule="atLeast"/>
              <w:rPr>
                <w:rFonts w:ascii="Verdana" w:eastAsia="Times New Roman" w:hAnsi="Verdana" w:cs="Arial"/>
                <w:color w:val="000000"/>
                <w:sz w:val="13"/>
                <w:szCs w:val="13"/>
              </w:rPr>
            </w:pPr>
            <w:r w:rsidRPr="00CA49F8">
              <w:rPr>
                <w:rFonts w:ascii="Verdana" w:eastAsia="Times New Roman" w:hAnsi="Verdana" w:cs="Arial"/>
                <w:color w:val="000000"/>
                <w:sz w:val="13"/>
                <w:szCs w:val="13"/>
              </w:rPr>
              <w:t>4. (1) The Government may enter into a petroleum agreement with any person for the purpose of any petroleum operation.</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(2) No person shall undertake or carry on any petroleum operation except under a petroleum agreement entered into under sub-section (1):</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Provided that the Government may, within one month from the date of commencement of this Act, permit, on such conditions as it deems fit, any person to carry on any petroleum operation otherwise than under a petroleum agreement for a period not exceeding six months.</w:t>
            </w:r>
          </w:p>
        </w:tc>
      </w:tr>
      <w:tr w:rsidR="00CA49F8" w:rsidRPr="00CA49F8" w:rsidTr="00CA49F8">
        <w:trPr>
          <w:trHeight w:val="75"/>
          <w:tblCellSpacing w:w="0" w:type="dxa"/>
          <w:jc w:val="center"/>
        </w:trPr>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3"/>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r w:rsidRPr="00CA49F8">
              <w:rPr>
                <w:rFonts w:ascii="Arial" w:eastAsia="Times New Roman" w:hAnsi="Arial" w:cs="Arial"/>
                <w:color w:val="000000"/>
                <w:sz w:val="20"/>
                <w:szCs w:val="20"/>
              </w:rPr>
              <w:t> </w:t>
            </w:r>
          </w:p>
        </w:tc>
        <w:tc>
          <w:tcPr>
            <w:tcW w:w="0" w:type="auto"/>
            <w:gridSpan w:val="2"/>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gridSpan w:val="2"/>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75"/>
          <w:tblCellSpacing w:w="0" w:type="dxa"/>
          <w:jc w:val="center"/>
        </w:trPr>
        <w:tc>
          <w:tcPr>
            <w:tcW w:w="0" w:type="auto"/>
            <w:gridSpan w:val="2"/>
            <w:shd w:val="clear" w:color="auto" w:fill="FFFFFF"/>
            <w:hideMark/>
          </w:tcPr>
          <w:p w:rsidR="00CA49F8" w:rsidRPr="00CA49F8" w:rsidRDefault="00CA49F8" w:rsidP="00CA49F8">
            <w:pPr>
              <w:spacing w:after="0" w:line="240" w:lineRule="auto"/>
              <w:rPr>
                <w:rFonts w:ascii="Verdana" w:eastAsia="Times New Roman" w:hAnsi="Verdana" w:cs="Arial"/>
                <w:color w:val="000000"/>
                <w:sz w:val="8"/>
                <w:szCs w:val="13"/>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gridSpan w:val="2"/>
            <w:shd w:val="clear" w:color="auto" w:fill="FFFFFF"/>
            <w:hideMark/>
          </w:tcPr>
          <w:p w:rsidR="00CA49F8" w:rsidRPr="00CA49F8" w:rsidRDefault="00CA49F8" w:rsidP="00CA49F8">
            <w:pPr>
              <w:spacing w:after="0" w:line="240" w:lineRule="auto"/>
              <w:jc w:val="center"/>
              <w:rPr>
                <w:rFonts w:ascii="Verdana" w:eastAsia="Times New Roman" w:hAnsi="Verdana" w:cs="Arial"/>
                <w:color w:val="000000"/>
                <w:sz w:val="8"/>
                <w:szCs w:val="13"/>
              </w:rPr>
            </w:pPr>
          </w:p>
        </w:tc>
      </w:tr>
      <w:tr w:rsidR="00CA49F8" w:rsidRPr="00CA49F8" w:rsidTr="00CA49F8">
        <w:trPr>
          <w:tblCellSpacing w:w="0" w:type="dxa"/>
          <w:jc w:val="center"/>
        </w:trPr>
        <w:tc>
          <w:tcPr>
            <w:tcW w:w="100" w:type="pct"/>
            <w:shd w:val="clear" w:color="auto" w:fill="FFFFFF"/>
            <w:hideMark/>
          </w:tcPr>
          <w:p w:rsidR="00CA49F8" w:rsidRPr="00CA49F8" w:rsidRDefault="00CA49F8" w:rsidP="00CA49F8">
            <w:pPr>
              <w:spacing w:after="0" w:line="240" w:lineRule="auto"/>
              <w:rPr>
                <w:rFonts w:ascii="Verdana" w:eastAsia="Times New Roman" w:hAnsi="Verdana" w:cs="Arial"/>
                <w:color w:val="000000"/>
                <w:sz w:val="13"/>
                <w:szCs w:val="13"/>
              </w:rPr>
            </w:pPr>
            <w:r w:rsidRPr="00CA49F8">
              <w:rPr>
                <w:rFonts w:ascii="Verdana" w:eastAsia="Times New Roman" w:hAnsi="Verdana" w:cs="Arial"/>
                <w:color w:val="000000"/>
                <w:sz w:val="13"/>
                <w:szCs w:val="13"/>
              </w:rPr>
              <w:t> </w:t>
            </w:r>
          </w:p>
        </w:tc>
        <w:tc>
          <w:tcPr>
            <w:tcW w:w="950" w:type="pct"/>
            <w:shd w:val="clear" w:color="auto" w:fill="FFFFFF"/>
            <w:hideMark/>
          </w:tcPr>
          <w:p w:rsidR="00CA49F8" w:rsidRPr="00CA49F8" w:rsidRDefault="00CA49F8" w:rsidP="00CA49F8">
            <w:pPr>
              <w:spacing w:after="0" w:line="240" w:lineRule="auto"/>
              <w:rPr>
                <w:rFonts w:ascii="Verdana" w:eastAsia="Times New Roman" w:hAnsi="Verdana" w:cs="Arial"/>
                <w:b/>
                <w:bCs/>
                <w:color w:val="000000"/>
                <w:sz w:val="12"/>
                <w:szCs w:val="12"/>
              </w:rPr>
            </w:pPr>
            <w:r w:rsidRPr="00CA49F8">
              <w:rPr>
                <w:rFonts w:ascii="Verdana" w:eastAsia="Times New Roman" w:hAnsi="Verdana" w:cs="Arial"/>
                <w:b/>
                <w:bCs/>
                <w:color w:val="000000"/>
                <w:sz w:val="12"/>
                <w:szCs w:val="12"/>
              </w:rPr>
              <w:t>Power of inspection</w:t>
            </w:r>
          </w:p>
        </w:tc>
        <w:tc>
          <w:tcPr>
            <w:tcW w:w="25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hideMark/>
          </w:tcPr>
          <w:p w:rsidR="00CA49F8" w:rsidRPr="00CA49F8" w:rsidRDefault="00CA49F8" w:rsidP="00CA49F8">
            <w:pPr>
              <w:spacing w:after="0" w:line="161" w:lineRule="atLeast"/>
              <w:rPr>
                <w:rFonts w:ascii="Verdana" w:eastAsia="Times New Roman" w:hAnsi="Verdana" w:cs="Arial"/>
                <w:color w:val="000000"/>
                <w:sz w:val="13"/>
                <w:szCs w:val="13"/>
              </w:rPr>
            </w:pPr>
            <w:r w:rsidRPr="00CA49F8">
              <w:rPr>
                <w:rFonts w:ascii="Verdana" w:eastAsia="Times New Roman" w:hAnsi="Verdana" w:cs="Arial"/>
                <w:color w:val="000000"/>
                <w:sz w:val="13"/>
                <w:szCs w:val="13"/>
              </w:rPr>
              <w:t>5. (1) For any purpose mentioned in this Act or the rules made thereunder, any person authorised by the Government in this behalf may-</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lastRenderedPageBreak/>
              <w:t>(a) inspect and take extracts from and make copies of any records, returns, plans, maps and accounts which is kept or made by any person engaged in any petroleum operation;</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(b) inspect the installation, well, plants, appliances and works operated or maintained by any person engaged in any petroleum operation and the state of repair and condition thereof;</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(c) survey and conduct measurement in any area covered by any petroleum operation;</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(d) conduct measurement of any stock of petroleum;</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(e) order the production of any cores, samples, records, returns, plans, maps, and accounts relating to any petroleum operation;</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(f) examine any person engaged in any petroleum operation.</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(2) Any person authorised by the Government under sub-section (1) shall be deemed to be a public servant within the meaning of section 21 of the</w:t>
            </w:r>
            <w:hyperlink r:id="rId9" w:tgtFrame="_blank" w:history="1">
              <w:r w:rsidRPr="00CA49F8">
                <w:rPr>
                  <w:rFonts w:ascii="Verdana" w:eastAsia="Times New Roman" w:hAnsi="Verdana" w:cs="Arial"/>
                  <w:color w:val="0000FF"/>
                  <w:sz w:val="13"/>
                  <w:u w:val="single"/>
                </w:rPr>
                <w:t> Penal Code</w:t>
              </w:r>
            </w:hyperlink>
            <w:r w:rsidRPr="00CA49F8">
              <w:rPr>
                <w:rFonts w:ascii="Verdana" w:eastAsia="Times New Roman" w:hAnsi="Verdana" w:cs="Arial"/>
                <w:color w:val="000000"/>
                <w:sz w:val="13"/>
              </w:rPr>
              <w:t> </w:t>
            </w:r>
            <w:r w:rsidRPr="00CA49F8">
              <w:rPr>
                <w:rFonts w:ascii="Verdana" w:eastAsia="Times New Roman" w:hAnsi="Verdana" w:cs="Arial"/>
                <w:color w:val="000000"/>
                <w:sz w:val="13"/>
                <w:szCs w:val="13"/>
              </w:rPr>
              <w:t>(XLV of 1860).</w:t>
            </w:r>
          </w:p>
        </w:tc>
      </w:tr>
      <w:tr w:rsidR="00CA49F8" w:rsidRPr="00CA49F8" w:rsidTr="00CA49F8">
        <w:trPr>
          <w:trHeight w:val="75"/>
          <w:tblCellSpacing w:w="0" w:type="dxa"/>
          <w:jc w:val="center"/>
        </w:trPr>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3"/>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r w:rsidRPr="00CA49F8">
              <w:rPr>
                <w:rFonts w:ascii="Arial" w:eastAsia="Times New Roman" w:hAnsi="Arial" w:cs="Arial"/>
                <w:color w:val="000000"/>
                <w:sz w:val="20"/>
                <w:szCs w:val="20"/>
              </w:rPr>
              <w:t> </w:t>
            </w:r>
          </w:p>
        </w:tc>
        <w:tc>
          <w:tcPr>
            <w:tcW w:w="0" w:type="auto"/>
            <w:gridSpan w:val="2"/>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gridSpan w:val="2"/>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75"/>
          <w:tblCellSpacing w:w="0" w:type="dxa"/>
          <w:jc w:val="center"/>
        </w:trPr>
        <w:tc>
          <w:tcPr>
            <w:tcW w:w="0" w:type="auto"/>
            <w:gridSpan w:val="2"/>
            <w:shd w:val="clear" w:color="auto" w:fill="FFFFFF"/>
            <w:hideMark/>
          </w:tcPr>
          <w:p w:rsidR="00CA49F8" w:rsidRPr="00CA49F8" w:rsidRDefault="00CA49F8" w:rsidP="00CA49F8">
            <w:pPr>
              <w:spacing w:after="0" w:line="240" w:lineRule="auto"/>
              <w:rPr>
                <w:rFonts w:ascii="Verdana" w:eastAsia="Times New Roman" w:hAnsi="Verdana" w:cs="Arial"/>
                <w:color w:val="000000"/>
                <w:sz w:val="8"/>
                <w:szCs w:val="13"/>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gridSpan w:val="2"/>
            <w:shd w:val="clear" w:color="auto" w:fill="FFFFFF"/>
            <w:hideMark/>
          </w:tcPr>
          <w:p w:rsidR="00CA49F8" w:rsidRPr="00CA49F8" w:rsidRDefault="00CA49F8" w:rsidP="00CA49F8">
            <w:pPr>
              <w:spacing w:after="0" w:line="240" w:lineRule="auto"/>
              <w:jc w:val="center"/>
              <w:rPr>
                <w:rFonts w:ascii="Verdana" w:eastAsia="Times New Roman" w:hAnsi="Verdana" w:cs="Arial"/>
                <w:color w:val="000000"/>
                <w:sz w:val="8"/>
                <w:szCs w:val="13"/>
              </w:rPr>
            </w:pPr>
          </w:p>
        </w:tc>
      </w:tr>
      <w:tr w:rsidR="00CA49F8" w:rsidRPr="00CA49F8" w:rsidTr="00CA49F8">
        <w:trPr>
          <w:tblCellSpacing w:w="0" w:type="dxa"/>
          <w:jc w:val="center"/>
        </w:trPr>
        <w:tc>
          <w:tcPr>
            <w:tcW w:w="100" w:type="pct"/>
            <w:shd w:val="clear" w:color="auto" w:fill="FFFFFF"/>
            <w:hideMark/>
          </w:tcPr>
          <w:p w:rsidR="00CA49F8" w:rsidRPr="00CA49F8" w:rsidRDefault="00CA49F8" w:rsidP="00CA49F8">
            <w:pPr>
              <w:spacing w:after="0" w:line="240" w:lineRule="auto"/>
              <w:rPr>
                <w:rFonts w:ascii="Verdana" w:eastAsia="Times New Roman" w:hAnsi="Verdana" w:cs="Arial"/>
                <w:color w:val="000000"/>
                <w:sz w:val="13"/>
                <w:szCs w:val="13"/>
              </w:rPr>
            </w:pPr>
            <w:r w:rsidRPr="00CA49F8">
              <w:rPr>
                <w:rFonts w:ascii="Verdana" w:eastAsia="Times New Roman" w:hAnsi="Verdana" w:cs="Arial"/>
                <w:color w:val="000000"/>
                <w:sz w:val="13"/>
                <w:szCs w:val="13"/>
              </w:rPr>
              <w:t> </w:t>
            </w:r>
          </w:p>
        </w:tc>
        <w:tc>
          <w:tcPr>
            <w:tcW w:w="950" w:type="pct"/>
            <w:shd w:val="clear" w:color="auto" w:fill="FFFFFF"/>
            <w:hideMark/>
          </w:tcPr>
          <w:p w:rsidR="00CA49F8" w:rsidRPr="00CA49F8" w:rsidRDefault="00CA49F8" w:rsidP="00CA49F8">
            <w:pPr>
              <w:spacing w:after="0" w:line="240" w:lineRule="auto"/>
              <w:rPr>
                <w:rFonts w:ascii="Verdana" w:eastAsia="Times New Roman" w:hAnsi="Verdana" w:cs="Arial"/>
                <w:b/>
                <w:bCs/>
                <w:color w:val="000000"/>
                <w:sz w:val="12"/>
                <w:szCs w:val="12"/>
              </w:rPr>
            </w:pPr>
            <w:r w:rsidRPr="00CA49F8">
              <w:rPr>
                <w:rFonts w:ascii="Verdana" w:eastAsia="Times New Roman" w:hAnsi="Verdana" w:cs="Arial"/>
                <w:b/>
                <w:bCs/>
                <w:color w:val="000000"/>
                <w:sz w:val="12"/>
                <w:szCs w:val="12"/>
              </w:rPr>
              <w:t>Duties of persons engaged in petroleum operation</w:t>
            </w:r>
          </w:p>
        </w:tc>
        <w:tc>
          <w:tcPr>
            <w:tcW w:w="25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hideMark/>
          </w:tcPr>
          <w:p w:rsidR="00CA49F8" w:rsidRPr="00CA49F8" w:rsidRDefault="00CA49F8" w:rsidP="00CA49F8">
            <w:pPr>
              <w:spacing w:after="0" w:line="161" w:lineRule="atLeast"/>
              <w:rPr>
                <w:rFonts w:ascii="Verdana" w:eastAsia="Times New Roman" w:hAnsi="Verdana" w:cs="Arial"/>
                <w:color w:val="000000"/>
                <w:sz w:val="13"/>
                <w:szCs w:val="13"/>
              </w:rPr>
            </w:pPr>
            <w:r w:rsidRPr="00CA49F8">
              <w:rPr>
                <w:rFonts w:ascii="Verdana" w:eastAsia="Times New Roman" w:hAnsi="Verdana" w:cs="Arial"/>
                <w:color w:val="000000"/>
                <w:sz w:val="13"/>
                <w:szCs w:val="13"/>
              </w:rPr>
              <w:t>6. (1) It shall be the duty of any person engaged in any petroleum operation-</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(a) to ensure that such petroleum operation is carried on in a proper and workmanlike manner and in accordance with good oil-field practice;</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(b) to carry on petroleum operation in any area in a manner that does not interfere with navigation, fishing, and conservation of resources of the sea and sea-bed;</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(c) to consider factors connected with the ecology and environment.</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(2) In particular, and without prejudice to the generality of the foregoing provision, a person engaged in any petroleum operation shall, in carrying on such operation in any area,-</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(a) control the flow, and prevent the waste or escape, in that area of petroleum or water;</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(b) prevent the escape in that area of any mixture of water or drilling fluid with petroleum or any other matter;</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(c) prevent damage to petroleum bearing strata in any area, whether adjacent to that area or not;</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(d) keep separate each petroleum pool discovered in the area;</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(e) prevent water or any other matter entering a petroleum pool through wells in that area, except when required by, and in accordance with, good oil-field practice.</w:t>
            </w:r>
          </w:p>
        </w:tc>
      </w:tr>
      <w:tr w:rsidR="00CA49F8" w:rsidRPr="00CA49F8" w:rsidTr="00CA49F8">
        <w:trPr>
          <w:trHeight w:val="75"/>
          <w:tblCellSpacing w:w="0" w:type="dxa"/>
          <w:jc w:val="center"/>
        </w:trPr>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3"/>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r w:rsidRPr="00CA49F8">
              <w:rPr>
                <w:rFonts w:ascii="Arial" w:eastAsia="Times New Roman" w:hAnsi="Arial" w:cs="Arial"/>
                <w:color w:val="000000"/>
                <w:sz w:val="20"/>
                <w:szCs w:val="20"/>
              </w:rPr>
              <w:t> </w:t>
            </w:r>
          </w:p>
        </w:tc>
        <w:tc>
          <w:tcPr>
            <w:tcW w:w="0" w:type="auto"/>
            <w:gridSpan w:val="2"/>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gridSpan w:val="2"/>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75"/>
          <w:tblCellSpacing w:w="0" w:type="dxa"/>
          <w:jc w:val="center"/>
        </w:trPr>
        <w:tc>
          <w:tcPr>
            <w:tcW w:w="0" w:type="auto"/>
            <w:gridSpan w:val="2"/>
            <w:shd w:val="clear" w:color="auto" w:fill="FFFFFF"/>
            <w:hideMark/>
          </w:tcPr>
          <w:p w:rsidR="00CA49F8" w:rsidRPr="00CA49F8" w:rsidRDefault="00CA49F8" w:rsidP="00CA49F8">
            <w:pPr>
              <w:spacing w:after="0" w:line="240" w:lineRule="auto"/>
              <w:rPr>
                <w:rFonts w:ascii="Verdana" w:eastAsia="Times New Roman" w:hAnsi="Verdana" w:cs="Arial"/>
                <w:color w:val="000000"/>
                <w:sz w:val="8"/>
                <w:szCs w:val="13"/>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gridSpan w:val="2"/>
            <w:shd w:val="clear" w:color="auto" w:fill="FFFFFF"/>
            <w:hideMark/>
          </w:tcPr>
          <w:p w:rsidR="00CA49F8" w:rsidRPr="00CA49F8" w:rsidRDefault="00CA49F8" w:rsidP="00CA49F8">
            <w:pPr>
              <w:spacing w:after="0" w:line="240" w:lineRule="auto"/>
              <w:jc w:val="center"/>
              <w:rPr>
                <w:rFonts w:ascii="Verdana" w:eastAsia="Times New Roman" w:hAnsi="Verdana" w:cs="Arial"/>
                <w:color w:val="000000"/>
                <w:sz w:val="8"/>
                <w:szCs w:val="13"/>
              </w:rPr>
            </w:pPr>
          </w:p>
        </w:tc>
      </w:tr>
      <w:tr w:rsidR="00CA49F8" w:rsidRPr="00CA49F8" w:rsidTr="00CA49F8">
        <w:trPr>
          <w:tblCellSpacing w:w="0" w:type="dxa"/>
          <w:jc w:val="center"/>
        </w:trPr>
        <w:tc>
          <w:tcPr>
            <w:tcW w:w="100" w:type="pct"/>
            <w:shd w:val="clear" w:color="auto" w:fill="FFFFFF"/>
            <w:hideMark/>
          </w:tcPr>
          <w:p w:rsidR="00CA49F8" w:rsidRPr="00CA49F8" w:rsidRDefault="00CA49F8" w:rsidP="00CA49F8">
            <w:pPr>
              <w:spacing w:after="0" w:line="240" w:lineRule="auto"/>
              <w:rPr>
                <w:rFonts w:ascii="Verdana" w:eastAsia="Times New Roman" w:hAnsi="Verdana" w:cs="Arial"/>
                <w:color w:val="000000"/>
                <w:sz w:val="13"/>
                <w:szCs w:val="13"/>
              </w:rPr>
            </w:pPr>
            <w:r w:rsidRPr="00CA49F8">
              <w:rPr>
                <w:rFonts w:ascii="Verdana" w:eastAsia="Times New Roman" w:hAnsi="Verdana" w:cs="Arial"/>
                <w:color w:val="000000"/>
                <w:sz w:val="13"/>
                <w:szCs w:val="13"/>
              </w:rPr>
              <w:t> </w:t>
            </w:r>
          </w:p>
        </w:tc>
        <w:tc>
          <w:tcPr>
            <w:tcW w:w="950" w:type="pct"/>
            <w:shd w:val="clear" w:color="auto" w:fill="FFFFFF"/>
            <w:hideMark/>
          </w:tcPr>
          <w:p w:rsidR="00CA49F8" w:rsidRPr="00CA49F8" w:rsidRDefault="00CA49F8" w:rsidP="00CA49F8">
            <w:pPr>
              <w:spacing w:after="0" w:line="240" w:lineRule="auto"/>
              <w:rPr>
                <w:rFonts w:ascii="Verdana" w:eastAsia="Times New Roman" w:hAnsi="Verdana" w:cs="Arial"/>
                <w:b/>
                <w:bCs/>
                <w:color w:val="000000"/>
                <w:sz w:val="12"/>
                <w:szCs w:val="12"/>
              </w:rPr>
            </w:pPr>
            <w:r w:rsidRPr="00CA49F8">
              <w:rPr>
                <w:rFonts w:ascii="Verdana" w:eastAsia="Times New Roman" w:hAnsi="Verdana" w:cs="Arial"/>
                <w:b/>
                <w:bCs/>
                <w:color w:val="000000"/>
                <w:sz w:val="12"/>
                <w:szCs w:val="12"/>
              </w:rPr>
              <w:t xml:space="preserve">Land required for petroleum operation to be </w:t>
            </w:r>
            <w:r w:rsidRPr="00CA49F8">
              <w:rPr>
                <w:rFonts w:ascii="Verdana" w:eastAsia="Times New Roman" w:hAnsi="Verdana" w:cs="Arial"/>
                <w:b/>
                <w:bCs/>
                <w:color w:val="000000"/>
                <w:sz w:val="12"/>
                <w:szCs w:val="12"/>
              </w:rPr>
              <w:lastRenderedPageBreak/>
              <w:t>deemed for public purpose</w:t>
            </w:r>
          </w:p>
        </w:tc>
        <w:tc>
          <w:tcPr>
            <w:tcW w:w="25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lastRenderedPageBreak/>
              <w:t> </w:t>
            </w:r>
          </w:p>
        </w:tc>
        <w:tc>
          <w:tcPr>
            <w:tcW w:w="0" w:type="auto"/>
            <w:gridSpan w:val="2"/>
            <w:shd w:val="clear" w:color="auto" w:fill="FFFFFF"/>
            <w:hideMark/>
          </w:tcPr>
          <w:p w:rsidR="00CA49F8" w:rsidRPr="00CA49F8" w:rsidRDefault="00CA49F8" w:rsidP="00CA49F8">
            <w:pPr>
              <w:spacing w:after="0" w:line="161" w:lineRule="atLeast"/>
              <w:rPr>
                <w:rFonts w:ascii="Verdana" w:eastAsia="Times New Roman" w:hAnsi="Verdana" w:cs="Arial"/>
                <w:color w:val="000000"/>
                <w:sz w:val="13"/>
                <w:szCs w:val="13"/>
              </w:rPr>
            </w:pPr>
            <w:r w:rsidRPr="00CA49F8">
              <w:rPr>
                <w:rFonts w:ascii="Verdana" w:eastAsia="Times New Roman" w:hAnsi="Verdana" w:cs="Arial"/>
                <w:color w:val="000000"/>
                <w:sz w:val="13"/>
                <w:szCs w:val="13"/>
              </w:rPr>
              <w:t>7. Any land required for carrying on any petroleum operation shall be deemed to be required for a public purpose.</w:t>
            </w:r>
          </w:p>
        </w:tc>
      </w:tr>
      <w:tr w:rsidR="00CA49F8" w:rsidRPr="00CA49F8" w:rsidTr="00CA49F8">
        <w:trPr>
          <w:trHeight w:val="75"/>
          <w:tblCellSpacing w:w="0" w:type="dxa"/>
          <w:jc w:val="center"/>
        </w:trPr>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3"/>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r w:rsidRPr="00CA49F8">
              <w:rPr>
                <w:rFonts w:ascii="Arial" w:eastAsia="Times New Roman" w:hAnsi="Arial" w:cs="Arial"/>
                <w:color w:val="000000"/>
                <w:sz w:val="20"/>
                <w:szCs w:val="20"/>
              </w:rPr>
              <w:t> </w:t>
            </w:r>
          </w:p>
        </w:tc>
        <w:tc>
          <w:tcPr>
            <w:tcW w:w="0" w:type="auto"/>
            <w:gridSpan w:val="2"/>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gridSpan w:val="2"/>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75"/>
          <w:tblCellSpacing w:w="0" w:type="dxa"/>
          <w:jc w:val="center"/>
        </w:trPr>
        <w:tc>
          <w:tcPr>
            <w:tcW w:w="0" w:type="auto"/>
            <w:gridSpan w:val="2"/>
            <w:shd w:val="clear" w:color="auto" w:fill="FFFFFF"/>
            <w:hideMark/>
          </w:tcPr>
          <w:p w:rsidR="00CA49F8" w:rsidRPr="00CA49F8" w:rsidRDefault="00CA49F8" w:rsidP="00CA49F8">
            <w:pPr>
              <w:spacing w:after="0" w:line="240" w:lineRule="auto"/>
              <w:rPr>
                <w:rFonts w:ascii="Verdana" w:eastAsia="Times New Roman" w:hAnsi="Verdana" w:cs="Arial"/>
                <w:color w:val="000000"/>
                <w:sz w:val="8"/>
                <w:szCs w:val="13"/>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gridSpan w:val="2"/>
            <w:shd w:val="clear" w:color="auto" w:fill="FFFFFF"/>
            <w:hideMark/>
          </w:tcPr>
          <w:p w:rsidR="00CA49F8" w:rsidRPr="00CA49F8" w:rsidRDefault="00CA49F8" w:rsidP="00CA49F8">
            <w:pPr>
              <w:spacing w:after="0" w:line="240" w:lineRule="auto"/>
              <w:jc w:val="center"/>
              <w:rPr>
                <w:rFonts w:ascii="Verdana" w:eastAsia="Times New Roman" w:hAnsi="Verdana" w:cs="Arial"/>
                <w:color w:val="000000"/>
                <w:sz w:val="8"/>
                <w:szCs w:val="13"/>
              </w:rPr>
            </w:pPr>
          </w:p>
        </w:tc>
      </w:tr>
      <w:tr w:rsidR="00CA49F8" w:rsidRPr="00CA49F8" w:rsidTr="00CA49F8">
        <w:trPr>
          <w:tblCellSpacing w:w="0" w:type="dxa"/>
          <w:jc w:val="center"/>
        </w:trPr>
        <w:tc>
          <w:tcPr>
            <w:tcW w:w="100" w:type="pct"/>
            <w:shd w:val="clear" w:color="auto" w:fill="FFFFFF"/>
            <w:hideMark/>
          </w:tcPr>
          <w:p w:rsidR="00CA49F8" w:rsidRPr="00CA49F8" w:rsidRDefault="00CA49F8" w:rsidP="00CA49F8">
            <w:pPr>
              <w:spacing w:after="0" w:line="240" w:lineRule="auto"/>
              <w:rPr>
                <w:rFonts w:ascii="Verdana" w:eastAsia="Times New Roman" w:hAnsi="Verdana" w:cs="Arial"/>
                <w:color w:val="000000"/>
                <w:sz w:val="13"/>
                <w:szCs w:val="13"/>
              </w:rPr>
            </w:pPr>
            <w:r w:rsidRPr="00CA49F8">
              <w:rPr>
                <w:rFonts w:ascii="Verdana" w:eastAsia="Times New Roman" w:hAnsi="Verdana" w:cs="Arial"/>
                <w:color w:val="000000"/>
                <w:sz w:val="13"/>
                <w:szCs w:val="13"/>
              </w:rPr>
              <w:t> </w:t>
            </w:r>
          </w:p>
        </w:tc>
        <w:tc>
          <w:tcPr>
            <w:tcW w:w="950" w:type="pct"/>
            <w:shd w:val="clear" w:color="auto" w:fill="FFFFFF"/>
            <w:hideMark/>
          </w:tcPr>
          <w:p w:rsidR="00CA49F8" w:rsidRPr="00CA49F8" w:rsidRDefault="00CA49F8" w:rsidP="00CA49F8">
            <w:pPr>
              <w:spacing w:after="0" w:line="240" w:lineRule="auto"/>
              <w:rPr>
                <w:rFonts w:ascii="Verdana" w:eastAsia="Times New Roman" w:hAnsi="Verdana" w:cs="Arial"/>
                <w:b/>
                <w:bCs/>
                <w:color w:val="000000"/>
                <w:sz w:val="12"/>
                <w:szCs w:val="12"/>
              </w:rPr>
            </w:pPr>
            <w:r w:rsidRPr="00CA49F8">
              <w:rPr>
                <w:rFonts w:ascii="Verdana" w:eastAsia="Times New Roman" w:hAnsi="Verdana" w:cs="Arial"/>
                <w:b/>
                <w:bCs/>
                <w:color w:val="000000"/>
                <w:sz w:val="12"/>
                <w:szCs w:val="12"/>
              </w:rPr>
              <w:t>Delegation of powers</w:t>
            </w:r>
          </w:p>
        </w:tc>
        <w:tc>
          <w:tcPr>
            <w:tcW w:w="25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hideMark/>
          </w:tcPr>
          <w:p w:rsidR="00CA49F8" w:rsidRPr="00CA49F8" w:rsidRDefault="007D5390" w:rsidP="00CA49F8">
            <w:pPr>
              <w:spacing w:after="0" w:line="161" w:lineRule="atLeast"/>
              <w:rPr>
                <w:rFonts w:ascii="Verdana" w:eastAsia="Times New Roman" w:hAnsi="Verdana" w:cs="Arial"/>
                <w:color w:val="000000"/>
                <w:sz w:val="13"/>
                <w:szCs w:val="13"/>
              </w:rPr>
            </w:pPr>
            <w:hyperlink r:id="rId10" w:history="1">
              <w:r w:rsidR="00CA49F8" w:rsidRPr="00CA49F8">
                <w:rPr>
                  <w:rFonts w:ascii="Verdana" w:eastAsia="Times New Roman" w:hAnsi="Verdana" w:cs="Arial"/>
                  <w:color w:val="0066CC"/>
                  <w:sz w:val="13"/>
                  <w:u w:val="single"/>
                  <w:vertAlign w:val="superscript"/>
                </w:rPr>
                <w:t>2</w:t>
              </w:r>
              <w:r w:rsidR="00CA49F8" w:rsidRPr="00CA49F8">
                <w:rPr>
                  <w:rFonts w:ascii="Verdana" w:eastAsia="Times New Roman" w:hAnsi="Verdana" w:cs="Arial"/>
                  <w:color w:val="0066CC"/>
                  <w:sz w:val="13"/>
                  <w:u w:val="single"/>
                </w:rPr>
                <w:t>[</w:t>
              </w:r>
            </w:hyperlink>
            <w:r w:rsidR="00CA49F8" w:rsidRPr="00CA49F8">
              <w:rPr>
                <w:rFonts w:ascii="Verdana" w:eastAsia="Times New Roman" w:hAnsi="Verdana" w:cs="Arial"/>
                <w:color w:val="000000"/>
                <w:sz w:val="13"/>
              </w:rPr>
              <w:t> </w:t>
            </w:r>
            <w:r w:rsidR="00CA49F8" w:rsidRPr="00CA49F8">
              <w:rPr>
                <w:rFonts w:ascii="Verdana" w:eastAsia="Times New Roman" w:hAnsi="Verdana" w:cs="Arial"/>
                <w:color w:val="000000"/>
                <w:sz w:val="13"/>
                <w:szCs w:val="13"/>
              </w:rPr>
              <w:t>8. The Government may, by order in writing, delegate to the</w:t>
            </w:r>
            <w:hyperlink r:id="rId11" w:tgtFrame="_blank" w:history="1">
              <w:r w:rsidR="00CA49F8" w:rsidRPr="00CA49F8">
                <w:rPr>
                  <w:rFonts w:ascii="Verdana" w:eastAsia="Times New Roman" w:hAnsi="Verdana" w:cs="Arial"/>
                  <w:color w:val="0000FF"/>
                  <w:sz w:val="13"/>
                  <w:u w:val="single"/>
                </w:rPr>
                <w:t> Bangladesh Oil</w:t>
              </w:r>
            </w:hyperlink>
            <w:r w:rsidR="00CA49F8" w:rsidRPr="00CA49F8">
              <w:rPr>
                <w:rFonts w:ascii="Verdana" w:eastAsia="Times New Roman" w:hAnsi="Verdana" w:cs="Arial"/>
                <w:color w:val="000000"/>
                <w:sz w:val="13"/>
              </w:rPr>
              <w:t> </w:t>
            </w:r>
            <w:r w:rsidR="00CA49F8" w:rsidRPr="00CA49F8">
              <w:rPr>
                <w:rFonts w:ascii="Verdana" w:eastAsia="Times New Roman" w:hAnsi="Verdana" w:cs="Arial"/>
                <w:color w:val="000000"/>
                <w:sz w:val="13"/>
                <w:szCs w:val="13"/>
              </w:rPr>
              <w:t>and Gas Corporation, that is, Petrobangla, or to any other Government agency, subject to such conditions, if any, as may be specified therein, such of its rights and powers under this Act, or the rules made thereunder as may be so specified.]</w:t>
            </w:r>
          </w:p>
        </w:tc>
      </w:tr>
      <w:tr w:rsidR="00CA49F8" w:rsidRPr="00CA49F8" w:rsidTr="00CA49F8">
        <w:trPr>
          <w:trHeight w:val="75"/>
          <w:tblCellSpacing w:w="0" w:type="dxa"/>
          <w:jc w:val="center"/>
        </w:trPr>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3"/>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r w:rsidRPr="00CA49F8">
              <w:rPr>
                <w:rFonts w:ascii="Arial" w:eastAsia="Times New Roman" w:hAnsi="Arial" w:cs="Arial"/>
                <w:color w:val="000000"/>
                <w:sz w:val="20"/>
                <w:szCs w:val="20"/>
              </w:rPr>
              <w:t> </w:t>
            </w:r>
          </w:p>
        </w:tc>
        <w:tc>
          <w:tcPr>
            <w:tcW w:w="0" w:type="auto"/>
            <w:gridSpan w:val="2"/>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gridSpan w:val="2"/>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75"/>
          <w:tblCellSpacing w:w="0" w:type="dxa"/>
          <w:jc w:val="center"/>
        </w:trPr>
        <w:tc>
          <w:tcPr>
            <w:tcW w:w="0" w:type="auto"/>
            <w:gridSpan w:val="2"/>
            <w:shd w:val="clear" w:color="auto" w:fill="FFFFFF"/>
            <w:hideMark/>
          </w:tcPr>
          <w:p w:rsidR="00CA49F8" w:rsidRPr="00CA49F8" w:rsidRDefault="00CA49F8" w:rsidP="00CA49F8">
            <w:pPr>
              <w:spacing w:after="0" w:line="240" w:lineRule="auto"/>
              <w:rPr>
                <w:rFonts w:ascii="Verdana" w:eastAsia="Times New Roman" w:hAnsi="Verdana" w:cs="Arial"/>
                <w:color w:val="000000"/>
                <w:sz w:val="8"/>
                <w:szCs w:val="13"/>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gridSpan w:val="2"/>
            <w:shd w:val="clear" w:color="auto" w:fill="FFFFFF"/>
            <w:hideMark/>
          </w:tcPr>
          <w:p w:rsidR="00CA49F8" w:rsidRPr="00CA49F8" w:rsidRDefault="00CA49F8" w:rsidP="00CA49F8">
            <w:pPr>
              <w:spacing w:after="0" w:line="240" w:lineRule="auto"/>
              <w:jc w:val="center"/>
              <w:rPr>
                <w:rFonts w:ascii="Verdana" w:eastAsia="Times New Roman" w:hAnsi="Verdana" w:cs="Arial"/>
                <w:color w:val="000000"/>
                <w:sz w:val="8"/>
                <w:szCs w:val="13"/>
              </w:rPr>
            </w:pPr>
          </w:p>
        </w:tc>
      </w:tr>
      <w:tr w:rsidR="00CA49F8" w:rsidRPr="00CA49F8" w:rsidTr="00CA49F8">
        <w:trPr>
          <w:tblCellSpacing w:w="0" w:type="dxa"/>
          <w:jc w:val="center"/>
        </w:trPr>
        <w:tc>
          <w:tcPr>
            <w:tcW w:w="100" w:type="pct"/>
            <w:shd w:val="clear" w:color="auto" w:fill="FFFFFF"/>
            <w:hideMark/>
          </w:tcPr>
          <w:p w:rsidR="00CA49F8" w:rsidRPr="00CA49F8" w:rsidRDefault="00CA49F8" w:rsidP="00CA49F8">
            <w:pPr>
              <w:spacing w:after="0" w:line="240" w:lineRule="auto"/>
              <w:rPr>
                <w:rFonts w:ascii="Verdana" w:eastAsia="Times New Roman" w:hAnsi="Verdana" w:cs="Arial"/>
                <w:color w:val="000000"/>
                <w:sz w:val="13"/>
                <w:szCs w:val="13"/>
              </w:rPr>
            </w:pPr>
            <w:r w:rsidRPr="00CA49F8">
              <w:rPr>
                <w:rFonts w:ascii="Verdana" w:eastAsia="Times New Roman" w:hAnsi="Verdana" w:cs="Arial"/>
                <w:color w:val="000000"/>
                <w:sz w:val="13"/>
                <w:szCs w:val="13"/>
              </w:rPr>
              <w:t> </w:t>
            </w:r>
          </w:p>
        </w:tc>
        <w:tc>
          <w:tcPr>
            <w:tcW w:w="950" w:type="pct"/>
            <w:shd w:val="clear" w:color="auto" w:fill="FFFFFF"/>
            <w:hideMark/>
          </w:tcPr>
          <w:p w:rsidR="00CA49F8" w:rsidRPr="00CA49F8" w:rsidRDefault="00CA49F8" w:rsidP="00CA49F8">
            <w:pPr>
              <w:spacing w:after="0" w:line="240" w:lineRule="auto"/>
              <w:rPr>
                <w:rFonts w:ascii="Verdana" w:eastAsia="Times New Roman" w:hAnsi="Verdana" w:cs="Arial"/>
                <w:b/>
                <w:bCs/>
                <w:color w:val="000000"/>
                <w:sz w:val="12"/>
                <w:szCs w:val="12"/>
              </w:rPr>
            </w:pPr>
            <w:r w:rsidRPr="00CA49F8">
              <w:rPr>
                <w:rFonts w:ascii="Verdana" w:eastAsia="Times New Roman" w:hAnsi="Verdana" w:cs="Arial"/>
                <w:b/>
                <w:bCs/>
                <w:color w:val="000000"/>
                <w:sz w:val="12"/>
                <w:szCs w:val="12"/>
              </w:rPr>
              <w:t>Penalty</w:t>
            </w:r>
          </w:p>
        </w:tc>
        <w:tc>
          <w:tcPr>
            <w:tcW w:w="25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hideMark/>
          </w:tcPr>
          <w:p w:rsidR="00CA49F8" w:rsidRPr="00CA49F8" w:rsidRDefault="00CA49F8" w:rsidP="00CA49F8">
            <w:pPr>
              <w:spacing w:after="0" w:line="161" w:lineRule="atLeast"/>
              <w:rPr>
                <w:rFonts w:ascii="Verdana" w:eastAsia="Times New Roman" w:hAnsi="Verdana" w:cs="Arial"/>
                <w:color w:val="000000"/>
                <w:sz w:val="13"/>
                <w:szCs w:val="13"/>
              </w:rPr>
            </w:pPr>
            <w:r w:rsidRPr="00CA49F8">
              <w:rPr>
                <w:rFonts w:ascii="Verdana" w:eastAsia="Times New Roman" w:hAnsi="Verdana" w:cs="Arial"/>
                <w:color w:val="000000"/>
                <w:sz w:val="13"/>
                <w:szCs w:val="13"/>
              </w:rPr>
              <w:t>9. (1) Whoever contravenes any provision of this Act or the rules made thereunder shall be punishable with imprisonment for a term which may extend to one year, or with fine, or with both.</w:t>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r>
            <w:r w:rsidRPr="00CA49F8">
              <w:rPr>
                <w:rFonts w:ascii="Verdana" w:eastAsia="Times New Roman" w:hAnsi="Verdana" w:cs="Arial"/>
                <w:color w:val="000000"/>
                <w:sz w:val="13"/>
                <w:szCs w:val="13"/>
              </w:rPr>
              <w:br/>
              <w:t>(2) Where an offence punishable under sub-section (1) is committed by a firm, company or other body corporate, every partner, director, manager, secretary or other officer or agent thereof shall, if actively concerned in the conduct of the business of such firm, company or body corporate, be deemed to have committed the offence unless he proves that the offence was committed without his knowledge or that he exercised all due diligence to prevent the commission of the offence.</w:t>
            </w:r>
          </w:p>
        </w:tc>
      </w:tr>
      <w:tr w:rsidR="00CA49F8" w:rsidRPr="00CA49F8" w:rsidTr="00CA49F8">
        <w:trPr>
          <w:trHeight w:val="75"/>
          <w:tblCellSpacing w:w="0" w:type="dxa"/>
          <w:jc w:val="center"/>
        </w:trPr>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3"/>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r w:rsidRPr="00CA49F8">
              <w:rPr>
                <w:rFonts w:ascii="Arial" w:eastAsia="Times New Roman" w:hAnsi="Arial" w:cs="Arial"/>
                <w:color w:val="000000"/>
                <w:sz w:val="20"/>
                <w:szCs w:val="20"/>
              </w:rPr>
              <w:t> </w:t>
            </w:r>
          </w:p>
        </w:tc>
        <w:tc>
          <w:tcPr>
            <w:tcW w:w="0" w:type="auto"/>
            <w:gridSpan w:val="2"/>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gridSpan w:val="2"/>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75"/>
          <w:tblCellSpacing w:w="0" w:type="dxa"/>
          <w:jc w:val="center"/>
        </w:trPr>
        <w:tc>
          <w:tcPr>
            <w:tcW w:w="0" w:type="auto"/>
            <w:gridSpan w:val="2"/>
            <w:shd w:val="clear" w:color="auto" w:fill="FFFFFF"/>
            <w:hideMark/>
          </w:tcPr>
          <w:p w:rsidR="00CA49F8" w:rsidRPr="00CA49F8" w:rsidRDefault="00CA49F8" w:rsidP="00CA49F8">
            <w:pPr>
              <w:spacing w:after="0" w:line="240" w:lineRule="auto"/>
              <w:rPr>
                <w:rFonts w:ascii="Verdana" w:eastAsia="Times New Roman" w:hAnsi="Verdana" w:cs="Arial"/>
                <w:color w:val="000000"/>
                <w:sz w:val="8"/>
                <w:szCs w:val="13"/>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gridSpan w:val="2"/>
            <w:shd w:val="clear" w:color="auto" w:fill="FFFFFF"/>
            <w:hideMark/>
          </w:tcPr>
          <w:p w:rsidR="00CA49F8" w:rsidRPr="00CA49F8" w:rsidRDefault="00CA49F8" w:rsidP="00CA49F8">
            <w:pPr>
              <w:spacing w:after="0" w:line="240" w:lineRule="auto"/>
              <w:jc w:val="center"/>
              <w:rPr>
                <w:rFonts w:ascii="Verdana" w:eastAsia="Times New Roman" w:hAnsi="Verdana" w:cs="Arial"/>
                <w:color w:val="000000"/>
                <w:sz w:val="8"/>
                <w:szCs w:val="13"/>
              </w:rPr>
            </w:pPr>
          </w:p>
        </w:tc>
      </w:tr>
      <w:tr w:rsidR="00CA49F8" w:rsidRPr="00CA49F8" w:rsidTr="00CA49F8">
        <w:trPr>
          <w:tblCellSpacing w:w="0" w:type="dxa"/>
          <w:jc w:val="center"/>
        </w:trPr>
        <w:tc>
          <w:tcPr>
            <w:tcW w:w="100" w:type="pct"/>
            <w:shd w:val="clear" w:color="auto" w:fill="FFFFFF"/>
            <w:hideMark/>
          </w:tcPr>
          <w:p w:rsidR="00CA49F8" w:rsidRPr="00CA49F8" w:rsidRDefault="00CA49F8" w:rsidP="00CA49F8">
            <w:pPr>
              <w:spacing w:after="0" w:line="240" w:lineRule="auto"/>
              <w:rPr>
                <w:rFonts w:ascii="Verdana" w:eastAsia="Times New Roman" w:hAnsi="Verdana" w:cs="Arial"/>
                <w:color w:val="000000"/>
                <w:sz w:val="13"/>
                <w:szCs w:val="13"/>
              </w:rPr>
            </w:pPr>
            <w:r w:rsidRPr="00CA49F8">
              <w:rPr>
                <w:rFonts w:ascii="Verdana" w:eastAsia="Times New Roman" w:hAnsi="Verdana" w:cs="Arial"/>
                <w:color w:val="000000"/>
                <w:sz w:val="13"/>
                <w:szCs w:val="13"/>
              </w:rPr>
              <w:t> </w:t>
            </w:r>
          </w:p>
        </w:tc>
        <w:tc>
          <w:tcPr>
            <w:tcW w:w="950" w:type="pct"/>
            <w:shd w:val="clear" w:color="auto" w:fill="FFFFFF"/>
            <w:hideMark/>
          </w:tcPr>
          <w:p w:rsidR="00CA49F8" w:rsidRPr="00CA49F8" w:rsidRDefault="00CA49F8" w:rsidP="00CA49F8">
            <w:pPr>
              <w:spacing w:after="0" w:line="240" w:lineRule="auto"/>
              <w:rPr>
                <w:rFonts w:ascii="Verdana" w:eastAsia="Times New Roman" w:hAnsi="Verdana" w:cs="Arial"/>
                <w:b/>
                <w:bCs/>
                <w:color w:val="000000"/>
                <w:sz w:val="12"/>
                <w:szCs w:val="12"/>
              </w:rPr>
            </w:pPr>
            <w:r w:rsidRPr="00CA49F8">
              <w:rPr>
                <w:rFonts w:ascii="Verdana" w:eastAsia="Times New Roman" w:hAnsi="Verdana" w:cs="Arial"/>
                <w:b/>
                <w:bCs/>
                <w:color w:val="000000"/>
                <w:sz w:val="12"/>
                <w:szCs w:val="12"/>
              </w:rPr>
              <w:t>Indemnity</w:t>
            </w:r>
          </w:p>
        </w:tc>
        <w:tc>
          <w:tcPr>
            <w:tcW w:w="25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hideMark/>
          </w:tcPr>
          <w:p w:rsidR="00CA49F8" w:rsidRPr="00CA49F8" w:rsidRDefault="00CA49F8" w:rsidP="00CA49F8">
            <w:pPr>
              <w:spacing w:after="0" w:line="161" w:lineRule="atLeast"/>
              <w:rPr>
                <w:rFonts w:ascii="Verdana" w:eastAsia="Times New Roman" w:hAnsi="Verdana" w:cs="Arial"/>
                <w:color w:val="000000"/>
                <w:sz w:val="13"/>
                <w:szCs w:val="13"/>
              </w:rPr>
            </w:pPr>
            <w:r w:rsidRPr="00CA49F8">
              <w:rPr>
                <w:rFonts w:ascii="Verdana" w:eastAsia="Times New Roman" w:hAnsi="Verdana" w:cs="Arial"/>
                <w:color w:val="000000"/>
                <w:sz w:val="13"/>
                <w:szCs w:val="13"/>
              </w:rPr>
              <w:t>10. No suit, prosecution or other legal proceeding shall lie against any person for anything which is in good faith done or intended to be done under this Act or the rules made thereunder.</w:t>
            </w:r>
          </w:p>
        </w:tc>
      </w:tr>
      <w:tr w:rsidR="00CA49F8" w:rsidRPr="00CA49F8" w:rsidTr="00CA49F8">
        <w:trPr>
          <w:trHeight w:val="75"/>
          <w:tblCellSpacing w:w="0" w:type="dxa"/>
          <w:jc w:val="center"/>
        </w:trPr>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3"/>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r w:rsidRPr="00CA49F8">
              <w:rPr>
                <w:rFonts w:ascii="Arial" w:eastAsia="Times New Roman" w:hAnsi="Arial" w:cs="Arial"/>
                <w:color w:val="000000"/>
                <w:sz w:val="20"/>
                <w:szCs w:val="20"/>
              </w:rPr>
              <w:t> </w:t>
            </w:r>
          </w:p>
        </w:tc>
        <w:tc>
          <w:tcPr>
            <w:tcW w:w="0" w:type="auto"/>
            <w:gridSpan w:val="2"/>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gridSpan w:val="2"/>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75"/>
          <w:tblCellSpacing w:w="0" w:type="dxa"/>
          <w:jc w:val="center"/>
        </w:trPr>
        <w:tc>
          <w:tcPr>
            <w:tcW w:w="0" w:type="auto"/>
            <w:gridSpan w:val="2"/>
            <w:shd w:val="clear" w:color="auto" w:fill="FFFFFF"/>
            <w:hideMark/>
          </w:tcPr>
          <w:p w:rsidR="00CA49F8" w:rsidRPr="00CA49F8" w:rsidRDefault="00CA49F8" w:rsidP="00CA49F8">
            <w:pPr>
              <w:spacing w:after="0" w:line="240" w:lineRule="auto"/>
              <w:rPr>
                <w:rFonts w:ascii="Verdana" w:eastAsia="Times New Roman" w:hAnsi="Verdana" w:cs="Arial"/>
                <w:color w:val="000000"/>
                <w:sz w:val="8"/>
                <w:szCs w:val="13"/>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gridSpan w:val="2"/>
            <w:shd w:val="clear" w:color="auto" w:fill="FFFFFF"/>
            <w:hideMark/>
          </w:tcPr>
          <w:p w:rsidR="00CA49F8" w:rsidRPr="00CA49F8" w:rsidRDefault="00CA49F8" w:rsidP="00CA49F8">
            <w:pPr>
              <w:spacing w:after="0" w:line="240" w:lineRule="auto"/>
              <w:jc w:val="center"/>
              <w:rPr>
                <w:rFonts w:ascii="Verdana" w:eastAsia="Times New Roman" w:hAnsi="Verdana" w:cs="Arial"/>
                <w:color w:val="000000"/>
                <w:sz w:val="8"/>
                <w:szCs w:val="13"/>
              </w:rPr>
            </w:pPr>
          </w:p>
        </w:tc>
      </w:tr>
      <w:tr w:rsidR="00CA49F8" w:rsidRPr="00CA49F8" w:rsidTr="00CA49F8">
        <w:trPr>
          <w:tblCellSpacing w:w="0" w:type="dxa"/>
          <w:jc w:val="center"/>
        </w:trPr>
        <w:tc>
          <w:tcPr>
            <w:tcW w:w="100" w:type="pct"/>
            <w:shd w:val="clear" w:color="auto" w:fill="FFFFFF"/>
            <w:hideMark/>
          </w:tcPr>
          <w:p w:rsidR="00CA49F8" w:rsidRPr="00CA49F8" w:rsidRDefault="00CA49F8" w:rsidP="00CA49F8">
            <w:pPr>
              <w:spacing w:after="0" w:line="240" w:lineRule="auto"/>
              <w:rPr>
                <w:rFonts w:ascii="Verdana" w:eastAsia="Times New Roman" w:hAnsi="Verdana" w:cs="Arial"/>
                <w:color w:val="000000"/>
                <w:sz w:val="13"/>
                <w:szCs w:val="13"/>
              </w:rPr>
            </w:pPr>
            <w:r w:rsidRPr="00CA49F8">
              <w:rPr>
                <w:rFonts w:ascii="Verdana" w:eastAsia="Times New Roman" w:hAnsi="Verdana" w:cs="Arial"/>
                <w:color w:val="000000"/>
                <w:sz w:val="13"/>
                <w:szCs w:val="13"/>
              </w:rPr>
              <w:t> </w:t>
            </w:r>
          </w:p>
        </w:tc>
        <w:tc>
          <w:tcPr>
            <w:tcW w:w="950" w:type="pct"/>
            <w:shd w:val="clear" w:color="auto" w:fill="FFFFFF"/>
            <w:hideMark/>
          </w:tcPr>
          <w:p w:rsidR="00CA49F8" w:rsidRPr="00CA49F8" w:rsidRDefault="00CA49F8" w:rsidP="00CA49F8">
            <w:pPr>
              <w:spacing w:after="0" w:line="240" w:lineRule="auto"/>
              <w:rPr>
                <w:rFonts w:ascii="Verdana" w:eastAsia="Times New Roman" w:hAnsi="Verdana" w:cs="Arial"/>
                <w:b/>
                <w:bCs/>
                <w:color w:val="000000"/>
                <w:sz w:val="12"/>
                <w:szCs w:val="12"/>
              </w:rPr>
            </w:pPr>
            <w:r w:rsidRPr="00CA49F8">
              <w:rPr>
                <w:rFonts w:ascii="Verdana" w:eastAsia="Times New Roman" w:hAnsi="Verdana" w:cs="Arial"/>
                <w:b/>
                <w:bCs/>
                <w:color w:val="000000"/>
                <w:sz w:val="12"/>
                <w:szCs w:val="12"/>
              </w:rPr>
              <w:t>Power to make rules</w:t>
            </w:r>
          </w:p>
        </w:tc>
        <w:tc>
          <w:tcPr>
            <w:tcW w:w="25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hideMark/>
          </w:tcPr>
          <w:p w:rsidR="00CA49F8" w:rsidRPr="00CA49F8" w:rsidRDefault="00CA49F8" w:rsidP="00CA49F8">
            <w:pPr>
              <w:spacing w:after="0" w:line="161" w:lineRule="atLeast"/>
              <w:rPr>
                <w:rFonts w:ascii="Verdana" w:eastAsia="Times New Roman" w:hAnsi="Verdana" w:cs="Arial"/>
                <w:color w:val="000000"/>
                <w:sz w:val="13"/>
                <w:szCs w:val="13"/>
              </w:rPr>
            </w:pPr>
            <w:r w:rsidRPr="00CA49F8">
              <w:rPr>
                <w:rFonts w:ascii="Verdana" w:eastAsia="Times New Roman" w:hAnsi="Verdana" w:cs="Arial"/>
                <w:color w:val="000000"/>
                <w:sz w:val="13"/>
                <w:szCs w:val="13"/>
              </w:rPr>
              <w:t>11. The Government may, by notification in the official Gazette, make rules for carrying out the purposes of this Act.</w:t>
            </w:r>
          </w:p>
        </w:tc>
      </w:tr>
      <w:tr w:rsidR="00CA49F8" w:rsidRPr="00CA49F8" w:rsidTr="00CA49F8">
        <w:trPr>
          <w:trHeight w:val="75"/>
          <w:tblCellSpacing w:w="0" w:type="dxa"/>
          <w:jc w:val="center"/>
        </w:trPr>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3"/>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r w:rsidRPr="00CA49F8">
              <w:rPr>
                <w:rFonts w:ascii="Arial" w:eastAsia="Times New Roman" w:hAnsi="Arial" w:cs="Arial"/>
                <w:color w:val="000000"/>
                <w:sz w:val="20"/>
                <w:szCs w:val="20"/>
              </w:rPr>
              <w:t> </w:t>
            </w:r>
          </w:p>
        </w:tc>
        <w:tc>
          <w:tcPr>
            <w:tcW w:w="0" w:type="auto"/>
            <w:gridSpan w:val="2"/>
            <w:shd w:val="clear" w:color="auto" w:fill="FFFFFF"/>
            <w:tcMar>
              <w:top w:w="43" w:type="dxa"/>
              <w:left w:w="43" w:type="dxa"/>
              <w:bottom w:w="43" w:type="dxa"/>
              <w:right w:w="43" w:type="dxa"/>
            </w:tcMar>
            <w:vAlign w:val="center"/>
            <w:hideMark/>
          </w:tcPr>
          <w:p w:rsidR="00CA49F8" w:rsidRPr="00CA49F8" w:rsidRDefault="00CA49F8" w:rsidP="00CA49F8">
            <w:pPr>
              <w:spacing w:before="43" w:after="43" w:line="240" w:lineRule="auto"/>
              <w:ind w:left="43" w:right="43"/>
              <w:jc w:val="center"/>
              <w:rPr>
                <w:rFonts w:ascii="Arial" w:eastAsia="Times New Roman" w:hAnsi="Arial" w:cs="Arial"/>
                <w:color w:val="000000"/>
                <w:sz w:val="20"/>
                <w:szCs w:val="20"/>
              </w:rPr>
            </w:pPr>
          </w:p>
        </w:tc>
      </w:tr>
      <w:tr w:rsidR="00CA49F8" w:rsidRPr="00CA49F8" w:rsidTr="00CA49F8">
        <w:trPr>
          <w:tblCellSpacing w:w="0" w:type="dxa"/>
          <w:jc w:val="center"/>
        </w:trPr>
        <w:tc>
          <w:tcPr>
            <w:tcW w:w="0" w:type="auto"/>
            <w:gridSpan w:val="3"/>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p>
        </w:tc>
        <w:tc>
          <w:tcPr>
            <w:tcW w:w="0" w:type="auto"/>
            <w:gridSpan w:val="2"/>
            <w:shd w:val="clear" w:color="auto" w:fill="FFFFFF"/>
            <w:vAlign w:val="center"/>
            <w:hideMark/>
          </w:tcPr>
          <w:p w:rsidR="00CA49F8" w:rsidRPr="00CA49F8" w:rsidRDefault="00CA49F8" w:rsidP="00CA49F8">
            <w:pPr>
              <w:spacing w:after="0" w:line="240" w:lineRule="auto"/>
              <w:jc w:val="right"/>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75"/>
          <w:tblCellSpacing w:w="0" w:type="dxa"/>
          <w:jc w:val="center"/>
        </w:trPr>
        <w:tc>
          <w:tcPr>
            <w:tcW w:w="0" w:type="auto"/>
            <w:gridSpan w:val="2"/>
            <w:shd w:val="clear" w:color="auto" w:fill="FFFFFF"/>
            <w:hideMark/>
          </w:tcPr>
          <w:p w:rsidR="00CA49F8" w:rsidRPr="00CA49F8" w:rsidRDefault="00CA49F8" w:rsidP="00CA49F8">
            <w:pPr>
              <w:spacing w:after="0" w:line="240" w:lineRule="auto"/>
              <w:rPr>
                <w:rFonts w:ascii="Verdana" w:eastAsia="Times New Roman" w:hAnsi="Verdana" w:cs="Arial"/>
                <w:color w:val="000000"/>
                <w:sz w:val="8"/>
                <w:szCs w:val="13"/>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gridSpan w:val="2"/>
            <w:shd w:val="clear" w:color="auto" w:fill="FFFFFF"/>
            <w:hideMark/>
          </w:tcPr>
          <w:p w:rsidR="00CA49F8" w:rsidRPr="00CA49F8" w:rsidRDefault="00CA49F8" w:rsidP="00CA49F8">
            <w:pPr>
              <w:spacing w:after="0" w:line="240" w:lineRule="auto"/>
              <w:jc w:val="center"/>
              <w:rPr>
                <w:rFonts w:ascii="Verdana" w:eastAsia="Times New Roman" w:hAnsi="Verdana" w:cs="Arial"/>
                <w:color w:val="000000"/>
                <w:sz w:val="8"/>
                <w:szCs w:val="13"/>
              </w:rPr>
            </w:pPr>
          </w:p>
        </w:tc>
      </w:tr>
      <w:tr w:rsidR="00CA49F8" w:rsidRPr="00CA49F8" w:rsidTr="00CA49F8">
        <w:trPr>
          <w:tblCellSpacing w:w="0" w:type="dxa"/>
          <w:jc w:val="center"/>
        </w:trPr>
        <w:tc>
          <w:tcPr>
            <w:tcW w:w="100" w:type="pct"/>
            <w:shd w:val="clear" w:color="auto" w:fill="FFFFFF"/>
            <w:hideMark/>
          </w:tcPr>
          <w:p w:rsidR="00CA49F8" w:rsidRPr="00CA49F8" w:rsidRDefault="00CA49F8" w:rsidP="00CA49F8">
            <w:pPr>
              <w:spacing w:after="0" w:line="240" w:lineRule="auto"/>
              <w:rPr>
                <w:rFonts w:ascii="Verdana" w:eastAsia="Times New Roman" w:hAnsi="Verdana" w:cs="Arial"/>
                <w:color w:val="000000"/>
                <w:sz w:val="13"/>
                <w:szCs w:val="13"/>
              </w:rPr>
            </w:pPr>
            <w:r w:rsidRPr="00CA49F8">
              <w:rPr>
                <w:rFonts w:ascii="Verdana" w:eastAsia="Times New Roman" w:hAnsi="Verdana" w:cs="Arial"/>
                <w:color w:val="000000"/>
                <w:sz w:val="13"/>
                <w:szCs w:val="13"/>
              </w:rPr>
              <w:t> </w:t>
            </w:r>
          </w:p>
        </w:tc>
        <w:tc>
          <w:tcPr>
            <w:tcW w:w="950" w:type="pct"/>
            <w:shd w:val="clear" w:color="auto" w:fill="FFFFFF"/>
            <w:hideMark/>
          </w:tcPr>
          <w:p w:rsidR="00CA49F8" w:rsidRPr="00CA49F8" w:rsidRDefault="00CA49F8" w:rsidP="00CA49F8">
            <w:pPr>
              <w:spacing w:after="0" w:line="240" w:lineRule="auto"/>
              <w:rPr>
                <w:rFonts w:ascii="Verdana" w:eastAsia="Times New Roman" w:hAnsi="Verdana" w:cs="Arial"/>
                <w:b/>
                <w:bCs/>
                <w:color w:val="000000"/>
                <w:sz w:val="12"/>
                <w:szCs w:val="12"/>
              </w:rPr>
            </w:pPr>
            <w:r w:rsidRPr="00CA49F8">
              <w:rPr>
                <w:rFonts w:ascii="Verdana" w:eastAsia="Times New Roman" w:hAnsi="Verdana" w:cs="Arial"/>
                <w:b/>
                <w:bCs/>
                <w:color w:val="000000"/>
                <w:sz w:val="12"/>
                <w:szCs w:val="12"/>
              </w:rPr>
              <w:t>Repeals</w:t>
            </w:r>
          </w:p>
        </w:tc>
        <w:tc>
          <w:tcPr>
            <w:tcW w:w="250" w:type="pct"/>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c>
          <w:tcPr>
            <w:tcW w:w="0" w:type="auto"/>
            <w:gridSpan w:val="2"/>
            <w:shd w:val="clear" w:color="auto" w:fill="FFFFFF"/>
            <w:hideMark/>
          </w:tcPr>
          <w:p w:rsidR="00CA49F8" w:rsidRPr="00CA49F8" w:rsidRDefault="00CA49F8" w:rsidP="00CA49F8">
            <w:pPr>
              <w:spacing w:after="0" w:line="161" w:lineRule="atLeast"/>
              <w:rPr>
                <w:rFonts w:ascii="Verdana" w:eastAsia="Times New Roman" w:hAnsi="Verdana" w:cs="Arial"/>
                <w:color w:val="000000"/>
                <w:sz w:val="13"/>
                <w:szCs w:val="13"/>
              </w:rPr>
            </w:pPr>
            <w:r w:rsidRPr="00CA49F8">
              <w:rPr>
                <w:rFonts w:ascii="Verdana" w:eastAsia="Times New Roman" w:hAnsi="Verdana" w:cs="Arial"/>
                <w:color w:val="000000"/>
                <w:sz w:val="13"/>
                <w:szCs w:val="13"/>
              </w:rPr>
              <w:t>12. The Regulation of Mines, Oil-fields and Mineral Development (Government Control) Act, 1948 (XXIV of 1948), and the Petroleum Ordinance, 1974 (Ord. XVI of 1974), are hereby repealed.</w:t>
            </w:r>
          </w:p>
        </w:tc>
      </w:tr>
      <w:tr w:rsidR="00CA49F8" w:rsidRPr="00CA49F8" w:rsidTr="00CA49F8">
        <w:trPr>
          <w:trHeight w:val="75"/>
          <w:tblCellSpacing w:w="0" w:type="dxa"/>
          <w:jc w:val="center"/>
        </w:trPr>
        <w:tc>
          <w:tcPr>
            <w:tcW w:w="0" w:type="auto"/>
            <w:gridSpan w:val="2"/>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c>
          <w:tcPr>
            <w:tcW w:w="0" w:type="auto"/>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8"/>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Verdana" w:eastAsia="Times New Roman" w:hAnsi="Verdana" w:cs="Arial"/>
                <w:color w:val="000000"/>
                <w:sz w:val="13"/>
                <w:szCs w:val="13"/>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jc w:val="center"/>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rHeight w:val="15"/>
          <w:tblCellSpacing w:w="0" w:type="dxa"/>
          <w:jc w:val="center"/>
        </w:trPr>
        <w:tc>
          <w:tcPr>
            <w:tcW w:w="0" w:type="auto"/>
            <w:gridSpan w:val="4"/>
            <w:shd w:val="clear" w:color="auto" w:fill="FFFFFF"/>
            <w:vAlign w:val="center"/>
            <w:hideMark/>
          </w:tcPr>
          <w:p w:rsidR="00CA49F8" w:rsidRPr="00CA49F8" w:rsidRDefault="00CA49F8" w:rsidP="00CA49F8">
            <w:pPr>
              <w:spacing w:after="0" w:line="15" w:lineRule="atLeast"/>
              <w:rPr>
                <w:rFonts w:ascii="Arial" w:eastAsia="Times New Roman" w:hAnsi="Arial" w:cs="Arial"/>
                <w:color w:val="000000"/>
                <w:sz w:val="14"/>
                <w:szCs w:val="14"/>
              </w:rPr>
            </w:pPr>
            <w:r>
              <w:rPr>
                <w:rFonts w:ascii="Arial" w:eastAsia="Times New Roman" w:hAnsi="Arial" w:cs="Arial"/>
                <w:noProof/>
                <w:color w:val="000000"/>
                <w:sz w:val="14"/>
                <w:szCs w:val="14"/>
              </w:rPr>
              <w:drawing>
                <wp:inline distT="0" distB="0" distL="0" distR="0">
                  <wp:extent cx="3555365" cy="74930"/>
                  <wp:effectExtent l="19050" t="0" r="6985" b="0"/>
                  <wp:docPr id="1" name="Picture 1" descr="http://bdlaws.minlaw.gov.bd/image/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dlaws.minlaw.gov.bd/image/line2.jpg"/>
                          <pic:cNvPicPr>
                            <a:picLocks noChangeAspect="1" noChangeArrowheads="1"/>
                          </pic:cNvPicPr>
                        </pic:nvPicPr>
                        <pic:blipFill>
                          <a:blip r:embed="rId12"/>
                          <a:srcRect/>
                          <a:stretch>
                            <a:fillRect/>
                          </a:stretch>
                        </pic:blipFill>
                        <pic:spPr bwMode="auto">
                          <a:xfrm>
                            <a:off x="0" y="0"/>
                            <a:ext cx="3555365" cy="7493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CA49F8" w:rsidRPr="00CA49F8" w:rsidRDefault="00CA49F8" w:rsidP="00CA49F8">
            <w:pPr>
              <w:spacing w:after="0" w:line="240" w:lineRule="auto"/>
              <w:jc w:val="center"/>
              <w:rPr>
                <w:rFonts w:ascii="Arial" w:eastAsia="Times New Roman" w:hAnsi="Arial" w:cs="Arial"/>
                <w:color w:val="000000"/>
                <w:sz w:val="2"/>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240" w:line="240" w:lineRule="auto"/>
              <w:rPr>
                <w:rFonts w:ascii="Arial" w:eastAsia="Times New Roman" w:hAnsi="Arial" w:cs="Arial"/>
                <w:color w:val="000000"/>
                <w:sz w:val="11"/>
                <w:szCs w:val="11"/>
              </w:rPr>
            </w:pPr>
            <w:r w:rsidRPr="00CA49F8">
              <w:rPr>
                <w:rFonts w:ascii="Arial" w:eastAsia="Times New Roman" w:hAnsi="Arial" w:cs="Arial"/>
                <w:color w:val="000000"/>
                <w:sz w:val="11"/>
                <w:szCs w:val="11"/>
                <w:vertAlign w:val="superscript"/>
              </w:rPr>
              <w:t>1</w:t>
            </w:r>
            <w:r w:rsidRPr="00CA49F8">
              <w:rPr>
                <w:rFonts w:ascii="Arial" w:eastAsia="Times New Roman" w:hAnsi="Arial" w:cs="Arial"/>
                <w:color w:val="000000"/>
                <w:sz w:val="11"/>
              </w:rPr>
              <w:t> </w:t>
            </w:r>
            <w:r w:rsidRPr="00CA49F8">
              <w:rPr>
                <w:rFonts w:ascii="Arial" w:eastAsia="Times New Roman" w:hAnsi="Arial" w:cs="Arial"/>
                <w:color w:val="000000"/>
                <w:sz w:val="11"/>
                <w:szCs w:val="11"/>
              </w:rPr>
              <w:t>Clause (b) was omitted by section 2 of the Bangladesh Petroleum (Amendment) Ordinance, 1976 (Ordinance No. LIV of 1976)</w:t>
            </w:r>
            <w:r w:rsidRPr="00CA49F8">
              <w:rPr>
                <w:rFonts w:ascii="Arial" w:eastAsia="Times New Roman" w:hAnsi="Arial" w:cs="Arial"/>
                <w:color w:val="000000"/>
                <w:sz w:val="11"/>
                <w:szCs w:val="11"/>
              </w:rPr>
              <w:br/>
            </w:r>
            <w:r w:rsidRPr="00CA49F8">
              <w:rPr>
                <w:rFonts w:ascii="Arial" w:eastAsia="Times New Roman" w:hAnsi="Arial" w:cs="Arial"/>
                <w:color w:val="000000"/>
                <w:sz w:val="11"/>
                <w:szCs w:val="11"/>
              </w:rPr>
              <w:br/>
            </w:r>
            <w:r w:rsidRPr="00CA49F8">
              <w:rPr>
                <w:rFonts w:ascii="Arial" w:eastAsia="Times New Roman" w:hAnsi="Arial" w:cs="Arial"/>
                <w:color w:val="000000"/>
                <w:sz w:val="11"/>
                <w:szCs w:val="11"/>
                <w:vertAlign w:val="superscript"/>
              </w:rPr>
              <w:t>2</w:t>
            </w:r>
            <w:r w:rsidRPr="00CA49F8">
              <w:rPr>
                <w:rFonts w:ascii="Arial" w:eastAsia="Times New Roman" w:hAnsi="Arial" w:cs="Arial"/>
                <w:color w:val="000000"/>
                <w:sz w:val="11"/>
              </w:rPr>
              <w:t> </w:t>
            </w:r>
            <w:r w:rsidRPr="00CA49F8">
              <w:rPr>
                <w:rFonts w:ascii="Arial" w:eastAsia="Times New Roman" w:hAnsi="Arial" w:cs="Arial"/>
                <w:color w:val="000000"/>
                <w:sz w:val="11"/>
                <w:szCs w:val="11"/>
              </w:rPr>
              <w:t>Section 8 was substituted by section 3 of the Bangladesh Petroleum (Amendment) Ordinance, 1976 (Ordinance No. LIV of 1976)</w:t>
            </w: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jc w:val="center"/>
              <w:rPr>
                <w:rFonts w:ascii="Arial" w:eastAsia="Times New Roman" w:hAnsi="Arial" w:cs="Arial"/>
                <w:color w:val="000000"/>
                <w:sz w:val="14"/>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jc w:val="center"/>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shd w:val="clear" w:color="auto" w:fill="FFFFFF"/>
            <w:vAlign w:val="center"/>
            <w:hideMark/>
          </w:tcPr>
          <w:p w:rsidR="00CA49F8" w:rsidRPr="00CA49F8" w:rsidRDefault="00CA49F8" w:rsidP="00CA49F8">
            <w:pPr>
              <w:spacing w:after="0" w:line="240" w:lineRule="auto"/>
              <w:jc w:val="center"/>
              <w:rPr>
                <w:rFonts w:ascii="Arial" w:eastAsia="Times New Roman" w:hAnsi="Arial" w:cs="Arial"/>
                <w:color w:val="000000"/>
                <w:sz w:val="14"/>
                <w:szCs w:val="14"/>
              </w:rPr>
            </w:pPr>
          </w:p>
        </w:tc>
        <w:tc>
          <w:tcPr>
            <w:tcW w:w="0" w:type="auto"/>
            <w:shd w:val="clear" w:color="auto" w:fill="FFFFFF"/>
            <w:vAlign w:val="center"/>
            <w:hideMark/>
          </w:tcPr>
          <w:p w:rsidR="00CA49F8" w:rsidRPr="00CA49F8" w:rsidRDefault="00CA49F8" w:rsidP="00CA49F8">
            <w:pPr>
              <w:spacing w:after="0" w:line="240" w:lineRule="auto"/>
              <w:jc w:val="center"/>
              <w:rPr>
                <w:rFonts w:ascii="Arial" w:eastAsia="Times New Roman" w:hAnsi="Arial" w:cs="Arial"/>
                <w:color w:val="000000"/>
                <w:sz w:val="14"/>
                <w:szCs w:val="14"/>
              </w:rPr>
            </w:pPr>
          </w:p>
        </w:tc>
        <w:tc>
          <w:tcPr>
            <w:tcW w:w="0" w:type="auto"/>
            <w:shd w:val="clear" w:color="auto" w:fill="FFFFFF"/>
            <w:vAlign w:val="center"/>
            <w:hideMark/>
          </w:tcPr>
          <w:p w:rsidR="00CA49F8" w:rsidRPr="00CA49F8" w:rsidRDefault="00CA49F8" w:rsidP="00CA49F8">
            <w:pPr>
              <w:spacing w:after="0" w:line="240" w:lineRule="auto"/>
              <w:jc w:val="center"/>
              <w:rPr>
                <w:rFonts w:ascii="Arial" w:eastAsia="Times New Roman" w:hAnsi="Arial" w:cs="Arial"/>
                <w:color w:val="000000"/>
                <w:sz w:val="14"/>
                <w:szCs w:val="14"/>
              </w:rPr>
            </w:pPr>
          </w:p>
        </w:tc>
        <w:tc>
          <w:tcPr>
            <w:tcW w:w="0" w:type="auto"/>
            <w:shd w:val="clear" w:color="auto" w:fill="FFFFFF"/>
            <w:vAlign w:val="center"/>
            <w:hideMark/>
          </w:tcPr>
          <w:p w:rsidR="00CA49F8" w:rsidRPr="00CA49F8" w:rsidRDefault="00CA49F8" w:rsidP="00CA49F8">
            <w:pPr>
              <w:spacing w:after="0" w:line="240" w:lineRule="auto"/>
              <w:jc w:val="center"/>
              <w:rPr>
                <w:rFonts w:ascii="Arial" w:eastAsia="Times New Roman" w:hAnsi="Arial" w:cs="Arial"/>
                <w:color w:val="000000"/>
                <w:sz w:val="14"/>
                <w:szCs w:val="14"/>
              </w:rPr>
            </w:pPr>
            <w:r>
              <w:rPr>
                <w:rFonts w:ascii="Arial" w:eastAsia="Times New Roman" w:hAnsi="Arial" w:cs="Arial"/>
                <w:noProof/>
                <w:color w:val="000000"/>
                <w:sz w:val="14"/>
                <w:szCs w:val="14"/>
              </w:rPr>
              <w:drawing>
                <wp:inline distT="0" distB="0" distL="0" distR="0">
                  <wp:extent cx="948690" cy="170815"/>
                  <wp:effectExtent l="19050" t="0" r="3810" b="0"/>
                  <wp:docPr id="2" name="Picture 2" descr="http://bdlaws.minlaw.gov.bd/imag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dlaws.minlaw.gov.bd/image/line.jpg"/>
                          <pic:cNvPicPr>
                            <a:picLocks noChangeAspect="1" noChangeArrowheads="1"/>
                          </pic:cNvPicPr>
                        </pic:nvPicPr>
                        <pic:blipFill>
                          <a:blip r:embed="rId13"/>
                          <a:srcRect/>
                          <a:stretch>
                            <a:fillRect/>
                          </a:stretch>
                        </pic:blipFill>
                        <pic:spPr bwMode="auto">
                          <a:xfrm>
                            <a:off x="0" y="0"/>
                            <a:ext cx="948690" cy="17081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CA49F8" w:rsidRPr="00CA49F8" w:rsidRDefault="00CA49F8" w:rsidP="00CA49F8">
            <w:pPr>
              <w:spacing w:after="0" w:line="240" w:lineRule="auto"/>
              <w:jc w:val="center"/>
              <w:rPr>
                <w:rFonts w:ascii="Arial" w:eastAsia="Times New Roman" w:hAnsi="Arial" w:cs="Arial"/>
                <w:color w:val="000000"/>
                <w:sz w:val="14"/>
                <w:szCs w:val="14"/>
              </w:rPr>
            </w:pPr>
          </w:p>
        </w:tc>
      </w:tr>
      <w:tr w:rsidR="00CA49F8" w:rsidRPr="00CA49F8" w:rsidTr="00CA49F8">
        <w:trPr>
          <w:tblCellSpacing w:w="0" w:type="dxa"/>
          <w:jc w:val="center"/>
        </w:trPr>
        <w:tc>
          <w:tcPr>
            <w:tcW w:w="0" w:type="auto"/>
            <w:gridSpan w:val="5"/>
            <w:shd w:val="clear" w:color="auto" w:fill="FFFFFF"/>
            <w:vAlign w:val="center"/>
            <w:hideMark/>
          </w:tcPr>
          <w:p w:rsidR="00CA49F8" w:rsidRPr="00CA49F8" w:rsidRDefault="00CA49F8" w:rsidP="00CA49F8">
            <w:pPr>
              <w:spacing w:after="0" w:line="240" w:lineRule="auto"/>
              <w:jc w:val="center"/>
              <w:rPr>
                <w:rFonts w:ascii="Arial" w:eastAsia="Times New Roman" w:hAnsi="Arial" w:cs="Arial"/>
                <w:color w:val="000000"/>
                <w:sz w:val="14"/>
                <w:szCs w:val="14"/>
              </w:rPr>
            </w:pPr>
            <w:r w:rsidRPr="00CA49F8">
              <w:rPr>
                <w:rFonts w:ascii="Arial" w:eastAsia="Times New Roman" w:hAnsi="Arial" w:cs="Arial"/>
                <w:color w:val="000000"/>
                <w:sz w:val="14"/>
                <w:szCs w:val="14"/>
              </w:rPr>
              <w:t> </w:t>
            </w:r>
          </w:p>
        </w:tc>
      </w:tr>
      <w:tr w:rsidR="00CA49F8" w:rsidRPr="00CA49F8" w:rsidTr="00CA49F8">
        <w:trPr>
          <w:tblCellSpacing w:w="0" w:type="dxa"/>
          <w:jc w:val="center"/>
        </w:trPr>
        <w:tc>
          <w:tcPr>
            <w:tcW w:w="0" w:type="auto"/>
            <w:gridSpan w:val="5"/>
            <w:shd w:val="clear" w:color="auto" w:fill="FFFFFF"/>
            <w:vAlign w:val="center"/>
            <w:hideMark/>
          </w:tcPr>
          <w:tbl>
            <w:tblPr>
              <w:tblW w:w="5000" w:type="pct"/>
              <w:jc w:val="center"/>
              <w:tblCellSpacing w:w="0" w:type="dxa"/>
              <w:shd w:val="clear" w:color="auto" w:fill="FFFFFF"/>
              <w:tblCellMar>
                <w:left w:w="0" w:type="dxa"/>
                <w:right w:w="0" w:type="dxa"/>
              </w:tblCellMar>
              <w:tblLook w:val="04A0"/>
            </w:tblPr>
            <w:tblGrid>
              <w:gridCol w:w="9360"/>
            </w:tblGrid>
            <w:tr w:rsidR="00CA49F8" w:rsidRPr="00CA49F8">
              <w:trPr>
                <w:trHeight w:val="330"/>
                <w:tblCellSpacing w:w="0" w:type="dxa"/>
                <w:jc w:val="center"/>
              </w:trPr>
              <w:tc>
                <w:tcPr>
                  <w:tcW w:w="0" w:type="auto"/>
                  <w:shd w:val="clear" w:color="auto" w:fill="FFFFFF"/>
                  <w:hideMark/>
                </w:tcPr>
                <w:p w:rsidR="00CA49F8" w:rsidRPr="00CA49F8" w:rsidRDefault="00CA49F8" w:rsidP="00CA49F8">
                  <w:pPr>
                    <w:spacing w:before="100" w:beforeAutospacing="1" w:after="100" w:afterAutospacing="1" w:line="240" w:lineRule="auto"/>
                    <w:jc w:val="center"/>
                    <w:rPr>
                      <w:rFonts w:ascii="Times New Roman" w:eastAsia="Times New Roman" w:hAnsi="Times New Roman" w:cs="Times New Roman"/>
                      <w:sz w:val="24"/>
                      <w:szCs w:val="24"/>
                    </w:rPr>
                  </w:pPr>
                  <w:r w:rsidRPr="00CA49F8">
                    <w:rPr>
                      <w:rFonts w:ascii="Verdana" w:eastAsia="Times New Roman" w:hAnsi="Verdana" w:cs="Times New Roman"/>
                      <w:color w:val="CC9966"/>
                      <w:sz w:val="12"/>
                    </w:rPr>
                    <w:t>Copyright</w:t>
                  </w:r>
                  <w:r w:rsidRPr="00CA49F8">
                    <w:rPr>
                      <w:rFonts w:ascii="Times New Roman" w:eastAsia="Times New Roman" w:hAnsi="Times New Roman" w:cs="Times New Roman"/>
                      <w:sz w:val="24"/>
                      <w:szCs w:val="24"/>
                    </w:rPr>
                    <w:t> © </w:t>
                  </w:r>
                  <w:r w:rsidRPr="00CA49F8">
                    <w:rPr>
                      <w:rFonts w:ascii="Verdana" w:eastAsia="Times New Roman" w:hAnsi="Verdana" w:cs="Times New Roman"/>
                      <w:color w:val="CC9966"/>
                      <w:sz w:val="12"/>
                    </w:rPr>
                    <w:t>2010, Legislative and Parliamentary Affairs Division</w:t>
                  </w:r>
                  <w:r w:rsidRPr="00CA49F8">
                    <w:rPr>
                      <w:rFonts w:ascii="Times New Roman" w:eastAsia="Times New Roman" w:hAnsi="Times New Roman" w:cs="Times New Roman"/>
                      <w:sz w:val="24"/>
                      <w:szCs w:val="24"/>
                    </w:rPr>
                    <w:br/>
                  </w:r>
                  <w:r w:rsidRPr="00CA49F8">
                    <w:rPr>
                      <w:rFonts w:ascii="Verdana" w:eastAsia="Times New Roman" w:hAnsi="Verdana" w:cs="Times New Roman"/>
                      <w:color w:val="CC9966"/>
                      <w:sz w:val="12"/>
                    </w:rPr>
                    <w:t>Ministry of Law, Justice and Parliamentary Affairs</w:t>
                  </w:r>
                </w:p>
              </w:tc>
            </w:tr>
          </w:tbl>
          <w:p w:rsidR="00CA49F8" w:rsidRPr="00CA49F8" w:rsidRDefault="00CA49F8" w:rsidP="00CA49F8">
            <w:pPr>
              <w:spacing w:after="0" w:line="240" w:lineRule="auto"/>
              <w:jc w:val="center"/>
              <w:rPr>
                <w:rFonts w:ascii="Arial" w:eastAsia="Times New Roman" w:hAnsi="Arial" w:cs="Arial"/>
                <w:color w:val="000000"/>
                <w:sz w:val="14"/>
                <w:szCs w:val="14"/>
              </w:rPr>
            </w:pPr>
          </w:p>
        </w:tc>
      </w:tr>
    </w:tbl>
    <w:p w:rsidR="00253CC1" w:rsidRDefault="00253CC1"/>
    <w:sectPr w:rsidR="00253CC1" w:rsidSect="007D539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5AA" w:rsidRDefault="000B55AA" w:rsidP="00CA49F8">
      <w:pPr>
        <w:spacing w:after="0" w:line="240" w:lineRule="auto"/>
      </w:pPr>
      <w:r>
        <w:separator/>
      </w:r>
    </w:p>
  </w:endnote>
  <w:endnote w:type="continuationSeparator" w:id="1">
    <w:p w:rsidR="000B55AA" w:rsidRDefault="000B55AA" w:rsidP="00CA49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5AA" w:rsidRDefault="000B55AA" w:rsidP="00CA49F8">
      <w:pPr>
        <w:spacing w:after="0" w:line="240" w:lineRule="auto"/>
      </w:pPr>
      <w:r>
        <w:separator/>
      </w:r>
    </w:p>
  </w:footnote>
  <w:footnote w:type="continuationSeparator" w:id="1">
    <w:p w:rsidR="000B55AA" w:rsidRDefault="000B55AA" w:rsidP="00CA49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CA49F8"/>
    <w:rsid w:val="000B55AA"/>
    <w:rsid w:val="00253CC1"/>
    <w:rsid w:val="007D5390"/>
    <w:rsid w:val="00B77EB1"/>
    <w:rsid w:val="00CA4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49F8"/>
    <w:rPr>
      <w:b/>
      <w:bCs/>
    </w:rPr>
  </w:style>
  <w:style w:type="character" w:customStyle="1" w:styleId="apple-converted-space">
    <w:name w:val="apple-converted-space"/>
    <w:basedOn w:val="DefaultParagraphFont"/>
    <w:rsid w:val="00CA49F8"/>
  </w:style>
  <w:style w:type="character" w:customStyle="1" w:styleId="midiumtitle">
    <w:name w:val="midium_title"/>
    <w:basedOn w:val="DefaultParagraphFont"/>
    <w:rsid w:val="00CA49F8"/>
  </w:style>
  <w:style w:type="character" w:styleId="Hyperlink">
    <w:name w:val="Hyperlink"/>
    <w:basedOn w:val="DefaultParagraphFont"/>
    <w:uiPriority w:val="99"/>
    <w:semiHidden/>
    <w:unhideWhenUsed/>
    <w:rsid w:val="00CA49F8"/>
    <w:rPr>
      <w:color w:val="0000FF"/>
      <w:u w:val="single"/>
    </w:rPr>
  </w:style>
  <w:style w:type="paragraph" w:styleId="NormalWeb">
    <w:name w:val="Normal (Web)"/>
    <w:basedOn w:val="Normal"/>
    <w:uiPriority w:val="99"/>
    <w:unhideWhenUsed/>
    <w:rsid w:val="00CA4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CA49F8"/>
  </w:style>
  <w:style w:type="paragraph" w:styleId="BalloonText">
    <w:name w:val="Balloon Text"/>
    <w:basedOn w:val="Normal"/>
    <w:link w:val="BalloonTextChar"/>
    <w:uiPriority w:val="99"/>
    <w:semiHidden/>
    <w:unhideWhenUsed/>
    <w:rsid w:val="00CA4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9F8"/>
    <w:rPr>
      <w:rFonts w:ascii="Tahoma" w:hAnsi="Tahoma" w:cs="Tahoma"/>
      <w:sz w:val="16"/>
      <w:szCs w:val="16"/>
    </w:rPr>
  </w:style>
  <w:style w:type="paragraph" w:styleId="Header">
    <w:name w:val="header"/>
    <w:basedOn w:val="Normal"/>
    <w:link w:val="HeaderChar"/>
    <w:uiPriority w:val="99"/>
    <w:semiHidden/>
    <w:unhideWhenUsed/>
    <w:rsid w:val="00CA49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49F8"/>
  </w:style>
  <w:style w:type="paragraph" w:styleId="Footer">
    <w:name w:val="footer"/>
    <w:basedOn w:val="Normal"/>
    <w:link w:val="FooterChar"/>
    <w:uiPriority w:val="99"/>
    <w:semiHidden/>
    <w:unhideWhenUsed/>
    <w:rsid w:val="00CA49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49F8"/>
  </w:style>
</w:styles>
</file>

<file path=word/webSettings.xml><?xml version="1.0" encoding="utf-8"?>
<w:webSettings xmlns:r="http://schemas.openxmlformats.org/officeDocument/2006/relationships" xmlns:w="http://schemas.openxmlformats.org/wordprocessingml/2006/main">
  <w:divs>
    <w:div w:id="648943550">
      <w:bodyDiv w:val="1"/>
      <w:marLeft w:val="0"/>
      <w:marRight w:val="0"/>
      <w:marTop w:val="0"/>
      <w:marBottom w:val="0"/>
      <w:divBdr>
        <w:top w:val="none" w:sz="0" w:space="0" w:color="auto"/>
        <w:left w:val="none" w:sz="0" w:space="0" w:color="auto"/>
        <w:bottom w:val="none" w:sz="0" w:space="0" w:color="auto"/>
        <w:right w:val="none" w:sz="0" w:space="0" w:color="auto"/>
      </w:divBdr>
      <w:divsChild>
        <w:div w:id="477262424">
          <w:marLeft w:val="0"/>
          <w:marRight w:val="0"/>
          <w:marTop w:val="0"/>
          <w:marBottom w:val="0"/>
          <w:divBdr>
            <w:top w:val="none" w:sz="0" w:space="0" w:color="auto"/>
            <w:left w:val="none" w:sz="0" w:space="0" w:color="auto"/>
            <w:bottom w:val="none" w:sz="0" w:space="0" w:color="auto"/>
            <w:right w:val="none" w:sz="0" w:space="0" w:color="auto"/>
          </w:divBdr>
        </w:div>
        <w:div w:id="1023021284">
          <w:marLeft w:val="0"/>
          <w:marRight w:val="107"/>
          <w:marTop w:val="0"/>
          <w:marBottom w:val="0"/>
          <w:divBdr>
            <w:top w:val="none" w:sz="0" w:space="0" w:color="auto"/>
            <w:left w:val="none" w:sz="0" w:space="0" w:color="auto"/>
            <w:bottom w:val="none" w:sz="0" w:space="0" w:color="auto"/>
            <w:right w:val="none" w:sz="0" w:space="0" w:color="auto"/>
          </w:divBdr>
        </w:div>
        <w:div w:id="344746776">
          <w:marLeft w:val="0"/>
          <w:marRight w:val="107"/>
          <w:marTop w:val="0"/>
          <w:marBottom w:val="0"/>
          <w:divBdr>
            <w:top w:val="none" w:sz="0" w:space="0" w:color="auto"/>
            <w:left w:val="none" w:sz="0" w:space="0" w:color="auto"/>
            <w:bottom w:val="none" w:sz="0" w:space="0" w:color="auto"/>
            <w:right w:val="none" w:sz="0" w:space="0" w:color="auto"/>
          </w:divBdr>
        </w:div>
        <w:div w:id="333651917">
          <w:marLeft w:val="0"/>
          <w:marRight w:val="107"/>
          <w:marTop w:val="0"/>
          <w:marBottom w:val="0"/>
          <w:divBdr>
            <w:top w:val="none" w:sz="0" w:space="0" w:color="auto"/>
            <w:left w:val="none" w:sz="0" w:space="0" w:color="auto"/>
            <w:bottom w:val="none" w:sz="0" w:space="0" w:color="auto"/>
            <w:right w:val="none" w:sz="0" w:space="0" w:color="auto"/>
          </w:divBdr>
        </w:div>
        <w:div w:id="516651804">
          <w:marLeft w:val="0"/>
          <w:marRight w:val="107"/>
          <w:marTop w:val="0"/>
          <w:marBottom w:val="0"/>
          <w:divBdr>
            <w:top w:val="none" w:sz="0" w:space="0" w:color="auto"/>
            <w:left w:val="none" w:sz="0" w:space="0" w:color="auto"/>
            <w:bottom w:val="none" w:sz="0" w:space="0" w:color="auto"/>
            <w:right w:val="none" w:sz="0" w:space="0" w:color="auto"/>
          </w:divBdr>
        </w:div>
        <w:div w:id="40789402">
          <w:marLeft w:val="0"/>
          <w:marRight w:val="107"/>
          <w:marTop w:val="0"/>
          <w:marBottom w:val="0"/>
          <w:divBdr>
            <w:top w:val="none" w:sz="0" w:space="0" w:color="auto"/>
            <w:left w:val="none" w:sz="0" w:space="0" w:color="auto"/>
            <w:bottom w:val="none" w:sz="0" w:space="0" w:color="auto"/>
            <w:right w:val="none" w:sz="0" w:space="0" w:color="auto"/>
          </w:divBdr>
        </w:div>
        <w:div w:id="1581520625">
          <w:marLeft w:val="0"/>
          <w:marRight w:val="107"/>
          <w:marTop w:val="0"/>
          <w:marBottom w:val="0"/>
          <w:divBdr>
            <w:top w:val="none" w:sz="0" w:space="0" w:color="auto"/>
            <w:left w:val="none" w:sz="0" w:space="0" w:color="auto"/>
            <w:bottom w:val="none" w:sz="0" w:space="0" w:color="auto"/>
            <w:right w:val="none" w:sz="0" w:space="0" w:color="auto"/>
          </w:divBdr>
        </w:div>
        <w:div w:id="446660198">
          <w:marLeft w:val="0"/>
          <w:marRight w:val="107"/>
          <w:marTop w:val="0"/>
          <w:marBottom w:val="0"/>
          <w:divBdr>
            <w:top w:val="none" w:sz="0" w:space="0" w:color="auto"/>
            <w:left w:val="none" w:sz="0" w:space="0" w:color="auto"/>
            <w:bottom w:val="none" w:sz="0" w:space="0" w:color="auto"/>
            <w:right w:val="none" w:sz="0" w:space="0" w:color="auto"/>
          </w:divBdr>
        </w:div>
        <w:div w:id="761877182">
          <w:marLeft w:val="0"/>
          <w:marRight w:val="107"/>
          <w:marTop w:val="0"/>
          <w:marBottom w:val="0"/>
          <w:divBdr>
            <w:top w:val="none" w:sz="0" w:space="0" w:color="auto"/>
            <w:left w:val="none" w:sz="0" w:space="0" w:color="auto"/>
            <w:bottom w:val="none" w:sz="0" w:space="0" w:color="auto"/>
            <w:right w:val="none" w:sz="0" w:space="0" w:color="auto"/>
          </w:divBdr>
        </w:div>
        <w:div w:id="1653411388">
          <w:marLeft w:val="0"/>
          <w:marRight w:val="107"/>
          <w:marTop w:val="0"/>
          <w:marBottom w:val="0"/>
          <w:divBdr>
            <w:top w:val="none" w:sz="0" w:space="0" w:color="auto"/>
            <w:left w:val="none" w:sz="0" w:space="0" w:color="auto"/>
            <w:bottom w:val="none" w:sz="0" w:space="0" w:color="auto"/>
            <w:right w:val="none" w:sz="0" w:space="0" w:color="auto"/>
          </w:divBdr>
        </w:div>
        <w:div w:id="451050132">
          <w:marLeft w:val="0"/>
          <w:marRight w:val="107"/>
          <w:marTop w:val="0"/>
          <w:marBottom w:val="0"/>
          <w:divBdr>
            <w:top w:val="none" w:sz="0" w:space="0" w:color="auto"/>
            <w:left w:val="none" w:sz="0" w:space="0" w:color="auto"/>
            <w:bottom w:val="none" w:sz="0" w:space="0" w:color="auto"/>
            <w:right w:val="none" w:sz="0" w:space="0" w:color="auto"/>
          </w:divBdr>
        </w:div>
        <w:div w:id="839810866">
          <w:marLeft w:val="0"/>
          <w:marRight w:val="107"/>
          <w:marTop w:val="0"/>
          <w:marBottom w:val="0"/>
          <w:divBdr>
            <w:top w:val="none" w:sz="0" w:space="0" w:color="auto"/>
            <w:left w:val="none" w:sz="0" w:space="0" w:color="auto"/>
            <w:bottom w:val="none" w:sz="0" w:space="0" w:color="auto"/>
            <w:right w:val="none" w:sz="0" w:space="0" w:color="auto"/>
          </w:divBdr>
        </w:div>
        <w:div w:id="1045183273">
          <w:marLeft w:val="0"/>
          <w:marRight w:val="107"/>
          <w:marTop w:val="0"/>
          <w:marBottom w:val="0"/>
          <w:divBdr>
            <w:top w:val="none" w:sz="0" w:space="0" w:color="auto"/>
            <w:left w:val="none" w:sz="0" w:space="0" w:color="auto"/>
            <w:bottom w:val="none" w:sz="0" w:space="0" w:color="auto"/>
            <w:right w:val="none" w:sz="0" w:space="0" w:color="auto"/>
          </w:divBdr>
        </w:div>
        <w:div w:id="67884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laws.minlaw.gov.bd/print_sections.php?id=480&amp;vol=&amp;sections_id=12437"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bdlaws.minlaw.gov.bd/pdf_part.php?id=467"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dlaws.minlaw.gov.bd/pdf_part.php?id=166" TargetMode="External"/><Relationship Id="rId11" Type="http://schemas.openxmlformats.org/officeDocument/2006/relationships/hyperlink" Target="http://bdlaws.minlaw.gov.bd/pdf_part.php?id=68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bdlaws.minlaw.gov.bd/print_sections.php?id=480&amp;vol=&amp;sections_id=12443" TargetMode="External"/><Relationship Id="rId4" Type="http://schemas.openxmlformats.org/officeDocument/2006/relationships/footnotes" Target="footnotes.xml"/><Relationship Id="rId9" Type="http://schemas.openxmlformats.org/officeDocument/2006/relationships/hyperlink" Target="http://bdlaws.minlaw.gov.bd/pdf_part.php?id=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2015-04-04T16:52:00Z</dcterms:created>
  <dcterms:modified xsi:type="dcterms:W3CDTF">2015-04-05T15:01:00Z</dcterms:modified>
</cp:coreProperties>
</file>