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557810D6">
      <w:pPr>
        <w:pStyle w:val="style0"/>
        <w:jc w:val="both"/>
        <w:rPr>
          <w:rFonts w:ascii="Arial" w:cs="Arial" w:hAnsi="Arial"/>
          <w:sz w:val="24"/>
          <w:szCs w:val="20"/>
        </w:rPr>
      </w:pPr>
    </w:p>
    <w:p w14:paraId="585647AA">
      <w:pPr>
        <w:pStyle w:val="style0"/>
        <w:jc w:val="center"/>
        <w:rPr>
          <w:rFonts w:ascii="Nikosh" w:cs="Nikosh" w:hAnsi="Nikosh"/>
          <w:b/>
          <w:bCs/>
          <w:sz w:val="28"/>
          <w:szCs w:val="28"/>
        </w:rPr>
      </w:pPr>
      <w:r>
        <w:rPr>
          <w:rFonts w:ascii="Nikosh" w:cs="Nikosh" w:hAnsi="Nikosh"/>
          <w:b/>
          <w:bCs/>
          <w:sz w:val="28"/>
          <w:szCs w:val="28"/>
        </w:rPr>
        <w:t>তফসিল-</w:t>
      </w:r>
      <w:r>
        <w:rPr>
          <w:rFonts w:ascii="Nikosh" w:cs="Nikosh" w:hAnsi="Nikosh" w:hint="cs"/>
          <w:b/>
          <w:bCs/>
          <w:sz w:val="28"/>
          <w:szCs w:val="28"/>
          <w:cs/>
          <w:lang w:bidi="bn-BD"/>
        </w:rPr>
        <w:t>৪</w:t>
      </w:r>
    </w:p>
    <w:p w14:paraId="23224007">
      <w:pPr>
        <w:pStyle w:val="style0"/>
        <w:jc w:val="both"/>
        <w:rPr>
          <w:rFonts w:ascii="Times New Roman" w:cs="Times New Roman" w:hAnsi="Times New Roman"/>
        </w:rPr>
      </w:pPr>
      <w:r>
        <w:rPr>
          <w:rFonts w:ascii="Times New Roman" w:cs="Times New Roman" w:hAnsi="Times New Roman"/>
        </w:rPr>
        <w:t>INDEPENDENT AUDITOR’S REPORT</w:t>
      </w:r>
    </w:p>
    <w:p w14:paraId="61C880F4">
      <w:pPr>
        <w:pStyle w:val="style4108"/>
        <w:spacing w:before="130" w:after="160"/>
        <w:rPr>
          <w:rFonts w:ascii="Times New Roman" w:eastAsia="Calibri" w:hAnsi="Times New Roman"/>
          <w:color w:val="auto"/>
          <w:szCs w:val="22"/>
        </w:rPr>
      </w:pPr>
      <w:r>
        <w:rPr>
          <w:rFonts w:ascii="Times New Roman" w:eastAsia="Calibri" w:hAnsi="Times New Roman"/>
          <w:color w:val="auto"/>
          <w:szCs w:val="22"/>
        </w:rPr>
        <w:t xml:space="preserve">[Appropriate Addressee] </w:t>
      </w:r>
    </w:p>
    <w:p w14:paraId="5D025E2A">
      <w:pPr>
        <w:pStyle w:val="style4108"/>
        <w:spacing w:before="130" w:after="160"/>
        <w:rPr>
          <w:rFonts w:ascii="Times New Roman" w:eastAsia="Calibri" w:hAnsi="Times New Roman"/>
          <w:color w:val="auto"/>
          <w:szCs w:val="22"/>
        </w:rPr>
      </w:pPr>
    </w:p>
    <w:p w14:paraId="1C5107B8">
      <w:pPr>
        <w:pStyle w:val="style4108"/>
        <w:spacing w:before="130" w:after="160"/>
        <w:rPr>
          <w:rFonts w:ascii="Times New Roman" w:hAnsi="Times New Roman"/>
          <w:i/>
          <w:iCs/>
          <w:color w:val="auto"/>
          <w:szCs w:val="22"/>
        </w:rPr>
      </w:pPr>
      <w:r>
        <w:rPr>
          <w:rFonts w:ascii="Times New Roman" w:hAnsi="Times New Roman"/>
          <w:b/>
          <w:color w:val="auto"/>
          <w:szCs w:val="22"/>
        </w:rPr>
        <w:t>Opinion</w:t>
      </w:r>
    </w:p>
    <w:p w14:paraId="78D81BAB">
      <w:pPr>
        <w:pStyle w:val="style0"/>
        <w:autoSpaceDE w:val="false"/>
        <w:autoSpaceDN w:val="false"/>
        <w:adjustRightInd w:val="false"/>
        <w:spacing w:lineRule="auto" w:line="240"/>
        <w:jc w:val="both"/>
        <w:rPr>
          <w:rFonts w:ascii="Times New Roman" w:cs="Times New Roman" w:hAnsi="Times New Roman"/>
        </w:rPr>
      </w:pPr>
      <w:r>
        <w:rPr>
          <w:rFonts w:ascii="Times New Roman" w:cs="Times New Roman" w:hAnsi="Times New Roman"/>
        </w:rPr>
        <w:t xml:space="preserve">We have audited the financial statements of ABC Company (the Company), which comprise the </w:t>
      </w:r>
      <w:r>
        <w:rPr>
          <w:rFonts w:ascii="Times New Roman" w:cs="Times New Roman" w:hAnsi="Times New Roman"/>
        </w:rPr>
        <w:t>statement of financial position</w:t>
      </w:r>
      <w:r>
        <w:rPr>
          <w:rFonts w:ascii="Times New Roman" w:cs="Times New Roman" w:hAnsi="Times New Roman"/>
        </w:rPr>
        <w:t xml:space="preserve"> as </w:t>
      </w:r>
      <w:r>
        <w:rPr>
          <w:rFonts w:ascii="Times New Roman" w:cs="Times New Roman" w:hAnsi="Times New Roman"/>
        </w:rPr>
        <w:t>at</w:t>
      </w:r>
      <w:r>
        <w:rPr>
          <w:rFonts w:ascii="Times New Roman" w:cs="Times New Roman" w:hAnsi="Times New Roman"/>
        </w:rPr>
        <w:t xml:space="preserve"> December 31, 20X1, and the </w:t>
      </w:r>
      <w:r>
        <w:rPr>
          <w:rFonts w:ascii="Times New Roman" w:cs="Times New Roman" w:hAnsi="Times New Roman"/>
        </w:rPr>
        <w:t>statement of comprehensive income</w:t>
      </w:r>
      <w:r>
        <w:rPr>
          <w:rFonts w:ascii="Times New Roman" w:cs="Times New Roman" w:hAnsi="Times New Roman"/>
        </w:rPr>
        <w:t xml:space="preserve">, statement of changes in equity and </w:t>
      </w:r>
      <w:r>
        <w:rPr>
          <w:rFonts w:ascii="Times New Roman" w:cs="Times New Roman" w:hAnsi="Times New Roman"/>
        </w:rPr>
        <w:t>statement of cash flows</w:t>
      </w:r>
      <w:r>
        <w:rPr>
          <w:rFonts w:ascii="Times New Roman" w:cs="Times New Roman" w:hAnsi="Times New Roman"/>
        </w:rPr>
        <w:t xml:space="preserve"> for the year then ended, and notes to the financial statements, including a summary of significant accounting policies. </w:t>
      </w:r>
    </w:p>
    <w:p w14:paraId="5B8A29E2">
      <w:pPr>
        <w:pStyle w:val="style0"/>
        <w:autoSpaceDE w:val="false"/>
        <w:autoSpaceDN w:val="false"/>
        <w:adjustRightInd w:val="false"/>
        <w:spacing w:lineRule="auto" w:line="240"/>
        <w:jc w:val="both"/>
        <w:rPr>
          <w:rFonts w:ascii="Times New Roman" w:cs="Times New Roman" w:hAnsi="Times New Roman"/>
        </w:rPr>
      </w:pPr>
      <w:r>
        <w:rPr>
          <w:rFonts w:ascii="Times New Roman" w:cs="Times New Roman" w:hAnsi="Times New Roman"/>
        </w:rPr>
        <w:t>In our opinion, the accompanying financial statements of the Company are prepared, in all material respects, in accordance with XYZ Law of Bangladesh.</w:t>
      </w:r>
    </w:p>
    <w:p w14:paraId="5074D451">
      <w:pPr>
        <w:pStyle w:val="style0"/>
        <w:autoSpaceDE w:val="false"/>
        <w:autoSpaceDN w:val="false"/>
        <w:adjustRightInd w:val="false"/>
        <w:spacing w:after="0" w:lineRule="auto" w:line="240"/>
        <w:jc w:val="both"/>
        <w:rPr>
          <w:rFonts w:ascii="Times New Roman" w:cs="Times New Roman" w:hAnsi="Times New Roman"/>
        </w:rPr>
      </w:pPr>
    </w:p>
    <w:p w14:paraId="5E75B06C">
      <w:pPr>
        <w:pStyle w:val="style0"/>
        <w:jc w:val="both"/>
        <w:rPr>
          <w:rFonts w:ascii="Times New Roman" w:cs="Times New Roman" w:hAnsi="Times New Roman"/>
          <w:b/>
        </w:rPr>
      </w:pPr>
      <w:r>
        <w:rPr>
          <w:rFonts w:ascii="Times New Roman" w:cs="Times New Roman" w:hAnsi="Times New Roman"/>
          <w:b/>
        </w:rPr>
        <w:t>Basis for Opinion</w:t>
      </w:r>
    </w:p>
    <w:p w14:paraId="238525D7">
      <w:pPr>
        <w:pStyle w:val="style0"/>
        <w:jc w:val="both"/>
        <w:rPr>
          <w:rFonts w:ascii="Times New Roman" w:cs="Times New Roman" w:hAnsi="Times New Roman"/>
        </w:rPr>
      </w:pPr>
      <w:r>
        <w:rPr>
          <w:rFonts w:ascii="Times New Roman" w:cs="Times New Roman" w:hAnsi="Times New Roman"/>
        </w:rPr>
        <w:t xml:space="preserve">We conducted our audit in accordance with International Standards on Auditing (ISAs). Our responsibilities under those standards are further described in the </w:t>
      </w:r>
      <w:r>
        <w:rPr>
          <w:rFonts w:ascii="Times New Roman" w:cs="Times New Roman" w:hAnsi="Times New Roman"/>
          <w:i/>
          <w:iCs/>
        </w:rPr>
        <w:t xml:space="preserve">Auditor’s Responsibilities for the Audit of the Financial Statements </w:t>
      </w:r>
      <w:r>
        <w:rPr>
          <w:rFonts w:ascii="Times New Roman" w:cs="Times New Roman" w:hAnsi="Times New Roman"/>
        </w:rPr>
        <w:t>section of our report. We are independent of the Company in accordance with the ethical requirements of Financial Reporting Council that are relevant to our audit of the financial statements in Bangladesh, and we have fulfilled our other responsibilities in accordance with these requirements. We believe that the audit evidence we have obtained is sufficient and appropriate to provide a basis for our opinion.</w:t>
      </w:r>
    </w:p>
    <w:p w14:paraId="43E2BDC0">
      <w:pPr>
        <w:pStyle w:val="style0"/>
        <w:spacing w:after="0"/>
        <w:jc w:val="both"/>
        <w:rPr>
          <w:rFonts w:ascii="Times New Roman" w:cs="Times New Roman" w:hAnsi="Times New Roman"/>
        </w:rPr>
      </w:pPr>
    </w:p>
    <w:p w14:paraId="1FB61378">
      <w:pPr>
        <w:pStyle w:val="style0"/>
        <w:jc w:val="both"/>
        <w:rPr>
          <w:rFonts w:ascii="Times New Roman" w:cs="Times New Roman" w:hAnsi="Times New Roman"/>
          <w:b/>
        </w:rPr>
      </w:pPr>
      <w:r>
        <w:rPr>
          <w:rFonts w:ascii="Times New Roman" w:cs="Times New Roman" w:hAnsi="Times New Roman"/>
          <w:b/>
        </w:rPr>
        <w:t xml:space="preserve">Other Information [or another title if appropriate such as “Information Other than the Financial Statements and Auditor’s Report Thereon”] </w:t>
      </w:r>
    </w:p>
    <w:p w14:paraId="5863C163">
      <w:pPr>
        <w:pStyle w:val="style0"/>
        <w:jc w:val="both"/>
        <w:rPr>
          <w:rFonts w:ascii="Times New Roman" w:cs="Times New Roman" w:hAnsi="Times New Roman"/>
          <w:bCs/>
        </w:rPr>
      </w:pPr>
      <w:r>
        <w:rPr>
          <w:rFonts w:ascii="Times New Roman" w:cs="Times New Roman" w:hAnsi="Times New Roman"/>
          <w:bCs/>
        </w:rPr>
        <w:t>[Reporting in accordance with the reporting requirements in ISA 720 (Revised) – see Illustration 1 in Appendix 2 of ISA 720 (Revised).]</w:t>
      </w:r>
    </w:p>
    <w:p w14:paraId="5CC1D6A5">
      <w:pPr>
        <w:pStyle w:val="style0"/>
        <w:spacing w:after="0"/>
        <w:jc w:val="both"/>
        <w:rPr>
          <w:rFonts w:ascii="Times New Roman" w:cs="Times New Roman" w:hAnsi="Times New Roman"/>
          <w:bCs/>
        </w:rPr>
      </w:pPr>
    </w:p>
    <w:p w14:paraId="1BDD1963">
      <w:pPr>
        <w:pStyle w:val="style0"/>
        <w:autoSpaceDE w:val="false"/>
        <w:autoSpaceDN w:val="false"/>
        <w:adjustRightInd w:val="false"/>
        <w:spacing w:lineRule="auto" w:line="240"/>
        <w:jc w:val="both"/>
        <w:rPr>
          <w:rFonts w:ascii="Times New Roman" w:cs="Times New Roman" w:hAnsi="Times New Roman"/>
          <w:b/>
          <w:bCs/>
        </w:rPr>
      </w:pPr>
      <w:r>
        <w:rPr>
          <w:rFonts w:ascii="Times New Roman" w:cs="Times New Roman" w:hAnsi="Times New Roman"/>
          <w:b/>
          <w:bCs/>
        </w:rPr>
        <w:t xml:space="preserve">Responsibilities of Management and Those Charged with Governance for the Financial Statements </w:t>
      </w:r>
    </w:p>
    <w:p w14:paraId="259510B5">
      <w:pPr>
        <w:pStyle w:val="style0"/>
        <w:autoSpaceDE w:val="false"/>
        <w:autoSpaceDN w:val="false"/>
        <w:adjustRightInd w:val="false"/>
        <w:spacing w:lineRule="auto" w:line="240"/>
        <w:jc w:val="both"/>
        <w:rPr>
          <w:rFonts w:ascii="Times New Roman" w:cs="Times New Roman" w:hAnsi="Times New Roman"/>
        </w:rPr>
      </w:pPr>
      <w:r>
        <w:rPr>
          <w:rFonts w:ascii="Times New Roman" w:cs="Times New Roman" w:hAnsi="Times New Roman"/>
        </w:rPr>
        <w:t xml:space="preserve">Management is responsible for the preparation of the financial statements in accordance with XYZ Law of Bangladesh, and for such internal control as management determines is necessary to enable the preparation of financial statements that are free from material misstatement, whether due to fraud or error. </w:t>
      </w:r>
    </w:p>
    <w:p w14:paraId="41FC5D34">
      <w:pPr>
        <w:pStyle w:val="style0"/>
        <w:autoSpaceDE w:val="false"/>
        <w:autoSpaceDN w:val="false"/>
        <w:adjustRightInd w:val="false"/>
        <w:spacing w:lineRule="auto" w:line="240"/>
        <w:jc w:val="both"/>
        <w:rPr>
          <w:rFonts w:ascii="Times New Roman" w:cs="Times New Roman" w:hAnsi="Times New Roman"/>
        </w:rPr>
      </w:pPr>
      <w:r>
        <w:rPr>
          <w:rFonts w:ascii="Times New Roman" w:cs="Times New Roman" w:hAnsi="Times New Roman"/>
        </w:rPr>
        <w:t xml:space="preserve">In preparing the financial statements, management is responsible for assessing the Company’s ability to continue as a going concern, disclosing, as applicable, matters related to going concern and using the going concern basis of accounting unless management either intends to liquidate the Company or to cease operations, or has no realistic alternative but to do so. </w:t>
      </w:r>
    </w:p>
    <w:p w14:paraId="0749C73E">
      <w:pPr>
        <w:pStyle w:val="style0"/>
        <w:autoSpaceDE w:val="false"/>
        <w:autoSpaceDN w:val="false"/>
        <w:adjustRightInd w:val="false"/>
        <w:spacing w:lineRule="auto" w:line="240"/>
        <w:jc w:val="both"/>
        <w:rPr>
          <w:rFonts w:ascii="Times New Roman" w:cs="Times New Roman" w:hAnsi="Times New Roman"/>
        </w:rPr>
      </w:pPr>
      <w:r>
        <w:rPr>
          <w:rFonts w:ascii="Times New Roman" w:cs="Times New Roman" w:hAnsi="Times New Roman"/>
        </w:rPr>
        <w:t>Those charged with governance are responsible for overseeing the Company’s financial reporting process.</w:t>
      </w:r>
    </w:p>
    <w:p w14:paraId="293904A2">
      <w:pPr>
        <w:pStyle w:val="style0"/>
        <w:autoSpaceDE w:val="false"/>
        <w:autoSpaceDN w:val="false"/>
        <w:adjustRightInd w:val="false"/>
        <w:spacing w:lineRule="auto" w:line="240"/>
        <w:jc w:val="both"/>
        <w:rPr>
          <w:rFonts w:ascii="Times New Roman" w:cs="Times New Roman" w:hAnsi="Times New Roman"/>
        </w:rPr>
      </w:pPr>
    </w:p>
    <w:p w14:paraId="3775ECF8">
      <w:pPr>
        <w:pStyle w:val="style0"/>
        <w:autoSpaceDE w:val="false"/>
        <w:autoSpaceDN w:val="false"/>
        <w:adjustRightInd w:val="false"/>
        <w:spacing w:lineRule="auto" w:line="240"/>
        <w:jc w:val="both"/>
        <w:rPr>
          <w:rFonts w:ascii="Times New Roman" w:cs="Times New Roman" w:hAnsi="Times New Roman"/>
        </w:rPr>
      </w:pPr>
    </w:p>
    <w:p w14:paraId="4CBD69EF">
      <w:pPr>
        <w:pStyle w:val="style0"/>
        <w:autoSpaceDE w:val="false"/>
        <w:autoSpaceDN w:val="false"/>
        <w:adjustRightInd w:val="false"/>
        <w:spacing w:lineRule="auto" w:line="240"/>
        <w:jc w:val="both"/>
        <w:rPr>
          <w:rFonts w:ascii="Times New Roman" w:cs="Times New Roman" w:hAnsi="Times New Roman"/>
          <w:b/>
          <w:bCs/>
        </w:rPr>
      </w:pPr>
      <w:r>
        <w:rPr>
          <w:rFonts w:ascii="Times New Roman" w:cs="Times New Roman" w:hAnsi="Times New Roman"/>
          <w:b/>
          <w:bCs/>
        </w:rPr>
        <w:t xml:space="preserve">Auditor’s Responsibilities for the Audit of the Financial Statements </w:t>
      </w:r>
    </w:p>
    <w:p w14:paraId="2318C0C2">
      <w:pPr>
        <w:pStyle w:val="style0"/>
        <w:autoSpaceDE w:val="false"/>
        <w:autoSpaceDN w:val="false"/>
        <w:adjustRightInd w:val="false"/>
        <w:spacing w:lineRule="auto" w:line="240"/>
        <w:jc w:val="both"/>
        <w:rPr>
          <w:rFonts w:ascii="Times New Roman" w:cs="Times New Roman" w:hAnsi="Times New Roman"/>
        </w:rPr>
      </w:pPr>
      <w:r>
        <w:rPr>
          <w:rFonts w:ascii="Times New Roman" w:cs="Times New Roman" w:hAnsi="Times New Roman"/>
        </w:rPr>
        <w:t xml:space="preserve">Our objectives are to obtain reasonable assurance about whether the financial statements </w:t>
      </w:r>
      <w:r>
        <w:rPr>
          <w:rFonts w:ascii="Times New Roman" w:cs="Times New Roman" w:hAnsi="Times New Roman"/>
        </w:rPr>
        <w:t>as a whole are</w:t>
      </w:r>
      <w:r>
        <w:rPr>
          <w:rFonts w:ascii="Times New Roman" w:cs="Times New Roman" w:hAnsi="Times New Roman"/>
        </w:rPr>
        <w:t xml:space="preserve"> free from material misstatement, whether due to fraud or error, and to issue an auditor’s report that includes our opinion. Reasonable assurance is a high level of assurance, but is not </w:t>
      </w:r>
      <w:r>
        <w:rPr>
          <w:rFonts w:ascii="Times New Roman" w:cs="Times New Roman" w:hAnsi="Times New Roman"/>
        </w:rPr>
        <w:t>a guarantee</w:t>
      </w:r>
      <w:r>
        <w:rPr>
          <w:rFonts w:ascii="Times New Roman" w:cs="Times New Roman" w:hAnsi="Times New Roman"/>
        </w:rPr>
        <w:t xml:space="preserve"> that an audit conducted in accordance with ISAs will always detect a material misstatement when it exists. Misstatements can arise from fraud or error and are considered material if, individually or in the aggregate, they could reasonably be expected to influence the economic decisions of users taken </w:t>
      </w:r>
      <w:r>
        <w:rPr>
          <w:rFonts w:ascii="Times New Roman" w:cs="Times New Roman" w:hAnsi="Times New Roman"/>
        </w:rPr>
        <w:t>on the basis of</w:t>
      </w:r>
      <w:r>
        <w:rPr>
          <w:rFonts w:ascii="Times New Roman" w:cs="Times New Roman" w:hAnsi="Times New Roman"/>
        </w:rPr>
        <w:t xml:space="preserve"> these financial statements.</w:t>
      </w:r>
    </w:p>
    <w:p w14:paraId="63394986">
      <w:pPr>
        <w:pStyle w:val="style0"/>
        <w:autoSpaceDE w:val="false"/>
        <w:autoSpaceDN w:val="false"/>
        <w:adjustRightInd w:val="false"/>
        <w:spacing w:lineRule="auto" w:line="240"/>
        <w:jc w:val="both"/>
        <w:rPr>
          <w:rFonts w:ascii="Times New Roman" w:cs="Times New Roman" w:hAnsi="Times New Roman"/>
        </w:rPr>
      </w:pPr>
      <w:r>
        <w:rPr>
          <w:rFonts w:ascii="Times New Roman" w:cs="Times New Roman" w:hAnsi="Times New Roman"/>
        </w:rPr>
        <w:t xml:space="preserve">As part of an audit in accordance with ISAs, we exercise professional judgment and maintain professional skepticism throughout the audit. </w:t>
      </w:r>
      <w:r>
        <w:rPr>
          <w:rFonts w:ascii="Times New Roman" w:cs="Times New Roman" w:hAnsi="Times New Roman"/>
        </w:rPr>
        <w:t>We</w:t>
      </w:r>
      <w:r>
        <w:rPr>
          <w:rFonts w:ascii="Times New Roman" w:cs="Times New Roman" w:hAnsi="Times New Roman"/>
        </w:rPr>
        <w:t xml:space="preserve"> also: </w:t>
      </w:r>
    </w:p>
    <w:p w14:paraId="785CF77A">
      <w:pPr>
        <w:pStyle w:val="style179"/>
        <w:numPr>
          <w:ilvl w:val="0"/>
          <w:numId w:val="3"/>
        </w:numPr>
        <w:autoSpaceDE w:val="false"/>
        <w:autoSpaceDN w:val="false"/>
        <w:adjustRightInd w:val="false"/>
        <w:spacing w:lineRule="auto" w:line="240"/>
        <w:jc w:val="both"/>
        <w:rPr>
          <w:rFonts w:ascii="Times New Roman" w:cs="Times New Roman" w:hAnsi="Times New Roman"/>
        </w:rPr>
      </w:pPr>
      <w:r>
        <w:rPr>
          <w:rFonts w:ascii="Times New Roman" w:cs="Times New Roman" w:hAnsi="Times New Roman"/>
        </w:rPr>
        <w:t>Identify and assess the risks of material misstatement of the financial statements, whether due to fraud or error, design and perform audit procedures responsive to those risks, and obtain audit evidence that is sufficient and appropriate to provide a basis for our opinion. The risk of not detecting a material misstatement resulting from fraud is higher than for one resulting from error, as fraud may involve collusion, forgery, intentional omissions, misrepresentations, or the override of internal control.</w:t>
      </w:r>
    </w:p>
    <w:p w14:paraId="27C75B7D">
      <w:pPr>
        <w:pStyle w:val="style179"/>
        <w:numPr>
          <w:ilvl w:val="0"/>
          <w:numId w:val="3"/>
        </w:numPr>
        <w:autoSpaceDE w:val="false"/>
        <w:autoSpaceDN w:val="false"/>
        <w:adjustRightInd w:val="false"/>
        <w:spacing w:before="240" w:lineRule="auto" w:line="240"/>
        <w:jc w:val="both"/>
        <w:rPr>
          <w:rFonts w:ascii="Times New Roman" w:cs="Times New Roman" w:hAnsi="Times New Roman"/>
        </w:rPr>
      </w:pPr>
      <w:r>
        <w:rPr>
          <w:rFonts w:ascii="Times New Roman" w:cs="Times New Roman" w:hAnsi="Times New Roman"/>
        </w:rPr>
        <w:t xml:space="preserve">Obtain an understanding of internal control relevant to the audit </w:t>
      </w:r>
      <w:r>
        <w:rPr>
          <w:rFonts w:ascii="Times New Roman" w:cs="Times New Roman" w:hAnsi="Times New Roman"/>
        </w:rPr>
        <w:t>in order to</w:t>
      </w:r>
      <w:r>
        <w:rPr>
          <w:rFonts w:ascii="Times New Roman" w:cs="Times New Roman" w:hAnsi="Times New Roman"/>
        </w:rPr>
        <w:t xml:space="preserve"> design audit procedures that are appropriate in the circumstances, but not for the purpose of expressing an opinion on the effectiveness of the Company’s internal control. </w:t>
      </w:r>
    </w:p>
    <w:p w14:paraId="32A21327">
      <w:pPr>
        <w:pStyle w:val="style179"/>
        <w:numPr>
          <w:ilvl w:val="0"/>
          <w:numId w:val="3"/>
        </w:numPr>
        <w:autoSpaceDE w:val="false"/>
        <w:autoSpaceDN w:val="false"/>
        <w:adjustRightInd w:val="false"/>
        <w:spacing w:lineRule="auto" w:line="240"/>
        <w:jc w:val="both"/>
        <w:rPr>
          <w:rFonts w:ascii="Times New Roman" w:cs="Times New Roman" w:hAnsi="Times New Roman"/>
        </w:rPr>
      </w:pPr>
      <w:r>
        <w:rPr>
          <w:rFonts w:ascii="Times New Roman" w:cs="Times New Roman" w:hAnsi="Times New Roman"/>
        </w:rPr>
        <w:t xml:space="preserve">Evaluate the appropriateness of accounting policies used and the reasonableness of accounting estimates and related disclosures made by management. </w:t>
      </w:r>
    </w:p>
    <w:p w14:paraId="3DDAE03B">
      <w:pPr>
        <w:pStyle w:val="style179"/>
        <w:numPr>
          <w:ilvl w:val="0"/>
          <w:numId w:val="3"/>
        </w:numPr>
        <w:autoSpaceDE w:val="false"/>
        <w:autoSpaceDN w:val="false"/>
        <w:adjustRightInd w:val="false"/>
        <w:spacing w:lineRule="auto" w:line="240"/>
        <w:jc w:val="both"/>
        <w:rPr>
          <w:rFonts w:ascii="Times New Roman" w:cs="Times New Roman" w:hAnsi="Times New Roman"/>
        </w:rPr>
      </w:pPr>
      <w:r>
        <w:rPr>
          <w:rFonts w:ascii="Times New Roman" w:cs="Times New Roman" w:hAnsi="Times New Roman"/>
        </w:rPr>
        <w:t xml:space="preserve">Conclude on the appropriateness of management’s use of the going concern basis of accounting and, based on the audit evidence obtained, whether a material uncertainty exists related to events or conditions that may cast significant doubt on the Company’s ability to continue as a going concern. If we conclude that </w:t>
      </w:r>
      <w:r>
        <w:rPr>
          <w:rFonts w:ascii="Times New Roman" w:cs="Times New Roman" w:hAnsi="Times New Roman"/>
        </w:rPr>
        <w:t>a material</w:t>
      </w:r>
      <w:r>
        <w:rPr>
          <w:rFonts w:ascii="Times New Roman" w:cs="Times New Roman" w:hAnsi="Times New Roman"/>
        </w:rPr>
        <w:t xml:space="preserve"> uncertainty exists, we are required to draw attention in our auditor’s report to the related disclosures in the financial statements or, if such disclosures are inadequate, to modify our opinion. Our conclusions are based on the audit evidence obtained up to the date of our auditor’s report. However, future events or conditions may cause the Company to cease to continue as a going concern.</w:t>
      </w:r>
    </w:p>
    <w:p w14:paraId="302606AD">
      <w:pPr>
        <w:pStyle w:val="style0"/>
        <w:autoSpaceDE w:val="false"/>
        <w:autoSpaceDN w:val="false"/>
        <w:adjustRightInd w:val="false"/>
        <w:spacing w:lineRule="auto" w:line="240"/>
        <w:jc w:val="both"/>
        <w:rPr>
          <w:rFonts w:ascii="Times New Roman" w:cs="Times New Roman" w:hAnsi="Times New Roman"/>
        </w:rPr>
      </w:pPr>
      <w:r>
        <w:rPr>
          <w:rFonts w:ascii="Times New Roman" w:cs="Times New Roman" w:hAnsi="Times New Roman"/>
        </w:rPr>
        <w:t>We communicate with those charged with governance regarding, among other matters, the planned scope and timing of the audit and significant audit findings, including any significant deficiencies in internal control that we identify during our audit.</w:t>
      </w:r>
    </w:p>
    <w:p w14:paraId="63E65B81">
      <w:pPr>
        <w:pStyle w:val="style0"/>
        <w:jc w:val="both"/>
        <w:rPr>
          <w:rFonts w:ascii="Times New Roman" w:cs="Times New Roman" w:hAnsi="Times New Roman"/>
          <w:b/>
        </w:rPr>
      </w:pPr>
    </w:p>
    <w:p w14:paraId="67D393E3">
      <w:pPr>
        <w:pStyle w:val="style4111"/>
        <w:spacing w:after="160"/>
        <w:jc w:val="both"/>
        <w:rPr>
          <w:rFonts w:ascii="Times New Roman" w:cs="Times New Roman" w:hAnsi="Times New Roman"/>
          <w:sz w:val="22"/>
          <w:szCs w:val="22"/>
        </w:rPr>
      </w:pPr>
    </w:p>
    <w:p w14:paraId="5902CD1D">
      <w:pPr>
        <w:pStyle w:val="style4111"/>
        <w:spacing w:after="160"/>
        <w:jc w:val="both"/>
        <w:rPr>
          <w:rFonts w:ascii="Times New Roman" w:cs="Times New Roman" w:hAnsi="Times New Roman"/>
          <w:sz w:val="22"/>
          <w:szCs w:val="22"/>
        </w:rPr>
      </w:pPr>
    </w:p>
    <w:p w14:paraId="7FB6FA95">
      <w:pPr>
        <w:pStyle w:val="style4111"/>
        <w:spacing w:after="160"/>
        <w:jc w:val="both"/>
        <w:rPr>
          <w:rFonts w:ascii="Times New Roman" w:cs="Times New Roman" w:hAnsi="Times New Roman"/>
          <w:sz w:val="22"/>
          <w:szCs w:val="22"/>
        </w:rPr>
      </w:pPr>
      <w:r>
        <w:rPr>
          <w:rFonts w:ascii="Times New Roman" w:cs="Times New Roman" w:hAnsi="Times New Roman"/>
          <w:sz w:val="22"/>
          <w:szCs w:val="22"/>
        </w:rPr>
        <w:t>Signature</w:t>
      </w:r>
    </w:p>
    <w:p w14:paraId="29B82655">
      <w:pPr>
        <w:pStyle w:val="style4111"/>
        <w:spacing w:after="160"/>
        <w:jc w:val="both"/>
        <w:rPr>
          <w:rFonts w:ascii="Times New Roman" w:cs="Times New Roman" w:hAnsi="Times New Roman"/>
          <w:sz w:val="22"/>
          <w:szCs w:val="22"/>
        </w:rPr>
      </w:pPr>
      <w:r>
        <w:rPr>
          <w:rFonts w:ascii="Times New Roman" w:cs="Times New Roman" w:hAnsi="Times New Roman"/>
          <w:sz w:val="22"/>
          <w:szCs w:val="22"/>
        </w:rPr>
        <w:t>Name of Partner, Enrolment Number: XXXX</w:t>
      </w:r>
    </w:p>
    <w:p w14:paraId="18A35CA1">
      <w:pPr>
        <w:pStyle w:val="style4111"/>
        <w:spacing w:after="160"/>
        <w:jc w:val="both"/>
        <w:rPr>
          <w:rFonts w:ascii="Times New Roman" w:cs="Times New Roman" w:hAnsi="Times New Roman"/>
          <w:sz w:val="22"/>
          <w:szCs w:val="22"/>
        </w:rPr>
      </w:pPr>
      <w:r>
        <w:rPr>
          <w:rFonts w:ascii="Times New Roman" w:cs="Times New Roman" w:hAnsi="Times New Roman"/>
          <w:sz w:val="22"/>
          <w:szCs w:val="22"/>
        </w:rPr>
        <w:t>Name of the Firm</w:t>
      </w:r>
    </w:p>
    <w:p w14:paraId="4E25467B">
      <w:pPr>
        <w:pStyle w:val="style4111"/>
        <w:spacing w:after="160"/>
        <w:jc w:val="both"/>
        <w:rPr>
          <w:rFonts w:ascii="Times New Roman" w:cs="Times New Roman" w:hAnsi="Times New Roman"/>
          <w:color w:val="auto"/>
          <w:sz w:val="22"/>
          <w:szCs w:val="22"/>
        </w:rPr>
      </w:pPr>
      <w:r>
        <w:rPr>
          <w:rFonts w:ascii="Times New Roman" w:cs="Times New Roman" w:hAnsi="Times New Roman"/>
          <w:sz w:val="22"/>
          <w:szCs w:val="22"/>
        </w:rPr>
        <w:t>Firm FRC Enlistment Number</w:t>
      </w:r>
    </w:p>
    <w:p w14:paraId="070DCD28">
      <w:pPr>
        <w:pStyle w:val="style4111"/>
        <w:spacing w:after="160"/>
        <w:jc w:val="both"/>
        <w:rPr>
          <w:rFonts w:ascii="Times New Roman" w:cs="Times New Roman" w:hAnsi="Times New Roman"/>
          <w:color w:val="auto"/>
          <w:sz w:val="22"/>
          <w:szCs w:val="22"/>
        </w:rPr>
      </w:pPr>
      <w:r>
        <w:rPr>
          <w:rFonts w:ascii="Times New Roman" w:cs="Times New Roman" w:hAnsi="Times New Roman"/>
          <w:color w:val="auto"/>
          <w:sz w:val="22"/>
          <w:szCs w:val="22"/>
        </w:rPr>
        <w:t>Place/Location, Date</w:t>
      </w:r>
      <w:r>
        <w:rPr>
          <w:rFonts w:ascii="Times New Roman" w:cs="Times New Roman" w:hAnsi="Times New Roman"/>
          <w:color w:val="auto"/>
          <w:sz w:val="22"/>
          <w:szCs w:val="22"/>
        </w:rPr>
        <w:tab/>
      </w:r>
      <w:r>
        <w:rPr>
          <w:rFonts w:ascii="Times New Roman" w:cs="Times New Roman" w:hAnsi="Times New Roman"/>
          <w:color w:val="auto"/>
          <w:sz w:val="22"/>
          <w:szCs w:val="22"/>
        </w:rPr>
        <w:tab/>
      </w:r>
      <w:r>
        <w:rPr>
          <w:rFonts w:ascii="Times New Roman" w:cs="Times New Roman" w:hAnsi="Times New Roman"/>
          <w:color w:val="auto"/>
          <w:sz w:val="22"/>
          <w:szCs w:val="22"/>
        </w:rPr>
        <w:tab/>
      </w:r>
      <w:r>
        <w:rPr>
          <w:rFonts w:ascii="Times New Roman" w:cs="Times New Roman" w:hAnsi="Times New Roman"/>
          <w:color w:val="auto"/>
          <w:sz w:val="22"/>
          <w:szCs w:val="22"/>
        </w:rPr>
        <w:tab/>
      </w:r>
      <w:r>
        <w:rPr>
          <w:rFonts w:ascii="Times New Roman" w:cs="Times New Roman" w:hAnsi="Times New Roman"/>
          <w:color w:val="auto"/>
          <w:sz w:val="22"/>
          <w:szCs w:val="22"/>
        </w:rPr>
        <w:tab/>
      </w:r>
    </w:p>
    <w:p w14:paraId="37841D4C">
      <w:pPr>
        <w:pStyle w:val="style4111"/>
        <w:spacing w:after="160"/>
        <w:jc w:val="both"/>
        <w:rPr>
          <w:rFonts w:ascii="Times New Roman" w:cs="Times New Roman" w:hAnsi="Times New Roman"/>
          <w:color w:val="auto"/>
          <w:sz w:val="22"/>
          <w:szCs w:val="22"/>
        </w:rPr>
      </w:pPr>
    </w:p>
    <w:p w14:paraId="261A2D23">
      <w:pPr>
        <w:pStyle w:val="style0"/>
        <w:jc w:val="both"/>
        <w:rPr>
          <w:rFonts w:ascii="Arial" w:cs="Arial" w:hAnsi="Arial"/>
          <w:b/>
          <w:sz w:val="20"/>
          <w:szCs w:val="2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Segoe UI">
    <w:altName w:val="Segoe UI"/>
    <w:panose1 w:val="020b0502040002020203"/>
    <w:charset w:val="00"/>
    <w:family w:val="swiss"/>
    <w:pitch w:val="variable"/>
    <w:sig w:usb0="E4002EFF" w:usb1="C000E47F" w:usb2="00000009" w:usb3="00000000" w:csb0="000001FF" w:csb1="00000000"/>
  </w:font>
  <w:font w:name="Nikosh">
    <w:altName w:val="Nikosh"/>
    <w:panose1 w:val="02000000000000000000"/>
    <w:charset w:val="00"/>
    <w:family w:val="auto"/>
    <w:pitch w:val="variable"/>
    <w:sig w:usb0="00018003" w:usb1="00000000" w:usb2="00000000" w:usb3="00000000" w:csb0="00000001" w:csb1="00000000"/>
  </w:font>
  <w:font w:name="Calibri Light">
    <w:altName w:val="Calibri Light"/>
    <w:panose1 w:val="020f0302020002030204"/>
    <w:charset w:val="00"/>
    <w:family w:val="swiss"/>
    <w:pitch w:val="variable"/>
    <w:sig w:usb0="E4002EFF" w:usb1="C000247B" w:usb2="00000009" w:usb3="00000000" w:csb0="000001FF" w:csb1="00000000"/>
  </w:font>
  <w:font w:name="Vrinda">
    <w:altName w:val="Times New Roman"/>
    <w:panose1 w:val="02020603050005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5126ABBE"/>
    <w:lvl w:ilvl="0">
      <w:start w:val="1"/>
      <w:numFmt w:val="decimal"/>
      <w:pStyle w:val="style1"/>
      <w:lvlText w:val="Example %1"/>
      <w:lvlJc w:val="left"/>
      <w:pPr>
        <w:tabs>
          <w:tab w:val="left" w:leader="none" w:pos="1440"/>
        </w:tabs>
        <w:ind w:left="708" w:hanging="708"/>
      </w:pPr>
      <w:rPr>
        <w:rFonts w:hint="default"/>
        <w:b/>
        <w:i w:val="false"/>
        <w:sz w:val="28"/>
      </w:rPr>
    </w:lvl>
    <w:lvl w:ilvl="1">
      <w:start w:val="1"/>
      <w:numFmt w:val="decimal"/>
      <w:pStyle w:val="style2"/>
      <w:lvlText w:val="%1.%2"/>
      <w:lvlJc w:val="left"/>
      <w:pPr>
        <w:tabs>
          <w:tab w:val="left" w:leader="none" w:pos="0"/>
        </w:tabs>
        <w:ind w:left="709" w:hanging="708"/>
      </w:pPr>
      <w:rPr>
        <w:rFonts w:hint="default"/>
      </w:rPr>
    </w:lvl>
    <w:lvl w:ilvl="2">
      <w:start w:val="1"/>
      <w:numFmt w:val="decimal"/>
      <w:pStyle w:val="style3"/>
      <w:lvlText w:val="%1.%2.%3"/>
      <w:lvlJc w:val="left"/>
      <w:pPr>
        <w:tabs>
          <w:tab w:val="left" w:leader="none" w:pos="0"/>
        </w:tabs>
        <w:ind w:left="709" w:hanging="708"/>
      </w:pPr>
      <w:rPr>
        <w:rFonts w:hint="default"/>
      </w:rPr>
    </w:lvl>
    <w:lvl w:ilvl="3">
      <w:start w:val="1"/>
      <w:numFmt w:val="decimal"/>
      <w:pStyle w:val="style4"/>
      <w:lvlText w:val="%1.%2.%3.%4"/>
      <w:lvlJc w:val="left"/>
      <w:pPr>
        <w:tabs>
          <w:tab w:val="left" w:leader="none" w:pos="0"/>
        </w:tabs>
        <w:ind w:left="709" w:hanging="708"/>
      </w:pPr>
      <w:rPr>
        <w:rFonts w:hint="default"/>
      </w:rPr>
    </w:lvl>
    <w:lvl w:ilvl="4">
      <w:start w:val="1"/>
      <w:numFmt w:val="decimal"/>
      <w:pStyle w:val="style5"/>
      <w:lvlText w:val="(%5)"/>
      <w:lvlJc w:val="left"/>
      <w:pPr>
        <w:tabs>
          <w:tab w:val="left" w:leader="none" w:pos="0"/>
        </w:tabs>
        <w:ind w:left="3540" w:hanging="708"/>
      </w:pPr>
      <w:rPr>
        <w:rFonts w:hint="default"/>
      </w:rPr>
    </w:lvl>
    <w:lvl w:ilvl="5">
      <w:start w:val="1"/>
      <w:numFmt w:val="lowerLetter"/>
      <w:pStyle w:val="style6"/>
      <w:lvlText w:val="(%6)"/>
      <w:lvlJc w:val="left"/>
      <w:pPr>
        <w:tabs>
          <w:tab w:val="left" w:leader="none" w:pos="0"/>
        </w:tabs>
        <w:ind w:left="4248" w:hanging="708"/>
      </w:pPr>
      <w:rPr>
        <w:rFonts w:hint="default"/>
      </w:rPr>
    </w:lvl>
    <w:lvl w:ilvl="6">
      <w:start w:val="1"/>
      <w:numFmt w:val="lowerRoman"/>
      <w:pStyle w:val="style7"/>
      <w:lvlText w:val="(%7)"/>
      <w:lvlJc w:val="left"/>
      <w:pPr>
        <w:tabs>
          <w:tab w:val="left" w:leader="none" w:pos="0"/>
        </w:tabs>
        <w:ind w:left="4956" w:hanging="708"/>
      </w:pPr>
      <w:rPr>
        <w:rFonts w:hint="default"/>
      </w:rPr>
    </w:lvl>
    <w:lvl w:ilvl="7">
      <w:start w:val="1"/>
      <w:numFmt w:val="lowerLetter"/>
      <w:pStyle w:val="style8"/>
      <w:lvlText w:val="(%8)"/>
      <w:lvlJc w:val="left"/>
      <w:pPr>
        <w:tabs>
          <w:tab w:val="left" w:leader="none" w:pos="0"/>
        </w:tabs>
        <w:ind w:left="5664" w:hanging="708"/>
      </w:pPr>
      <w:rPr>
        <w:rFonts w:hint="default"/>
      </w:rPr>
    </w:lvl>
    <w:lvl w:ilvl="8">
      <w:start w:val="1"/>
      <w:numFmt w:val="lowerRoman"/>
      <w:pStyle w:val="style9"/>
      <w:lvlText w:val="(%9)"/>
      <w:lvlJc w:val="left"/>
      <w:pPr>
        <w:tabs>
          <w:tab w:val="left" w:leader="none" w:pos="0"/>
        </w:tabs>
        <w:ind w:left="6372" w:hanging="708"/>
      </w:pPr>
      <w:rPr>
        <w:rFonts w:hint="default"/>
      </w:rPr>
    </w:lvl>
  </w:abstractNum>
  <w:abstractNum w:abstractNumId="1">
    <w:nsid w:val="00000001"/>
    <w:multiLevelType w:val="hybridMultilevel"/>
    <w:tmpl w:val="F66C584C"/>
    <w:lvl w:ilvl="0" w:tplc="02F0297A">
      <w:start w:val="1"/>
      <w:numFmt w:val="decimal"/>
      <w:lvlText w:val="Example %1"/>
      <w:lvlJc w:val="left"/>
      <w:pPr>
        <w:tabs>
          <w:tab w:val="left" w:leader="none" w:pos="1080"/>
        </w:tabs>
        <w:ind w:left="720" w:hanging="720"/>
      </w:pPr>
      <w:rPr>
        <w:rFonts w:hint="default"/>
        <w:b/>
        <w:i w:val="false"/>
        <w:sz w:val="22"/>
      </w:rPr>
    </w:lvl>
    <w:lvl w:ilvl="1" w:tplc="83B8ACF6">
      <w:start w:val="1"/>
      <w:numFmt w:val="bullet"/>
      <w:pStyle w:val="style4107"/>
      <w:lvlText w:val=""/>
      <w:lvlJc w:val="left"/>
      <w:pPr>
        <w:tabs>
          <w:tab w:val="left" w:leader="none" w:pos="643"/>
        </w:tabs>
        <w:ind w:left="643" w:hanging="360"/>
      </w:pPr>
      <w:rPr>
        <w:rFonts w:ascii="Wingdings" w:hAnsi="Wingdings" w:hint="default"/>
        <w:sz w:val="24"/>
      </w:rPr>
    </w:lvl>
    <w:lvl w:ilvl="2" w:tplc="DEE828AE">
      <w:start w:val="1"/>
      <w:numFmt w:val="lowerRoman"/>
      <w:lvlText w:val="%3."/>
      <w:lvlJc w:val="right"/>
      <w:pPr>
        <w:tabs>
          <w:tab w:val="left" w:leader="none" w:pos="2160"/>
        </w:tabs>
        <w:ind w:left="2160" w:hanging="180"/>
      </w:pPr>
    </w:lvl>
    <w:lvl w:ilvl="3" w:tplc="E4982E88" w:tentative="1">
      <w:start w:val="1"/>
      <w:numFmt w:val="decimal"/>
      <w:lvlText w:val="%4."/>
      <w:lvlJc w:val="left"/>
      <w:pPr>
        <w:tabs>
          <w:tab w:val="left" w:leader="none" w:pos="2880"/>
        </w:tabs>
        <w:ind w:left="2880" w:hanging="360"/>
      </w:pPr>
    </w:lvl>
    <w:lvl w:ilvl="4" w:tplc="9AF4FD70" w:tentative="1">
      <w:start w:val="1"/>
      <w:numFmt w:val="lowerLetter"/>
      <w:lvlText w:val="%5."/>
      <w:lvlJc w:val="left"/>
      <w:pPr>
        <w:tabs>
          <w:tab w:val="left" w:leader="none" w:pos="3600"/>
        </w:tabs>
        <w:ind w:left="3600" w:hanging="360"/>
      </w:pPr>
    </w:lvl>
    <w:lvl w:ilvl="5" w:tplc="49AC9D22" w:tentative="1">
      <w:start w:val="1"/>
      <w:numFmt w:val="lowerRoman"/>
      <w:lvlText w:val="%6."/>
      <w:lvlJc w:val="right"/>
      <w:pPr>
        <w:tabs>
          <w:tab w:val="left" w:leader="none" w:pos="4320"/>
        </w:tabs>
        <w:ind w:left="4320" w:hanging="180"/>
      </w:pPr>
    </w:lvl>
    <w:lvl w:ilvl="6" w:tplc="90D81B36" w:tentative="1">
      <w:start w:val="1"/>
      <w:numFmt w:val="decimal"/>
      <w:lvlText w:val="%7."/>
      <w:lvlJc w:val="left"/>
      <w:pPr>
        <w:tabs>
          <w:tab w:val="left" w:leader="none" w:pos="5040"/>
        </w:tabs>
        <w:ind w:left="5040" w:hanging="360"/>
      </w:pPr>
    </w:lvl>
    <w:lvl w:ilvl="7" w:tplc="70E0CC82" w:tentative="1">
      <w:start w:val="1"/>
      <w:numFmt w:val="lowerLetter"/>
      <w:lvlText w:val="%8."/>
      <w:lvlJc w:val="left"/>
      <w:pPr>
        <w:tabs>
          <w:tab w:val="left" w:leader="none" w:pos="5760"/>
        </w:tabs>
        <w:ind w:left="5760" w:hanging="360"/>
      </w:pPr>
    </w:lvl>
    <w:lvl w:ilvl="8" w:tplc="12A25918" w:tentative="1">
      <w:start w:val="1"/>
      <w:numFmt w:val="lowerRoman"/>
      <w:lvlText w:val="%9."/>
      <w:lvlJc w:val="right"/>
      <w:pPr>
        <w:tabs>
          <w:tab w:val="left" w:leader="none" w:pos="6480"/>
        </w:tabs>
        <w:ind w:left="6480" w:hanging="180"/>
      </w:pPr>
    </w:lvl>
  </w:abstractNum>
  <w:abstractNum w:abstractNumId="2">
    <w:nsid w:val="00000002"/>
    <w:multiLevelType w:val="hybridMultilevel"/>
    <w:tmpl w:val="68CEF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8EAA9B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60947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2"/>
    <w:link w:val="style4098"/>
    <w:qFormat/>
    <w:pPr>
      <w:numPr>
        <w:ilvl w:val="0"/>
        <w:numId w:val="1"/>
      </w:numPr>
      <w:tabs>
        <w:tab w:val="left" w:leader="none" w:pos="1531"/>
      </w:tabs>
      <w:overflowPunct w:val="false"/>
      <w:autoSpaceDE w:val="false"/>
      <w:autoSpaceDN w:val="false"/>
      <w:adjustRightInd w:val="false"/>
      <w:spacing w:after="0" w:lineRule="auto" w:line="240"/>
      <w:ind w:left="1531" w:hanging="1531"/>
      <w:jc w:val="both"/>
      <w:textAlignment w:val="baseline"/>
      <w:outlineLvl w:val="0"/>
    </w:pPr>
    <w:rPr>
      <w:rFonts w:ascii="Times New Roman" w:cs="Times New Roman" w:eastAsia="Times New Roman" w:hAnsi="Times New Roman"/>
      <w:b/>
      <w:sz w:val="28"/>
      <w:szCs w:val="20"/>
      <w:lang w:val="en-GB"/>
    </w:rPr>
  </w:style>
  <w:style w:type="paragraph" w:styleId="style2">
    <w:name w:val="heading 2"/>
    <w:basedOn w:val="style0"/>
    <w:next w:val="style2"/>
    <w:link w:val="style4099"/>
    <w:qFormat/>
    <w:pPr>
      <w:numPr>
        <w:ilvl w:val="1"/>
        <w:numId w:val="1"/>
      </w:numPr>
      <w:overflowPunct w:val="false"/>
      <w:autoSpaceDE w:val="false"/>
      <w:autoSpaceDN w:val="false"/>
      <w:adjustRightInd w:val="false"/>
      <w:spacing w:after="260" w:lineRule="exact" w:line="260"/>
      <w:jc w:val="both"/>
      <w:textAlignment w:val="baseline"/>
      <w:outlineLvl w:val="1"/>
    </w:pPr>
    <w:rPr>
      <w:rFonts w:ascii="Times New Roman" w:cs="Times New Roman" w:eastAsia="Times New Roman" w:hAnsi="Times New Roman"/>
      <w:szCs w:val="20"/>
      <w:lang w:val="en-GB"/>
    </w:rPr>
  </w:style>
  <w:style w:type="paragraph" w:styleId="style3">
    <w:name w:val="heading 3"/>
    <w:basedOn w:val="style0"/>
    <w:next w:val="style0"/>
    <w:link w:val="style4100"/>
    <w:qFormat/>
    <w:pPr>
      <w:numPr>
        <w:ilvl w:val="2"/>
        <w:numId w:val="1"/>
      </w:numPr>
      <w:overflowPunct w:val="false"/>
      <w:autoSpaceDE w:val="false"/>
      <w:autoSpaceDN w:val="false"/>
      <w:adjustRightInd w:val="false"/>
      <w:spacing w:after="260" w:lineRule="exact" w:line="260"/>
      <w:jc w:val="both"/>
      <w:textAlignment w:val="baseline"/>
      <w:outlineLvl w:val="2"/>
    </w:pPr>
    <w:rPr>
      <w:rFonts w:ascii="Times New Roman" w:cs="Times New Roman" w:eastAsia="Times New Roman" w:hAnsi="Times New Roman"/>
      <w:position w:val="-4"/>
      <w:szCs w:val="20"/>
      <w:lang w:val="en-GB"/>
    </w:rPr>
  </w:style>
  <w:style w:type="paragraph" w:styleId="style4">
    <w:name w:val="heading 4"/>
    <w:basedOn w:val="style0"/>
    <w:next w:val="style0"/>
    <w:link w:val="style4101"/>
    <w:qFormat/>
    <w:pPr>
      <w:keepNext/>
      <w:numPr>
        <w:ilvl w:val="3"/>
        <w:numId w:val="1"/>
      </w:numPr>
      <w:overflowPunct w:val="false"/>
      <w:autoSpaceDE w:val="false"/>
      <w:autoSpaceDN w:val="false"/>
      <w:adjustRightInd w:val="false"/>
      <w:spacing w:after="260" w:lineRule="exact" w:line="260"/>
      <w:jc w:val="both"/>
      <w:textAlignment w:val="baseline"/>
      <w:outlineLvl w:val="3"/>
    </w:pPr>
    <w:rPr>
      <w:rFonts w:ascii="Times New Roman" w:cs="Times New Roman" w:eastAsia="Times New Roman" w:hAnsi="Times New Roman"/>
      <w:szCs w:val="20"/>
      <w:lang w:val="en-GB"/>
    </w:rPr>
  </w:style>
  <w:style w:type="paragraph" w:styleId="style5">
    <w:name w:val="heading 5"/>
    <w:basedOn w:val="style0"/>
    <w:next w:val="style0"/>
    <w:link w:val="style4102"/>
    <w:qFormat/>
    <w:pPr>
      <w:numPr>
        <w:ilvl w:val="4"/>
        <w:numId w:val="1"/>
      </w:numPr>
      <w:overflowPunct w:val="false"/>
      <w:autoSpaceDE w:val="false"/>
      <w:autoSpaceDN w:val="false"/>
      <w:adjustRightInd w:val="false"/>
      <w:spacing w:before="240" w:after="60" w:lineRule="auto" w:line="240"/>
      <w:jc w:val="both"/>
      <w:textAlignment w:val="baseline"/>
      <w:outlineLvl w:val="4"/>
    </w:pPr>
    <w:rPr>
      <w:rFonts w:ascii="Arial" w:cs="Times New Roman" w:eastAsia="Times New Roman" w:hAnsi="Arial"/>
      <w:szCs w:val="20"/>
      <w:lang w:val="en-GB"/>
    </w:rPr>
  </w:style>
  <w:style w:type="paragraph" w:styleId="style6">
    <w:name w:val="heading 6"/>
    <w:basedOn w:val="style0"/>
    <w:next w:val="style0"/>
    <w:link w:val="style4103"/>
    <w:qFormat/>
    <w:pPr>
      <w:numPr>
        <w:ilvl w:val="5"/>
        <w:numId w:val="1"/>
      </w:numPr>
      <w:overflowPunct w:val="false"/>
      <w:autoSpaceDE w:val="false"/>
      <w:autoSpaceDN w:val="false"/>
      <w:adjustRightInd w:val="false"/>
      <w:spacing w:before="240" w:after="60" w:lineRule="auto" w:line="240"/>
      <w:jc w:val="both"/>
      <w:textAlignment w:val="baseline"/>
      <w:outlineLvl w:val="5"/>
    </w:pPr>
    <w:rPr>
      <w:rFonts w:ascii="Arial" w:cs="Times New Roman" w:eastAsia="Times New Roman" w:hAnsi="Arial"/>
      <w:i/>
      <w:szCs w:val="20"/>
      <w:lang w:val="en-GB"/>
    </w:rPr>
  </w:style>
  <w:style w:type="paragraph" w:styleId="style7">
    <w:name w:val="heading 7"/>
    <w:basedOn w:val="style0"/>
    <w:next w:val="style0"/>
    <w:link w:val="style4104"/>
    <w:qFormat/>
    <w:pPr>
      <w:numPr>
        <w:ilvl w:val="6"/>
        <w:numId w:val="1"/>
      </w:numPr>
      <w:overflowPunct w:val="false"/>
      <w:autoSpaceDE w:val="false"/>
      <w:autoSpaceDN w:val="false"/>
      <w:adjustRightInd w:val="false"/>
      <w:spacing w:before="240" w:after="60" w:lineRule="auto" w:line="240"/>
      <w:jc w:val="both"/>
      <w:textAlignment w:val="baseline"/>
      <w:outlineLvl w:val="6"/>
    </w:pPr>
    <w:rPr>
      <w:rFonts w:ascii="Arial" w:cs="Times New Roman" w:eastAsia="Times New Roman" w:hAnsi="Arial"/>
      <w:sz w:val="20"/>
      <w:szCs w:val="20"/>
      <w:lang w:val="en-GB"/>
    </w:rPr>
  </w:style>
  <w:style w:type="paragraph" w:styleId="style8">
    <w:name w:val="heading 8"/>
    <w:basedOn w:val="style0"/>
    <w:next w:val="style0"/>
    <w:link w:val="style4105"/>
    <w:qFormat/>
    <w:pPr>
      <w:numPr>
        <w:ilvl w:val="7"/>
        <w:numId w:val="1"/>
      </w:numPr>
      <w:overflowPunct w:val="false"/>
      <w:autoSpaceDE w:val="false"/>
      <w:autoSpaceDN w:val="false"/>
      <w:adjustRightInd w:val="false"/>
      <w:spacing w:before="240" w:after="60" w:lineRule="auto" w:line="240"/>
      <w:jc w:val="both"/>
      <w:textAlignment w:val="baseline"/>
      <w:outlineLvl w:val="7"/>
    </w:pPr>
    <w:rPr>
      <w:rFonts w:ascii="Arial" w:cs="Times New Roman" w:eastAsia="Times New Roman" w:hAnsi="Arial"/>
      <w:i/>
      <w:sz w:val="20"/>
      <w:szCs w:val="20"/>
      <w:lang w:val="en-GB"/>
    </w:rPr>
  </w:style>
  <w:style w:type="paragraph" w:styleId="style9">
    <w:name w:val="heading 9"/>
    <w:basedOn w:val="style0"/>
    <w:next w:val="style0"/>
    <w:link w:val="style4106"/>
    <w:qFormat/>
    <w:pPr>
      <w:numPr>
        <w:ilvl w:val="8"/>
        <w:numId w:val="1"/>
      </w:numPr>
      <w:overflowPunct w:val="false"/>
      <w:autoSpaceDE w:val="false"/>
      <w:autoSpaceDN w:val="false"/>
      <w:adjustRightInd w:val="false"/>
      <w:spacing w:before="240" w:after="60" w:lineRule="auto" w:line="240"/>
      <w:jc w:val="both"/>
      <w:textAlignment w:val="baseline"/>
      <w:outlineLvl w:val="8"/>
    </w:pPr>
    <w:rPr>
      <w:rFonts w:ascii="Arial" w:cs="Times New Roman" w:eastAsia="Times New Roman" w:hAnsi="Arial"/>
      <w:i/>
      <w:sz w:val="18"/>
      <w:szCs w:val="20"/>
      <w:lang w:val="en-GB"/>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rPr>
      <w:color w:val="0000ff"/>
      <w:u w:val="single"/>
    </w:rPr>
  </w:style>
  <w:style w:type="paragraph" w:styleId="style66">
    <w:name w:val="Body Text"/>
    <w:basedOn w:val="style0"/>
    <w:next w:val="style66"/>
    <w:link w:val="style4097"/>
    <w:pPr>
      <w:spacing w:after="120" w:lineRule="auto" w:line="240"/>
    </w:pPr>
    <w:rPr>
      <w:rFonts w:ascii="Times New Roman" w:cs="Times New Roman" w:eastAsia="Times New Roman" w:hAnsi="Times New Roman"/>
      <w:sz w:val="24"/>
      <w:szCs w:val="24"/>
    </w:rPr>
  </w:style>
  <w:style w:type="character" w:customStyle="1" w:styleId="style4097">
    <w:name w:val="Body Text Char"/>
    <w:basedOn w:val="style65"/>
    <w:next w:val="style4097"/>
    <w:link w:val="style66"/>
    <w:rPr>
      <w:rFonts w:ascii="Times New Roman" w:cs="Times New Roman" w:eastAsia="Times New Roman" w:hAnsi="Times New Roman"/>
      <w:sz w:val="24"/>
      <w:szCs w:val="24"/>
    </w:rPr>
  </w:style>
  <w:style w:type="character" w:customStyle="1" w:styleId="style4098">
    <w:name w:val="Heading 1 Char_555f8f4d-56f6-4518-a543-1889214d1268"/>
    <w:basedOn w:val="style65"/>
    <w:next w:val="style4098"/>
    <w:link w:val="style1"/>
    <w:rPr>
      <w:rFonts w:ascii="Times New Roman" w:cs="Times New Roman" w:eastAsia="Times New Roman" w:hAnsi="Times New Roman"/>
      <w:b/>
      <w:sz w:val="28"/>
      <w:szCs w:val="20"/>
      <w:lang w:val="en-GB"/>
    </w:rPr>
  </w:style>
  <w:style w:type="character" w:customStyle="1" w:styleId="style4099">
    <w:name w:val="Heading 2 Char_2ca4baae-60cf-45c7-a04a-7fb1984c7ebb"/>
    <w:basedOn w:val="style65"/>
    <w:next w:val="style4099"/>
    <w:link w:val="style2"/>
    <w:rPr>
      <w:rFonts w:ascii="Times New Roman" w:cs="Times New Roman" w:eastAsia="Times New Roman" w:hAnsi="Times New Roman"/>
      <w:szCs w:val="20"/>
      <w:lang w:val="en-GB"/>
    </w:rPr>
  </w:style>
  <w:style w:type="character" w:customStyle="1" w:styleId="style4100">
    <w:name w:val="Heading 3 Char_4f667872-30a5-43b2-b0df-52af58a6108f"/>
    <w:basedOn w:val="style65"/>
    <w:next w:val="style4100"/>
    <w:link w:val="style3"/>
    <w:rPr>
      <w:rFonts w:ascii="Times New Roman" w:cs="Times New Roman" w:eastAsia="Times New Roman" w:hAnsi="Times New Roman"/>
      <w:position w:val="-4"/>
      <w:szCs w:val="20"/>
      <w:lang w:val="en-GB"/>
    </w:rPr>
  </w:style>
  <w:style w:type="character" w:customStyle="1" w:styleId="style4101">
    <w:name w:val="Heading 4 Char_03eef53e-59e6-4d9f-be8f-5472364438c8"/>
    <w:basedOn w:val="style65"/>
    <w:next w:val="style4101"/>
    <w:link w:val="style4"/>
    <w:rPr>
      <w:rFonts w:ascii="Times New Roman" w:cs="Times New Roman" w:eastAsia="Times New Roman" w:hAnsi="Times New Roman"/>
      <w:szCs w:val="20"/>
      <w:lang w:val="en-GB"/>
    </w:rPr>
  </w:style>
  <w:style w:type="character" w:customStyle="1" w:styleId="style4102">
    <w:name w:val="Heading 5 Char_a61f9540-9764-4909-b91b-6b8832c68028"/>
    <w:basedOn w:val="style65"/>
    <w:next w:val="style4102"/>
    <w:link w:val="style5"/>
    <w:rPr>
      <w:rFonts w:ascii="Arial" w:cs="Times New Roman" w:eastAsia="Times New Roman" w:hAnsi="Arial"/>
      <w:szCs w:val="20"/>
      <w:lang w:val="en-GB"/>
    </w:rPr>
  </w:style>
  <w:style w:type="character" w:customStyle="1" w:styleId="style4103">
    <w:name w:val="Heading 6 Char_09f057c0-8886-47af-824b-83562969dd95"/>
    <w:basedOn w:val="style65"/>
    <w:next w:val="style4103"/>
    <w:link w:val="style6"/>
    <w:rPr>
      <w:rFonts w:ascii="Arial" w:cs="Times New Roman" w:eastAsia="Times New Roman" w:hAnsi="Arial"/>
      <w:i/>
      <w:szCs w:val="20"/>
      <w:lang w:val="en-GB"/>
    </w:rPr>
  </w:style>
  <w:style w:type="character" w:customStyle="1" w:styleId="style4104">
    <w:name w:val="Heading 7 Char_62fa2195-e42e-4732-b2e0-6e7b95d3f7f3"/>
    <w:basedOn w:val="style65"/>
    <w:next w:val="style4104"/>
    <w:link w:val="style7"/>
    <w:rPr>
      <w:rFonts w:ascii="Arial" w:cs="Times New Roman" w:eastAsia="Times New Roman" w:hAnsi="Arial"/>
      <w:sz w:val="20"/>
      <w:szCs w:val="20"/>
      <w:lang w:val="en-GB"/>
    </w:rPr>
  </w:style>
  <w:style w:type="character" w:customStyle="1" w:styleId="style4105">
    <w:name w:val="Heading 8 Char_bb477faf-eaf5-492a-aff6-fd9582c85b5c"/>
    <w:basedOn w:val="style65"/>
    <w:next w:val="style4105"/>
    <w:link w:val="style8"/>
    <w:rPr>
      <w:rFonts w:ascii="Arial" w:cs="Times New Roman" w:eastAsia="Times New Roman" w:hAnsi="Arial"/>
      <w:i/>
      <w:sz w:val="20"/>
      <w:szCs w:val="20"/>
      <w:lang w:val="en-GB"/>
    </w:rPr>
  </w:style>
  <w:style w:type="character" w:customStyle="1" w:styleId="style4106">
    <w:name w:val="Heading 9 Char_b973c44a-606d-465a-ad01-9bbc42f0af7d"/>
    <w:basedOn w:val="style65"/>
    <w:next w:val="style4106"/>
    <w:link w:val="style9"/>
    <w:rPr>
      <w:rFonts w:ascii="Arial" w:cs="Times New Roman" w:eastAsia="Times New Roman" w:hAnsi="Arial"/>
      <w:i/>
      <w:sz w:val="18"/>
      <w:szCs w:val="20"/>
      <w:lang w:val="en-GB"/>
    </w:rPr>
  </w:style>
  <w:style w:type="paragraph" w:customStyle="1" w:styleId="style4107">
    <w:name w:val="Bullet"/>
    <w:basedOn w:val="style0"/>
    <w:next w:val="style4107"/>
    <w:pPr>
      <w:numPr>
        <w:ilvl w:val="1"/>
        <w:numId w:val="2"/>
      </w:numPr>
      <w:spacing w:after="0" w:lineRule="auto" w:line="240"/>
    </w:pPr>
    <w:rPr>
      <w:rFonts w:ascii="Times New Roman" w:cs="Times New Roman" w:eastAsia="Times New Roman" w:hAnsi="Times New Roman"/>
      <w:sz w:val="24"/>
      <w:szCs w:val="24"/>
    </w:rPr>
  </w:style>
  <w:style w:type="paragraph" w:customStyle="1" w:styleId="style4108">
    <w:name w:val="KAMKNormal"/>
    <w:basedOn w:val="style0"/>
    <w:next w:val="style4108"/>
    <w:link w:val="style4109"/>
    <w:qFormat/>
    <w:pPr>
      <w:spacing w:before="120" w:after="120" w:lineRule="auto" w:line="240"/>
    </w:pPr>
    <w:rPr>
      <w:rFonts w:ascii="Tahoma" w:cs="Times New Roman" w:eastAsia="Times New Roman" w:hAnsi="Tahoma"/>
      <w:color w:val="000000"/>
      <w:szCs w:val="24"/>
    </w:rPr>
  </w:style>
  <w:style w:type="character" w:customStyle="1" w:styleId="style4109">
    <w:name w:val="KAMKNormal Char"/>
    <w:basedOn w:val="style65"/>
    <w:next w:val="style4109"/>
    <w:link w:val="style4108"/>
    <w:rPr>
      <w:rFonts w:ascii="Tahoma" w:cs="Times New Roman" w:eastAsia="Times New Roman" w:hAnsi="Tahoma"/>
      <w:color w:val="000000"/>
      <w:szCs w:val="24"/>
    </w:rPr>
  </w:style>
  <w:style w:type="paragraph" w:styleId="style153">
    <w:name w:val="Balloon Text"/>
    <w:basedOn w:val="style0"/>
    <w:next w:val="style153"/>
    <w:link w:val="style4110"/>
    <w:uiPriority w:val="99"/>
    <w:pPr>
      <w:spacing w:after="0" w:lineRule="auto" w:line="240"/>
    </w:pPr>
    <w:rPr>
      <w:rFonts w:ascii="Segoe UI" w:cs="Segoe UI" w:hAnsi="Segoe UI"/>
      <w:sz w:val="18"/>
      <w:szCs w:val="18"/>
    </w:rPr>
  </w:style>
  <w:style w:type="character" w:customStyle="1" w:styleId="style4110">
    <w:name w:val="Balloon Text Char"/>
    <w:basedOn w:val="style65"/>
    <w:next w:val="style4110"/>
    <w:link w:val="style153"/>
    <w:uiPriority w:val="99"/>
    <w:rPr>
      <w:rFonts w:ascii="Segoe UI" w:cs="Segoe UI" w:hAnsi="Segoe UI"/>
      <w:sz w:val="18"/>
      <w:szCs w:val="18"/>
    </w:rPr>
  </w:style>
  <w:style w:type="paragraph" w:customStyle="1" w:styleId="style4111">
    <w:name w:val="Default"/>
    <w:next w:val="style4111"/>
    <w:pPr>
      <w:autoSpaceDE w:val="false"/>
      <w:autoSpaceDN w:val="false"/>
      <w:adjustRightInd w:val="false"/>
      <w:spacing w:after="0" w:lineRule="auto" w:line="240"/>
    </w:pPr>
    <w:rPr>
      <w:rFonts w:ascii="Arial" w:cs="Arial" w:hAnsi="Arial"/>
      <w:color w:val="000000"/>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Words>791</Words>
  <Pages>2</Pages>
  <Characters>4462</Characters>
  <Application>WPS Office</Application>
  <DocSecurity>0</DocSecurity>
  <Paragraphs>39</Paragraphs>
  <ScaleCrop>false</ScaleCrop>
  <Company>KPMG</Company>
  <LinksUpToDate>false</LinksUpToDate>
  <CharactersWithSpaces>5241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2026-08-20T06:06:00Z</dcterms:created>
  <dc:creator>Kamal, Tareq</dc:creator>
  <lastModifiedBy>SM-A346E</lastModifiedBy>
  <lastPrinted>2026-07-08T09:24:00Z</lastPrinted>
  <dcterms:modified xsi:type="dcterms:W3CDTF">2026-08-20T13:52:42Z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c9d1a3f6-ee97-440b-bd3b-bee7c77a5ccc</vt:lpwstr>
  </property>
  <property fmtid="{D5CDD505-2E9C-101B-9397-08002B2CF9AE}" pid="3" name="ICV">
    <vt:lpwstr>f888f4745475481798d04c52dc894ffd_23</vt:lpwstr>
  </property>
</Properties>
</file>