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F4" w:rsidRPr="00CE536E" w:rsidRDefault="00F474E8" w:rsidP="009B65F4">
      <w:pPr>
        <w:spacing w:after="0" w:line="240" w:lineRule="auto"/>
        <w:jc w:val="center"/>
        <w:rPr>
          <w:rFonts w:ascii="Times New Roman" w:eastAsiaTheme="minorEastAsia" w:hAnsi="Times New Roman"/>
          <w:b/>
          <w:bCs/>
          <w:kern w:val="24"/>
          <w:sz w:val="24"/>
          <w:szCs w:val="72"/>
        </w:rPr>
      </w:pPr>
      <w:r>
        <w:rPr>
          <w:rFonts w:ascii="Times New Roman" w:eastAsiaTheme="minorEastAsia" w:hAnsi="Times New Roman"/>
          <w:b/>
          <w:bCs/>
          <w:noProof/>
          <w:kern w:val="24"/>
          <w:sz w:val="24"/>
          <w:szCs w:val="72"/>
        </w:rPr>
        <w:pict>
          <v:shapetype id="_x0000_t202" coordsize="21600,21600" o:spt="202" path="m,l,21600r21600,l21600,xe">
            <v:stroke joinstyle="miter"/>
            <v:path gradientshapeok="t" o:connecttype="rect"/>
          </v:shapetype>
          <v:shape id="Text Box 2" o:spid="_x0000_s1026" type="#_x0000_t202" style="position:absolute;left:0;text-align:left;margin-left:613.35pt;margin-top:-22.3pt;width:73.35pt;height:29.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">
            <v:textbox>
              <w:txbxContent>
                <w:p w:rsidR="00F474E8" w:rsidRPr="000351CB" w:rsidRDefault="00F474E8" w:rsidP="009B65F4">
                  <w:pPr>
                    <w:jc w:val="center"/>
                    <w:rPr>
                      <w:b/>
                      <w:sz w:val="32"/>
                    </w:rPr>
                  </w:pPr>
                  <w:r w:rsidRPr="000351CB">
                    <w:rPr>
                      <w:b/>
                      <w:sz w:val="32"/>
                    </w:rPr>
                    <w:t>DRAFT</w:t>
                  </w:r>
                </w:p>
              </w:txbxContent>
            </v:textbox>
          </v:shape>
        </w:pict>
      </w:r>
      <w:r w:rsidR="00636EF9">
        <w:rPr>
          <w:rFonts w:ascii="Times New Roman" w:eastAsiaTheme="minorEastAsia" w:hAnsi="Times New Roman"/>
          <w:b/>
          <w:bCs/>
          <w:kern w:val="24"/>
          <w:sz w:val="24"/>
          <w:szCs w:val="72"/>
        </w:rPr>
        <w:softHyphen/>
      </w:r>
      <w:r w:rsidR="00636EF9">
        <w:rPr>
          <w:rFonts w:ascii="Times New Roman" w:eastAsiaTheme="minorEastAsia" w:hAnsi="Times New Roman"/>
          <w:b/>
          <w:bCs/>
          <w:kern w:val="24"/>
          <w:sz w:val="24"/>
          <w:szCs w:val="72"/>
        </w:rPr>
        <w:softHyphen/>
      </w:r>
      <w:r w:rsidR="00636EF9">
        <w:rPr>
          <w:rFonts w:ascii="Times New Roman" w:eastAsiaTheme="minorEastAsia" w:hAnsi="Times New Roman"/>
          <w:b/>
          <w:bCs/>
          <w:kern w:val="24"/>
          <w:sz w:val="24"/>
          <w:szCs w:val="72"/>
        </w:rPr>
        <w:softHyphen/>
      </w:r>
      <w:r w:rsidR="009B65F4" w:rsidRPr="00CE536E">
        <w:rPr>
          <w:rFonts w:ascii="Times New Roman" w:eastAsiaTheme="minorEastAsia" w:hAnsi="Times New Roman"/>
          <w:b/>
          <w:bCs/>
          <w:kern w:val="24"/>
          <w:sz w:val="24"/>
          <w:szCs w:val="72"/>
        </w:rPr>
        <w:t xml:space="preserve">Government of the People’s Republic of Bangladesh </w:t>
      </w:r>
    </w:p>
    <w:p w:rsidR="009B65F4" w:rsidRPr="00CE536E" w:rsidRDefault="009B65F4" w:rsidP="009B65F4">
      <w:pPr>
        <w:spacing w:after="0" w:line="240" w:lineRule="auto"/>
        <w:jc w:val="center"/>
        <w:rPr>
          <w:rFonts w:ascii="Times New Roman" w:eastAsiaTheme="minorEastAsia" w:hAnsi="Times New Roman"/>
          <w:b/>
          <w:bCs/>
          <w:kern w:val="24"/>
          <w:sz w:val="24"/>
          <w:szCs w:val="72"/>
        </w:rPr>
      </w:pPr>
      <w:r w:rsidRPr="00CE536E">
        <w:rPr>
          <w:rFonts w:ascii="Times New Roman" w:eastAsiaTheme="minorEastAsia" w:hAnsi="Times New Roman"/>
          <w:b/>
          <w:bCs/>
          <w:kern w:val="24"/>
          <w:sz w:val="24"/>
          <w:szCs w:val="72"/>
        </w:rPr>
        <w:t xml:space="preserve">Planning Commission </w:t>
      </w:r>
    </w:p>
    <w:p w:rsidR="009B65F4" w:rsidRDefault="009B65F4" w:rsidP="009B65F4">
      <w:pPr>
        <w:spacing w:after="0" w:line="240" w:lineRule="auto"/>
        <w:jc w:val="center"/>
        <w:rPr>
          <w:rFonts w:ascii="Times New Roman" w:eastAsiaTheme="minorEastAsia" w:hAnsi="Times New Roman"/>
          <w:b/>
          <w:bCs/>
          <w:kern w:val="24"/>
          <w:sz w:val="24"/>
          <w:szCs w:val="72"/>
          <w:u w:val="single"/>
        </w:rPr>
      </w:pPr>
      <w:r w:rsidRPr="00CE536E">
        <w:rPr>
          <w:rFonts w:ascii="Times New Roman" w:eastAsiaTheme="minorEastAsia" w:hAnsi="Times New Roman"/>
          <w:b/>
          <w:bCs/>
          <w:kern w:val="24"/>
          <w:sz w:val="24"/>
          <w:szCs w:val="72"/>
          <w:u w:val="single"/>
        </w:rPr>
        <w:t xml:space="preserve">General Economics Division (GED) </w:t>
      </w:r>
    </w:p>
    <w:p w:rsidR="00965D55" w:rsidRDefault="00965D55" w:rsidP="009B65F4">
      <w:pPr>
        <w:spacing w:after="0" w:line="240" w:lineRule="auto"/>
        <w:jc w:val="center"/>
        <w:rPr>
          <w:rFonts w:ascii="Times New Roman" w:eastAsiaTheme="minorEastAsia" w:hAnsi="Times New Roman"/>
          <w:b/>
          <w:bCs/>
          <w:kern w:val="24"/>
          <w:sz w:val="24"/>
          <w:szCs w:val="72"/>
          <w:u w:val="single"/>
        </w:rPr>
      </w:pPr>
    </w:p>
    <w:p w:rsidR="0097290F" w:rsidRDefault="00482C1E" w:rsidP="009B65F4">
      <w:pPr>
        <w:pStyle w:val="Footer"/>
        <w:jc w:val="center"/>
        <w:rPr>
          <w:rFonts w:ascii="Times New Roman" w:hAnsi="Times New Roman"/>
          <w:b/>
          <w:sz w:val="30"/>
          <w:u w:val="single"/>
        </w:rPr>
      </w:pPr>
      <w:r>
        <w:rPr>
          <w:rFonts w:ascii="Times New Roman" w:hAnsi="Times New Roman"/>
          <w:b/>
          <w:sz w:val="30"/>
          <w:u w:val="single"/>
        </w:rPr>
        <w:t xml:space="preserve">Data Gap Analysis for the Proposed Indicators of </w:t>
      </w:r>
      <w:r w:rsidR="009B65F4" w:rsidRPr="00B90E54">
        <w:rPr>
          <w:rFonts w:ascii="Times New Roman" w:hAnsi="Times New Roman"/>
          <w:b/>
          <w:sz w:val="30"/>
          <w:u w:val="single"/>
        </w:rPr>
        <w:t xml:space="preserve">SDGs </w:t>
      </w:r>
    </w:p>
    <w:p w:rsidR="00B21551" w:rsidRDefault="00B21551" w:rsidP="009B65F4">
      <w:pPr>
        <w:pStyle w:val="Footer"/>
        <w:jc w:val="center"/>
        <w:rPr>
          <w:rFonts w:ascii="Times New Roman" w:hAnsi="Times New Roman"/>
          <w:b/>
          <w:sz w:val="30"/>
          <w:u w:val="single"/>
        </w:rPr>
      </w:pPr>
    </w:p>
    <w:tbl>
      <w:tblPr>
        <w:tblStyle w:val="TableGrid"/>
        <w:tblW w:w="14873" w:type="dxa"/>
        <w:tblInd w:w="-275" w:type="dxa"/>
        <w:tblLayout w:type="fixed"/>
        <w:tblLook w:val="04A0" w:firstRow="1" w:lastRow="0" w:firstColumn="1" w:lastColumn="0" w:noHBand="0" w:noVBand="1"/>
      </w:tblPr>
      <w:tblGrid>
        <w:gridCol w:w="2633"/>
        <w:gridCol w:w="1260"/>
        <w:gridCol w:w="1615"/>
        <w:gridCol w:w="2795"/>
        <w:gridCol w:w="1800"/>
        <w:gridCol w:w="2430"/>
        <w:gridCol w:w="2340"/>
      </w:tblGrid>
      <w:tr w:rsidR="00F474E8" w:rsidRPr="00272035" w:rsidTr="00F474E8">
        <w:trPr>
          <w:trHeight w:val="562"/>
          <w:tblHeader/>
        </w:trPr>
        <w:tc>
          <w:tcPr>
            <w:tcW w:w="2633" w:type="dxa"/>
            <w:vAlign w:val="center"/>
          </w:tcPr>
          <w:p w:rsidR="000E7197" w:rsidRPr="00272035" w:rsidRDefault="000E7197" w:rsidP="00D302D0">
            <w:pPr>
              <w:spacing w:after="0" w:line="240" w:lineRule="auto"/>
              <w:jc w:val="center"/>
              <w:rPr>
                <w:rFonts w:ascii="Times New Roman" w:hAnsi="Times New Roman"/>
                <w:b/>
                <w:sz w:val="20"/>
                <w:szCs w:val="20"/>
                <w:u w:val="single"/>
                <w:lang w:val="en-GB"/>
              </w:rPr>
            </w:pPr>
            <w:r w:rsidRPr="00272035">
              <w:rPr>
                <w:rFonts w:ascii="Times New Roman" w:hAnsi="Times New Roman"/>
                <w:b/>
                <w:sz w:val="20"/>
                <w:szCs w:val="20"/>
                <w:lang w:val="en-GB"/>
              </w:rPr>
              <w:t>Sustainable Development  Goals followed by Targets</w:t>
            </w:r>
          </w:p>
        </w:tc>
        <w:tc>
          <w:tcPr>
            <w:tcW w:w="1260" w:type="dxa"/>
            <w:vAlign w:val="center"/>
          </w:tcPr>
          <w:p w:rsidR="000E7197" w:rsidRPr="00272035" w:rsidRDefault="000E7197" w:rsidP="00D302D0">
            <w:pPr>
              <w:spacing w:after="0" w:line="240" w:lineRule="auto"/>
              <w:jc w:val="center"/>
              <w:rPr>
                <w:rFonts w:ascii="Times New Roman" w:hAnsi="Times New Roman"/>
                <w:b/>
                <w:sz w:val="20"/>
                <w:szCs w:val="20"/>
                <w:lang w:val="en-GB"/>
              </w:rPr>
            </w:pPr>
            <w:r w:rsidRPr="00272035">
              <w:rPr>
                <w:rFonts w:ascii="Times New Roman" w:hAnsi="Times New Roman"/>
                <w:b/>
                <w:sz w:val="20"/>
                <w:szCs w:val="20"/>
                <w:lang w:val="en-GB"/>
              </w:rPr>
              <w:t>Lead Ministries/</w:t>
            </w:r>
          </w:p>
          <w:p w:rsidR="000E7197" w:rsidRPr="00272035" w:rsidRDefault="000E7197" w:rsidP="00D302D0">
            <w:pPr>
              <w:spacing w:after="0" w:line="240" w:lineRule="auto"/>
              <w:jc w:val="center"/>
              <w:rPr>
                <w:rFonts w:ascii="Times New Roman" w:hAnsi="Times New Roman"/>
                <w:b/>
                <w:sz w:val="20"/>
                <w:szCs w:val="20"/>
                <w:lang w:val="en-GB"/>
              </w:rPr>
            </w:pPr>
            <w:r w:rsidRPr="00272035">
              <w:rPr>
                <w:rFonts w:ascii="Times New Roman" w:hAnsi="Times New Roman"/>
                <w:b/>
                <w:sz w:val="20"/>
                <w:szCs w:val="20"/>
                <w:lang w:val="en-GB"/>
              </w:rPr>
              <w:t>Divisions</w:t>
            </w:r>
          </w:p>
        </w:tc>
        <w:tc>
          <w:tcPr>
            <w:tcW w:w="1615" w:type="dxa"/>
            <w:vAlign w:val="center"/>
          </w:tcPr>
          <w:p w:rsidR="000E7197" w:rsidRPr="00272035" w:rsidRDefault="000E7197" w:rsidP="00D302D0">
            <w:pPr>
              <w:spacing w:after="0" w:line="240" w:lineRule="auto"/>
              <w:jc w:val="center"/>
              <w:rPr>
                <w:rFonts w:ascii="Times New Roman" w:hAnsi="Times New Roman"/>
                <w:b/>
                <w:sz w:val="20"/>
                <w:szCs w:val="20"/>
                <w:lang w:val="en-GB"/>
              </w:rPr>
            </w:pPr>
            <w:r w:rsidRPr="00272035">
              <w:rPr>
                <w:rFonts w:ascii="Times New Roman" w:hAnsi="Times New Roman"/>
                <w:b/>
                <w:sz w:val="20"/>
                <w:szCs w:val="20"/>
                <w:lang w:val="en-GB"/>
              </w:rPr>
              <w:t>Associate Ministries/ Divisions</w:t>
            </w:r>
          </w:p>
        </w:tc>
        <w:tc>
          <w:tcPr>
            <w:tcW w:w="2795" w:type="dxa"/>
            <w:vAlign w:val="center"/>
          </w:tcPr>
          <w:p w:rsidR="000E7197" w:rsidRPr="00272035" w:rsidRDefault="000E7197" w:rsidP="00D302D0">
            <w:pPr>
              <w:spacing w:after="0" w:line="240" w:lineRule="auto"/>
              <w:jc w:val="center"/>
              <w:rPr>
                <w:rFonts w:ascii="Times New Roman" w:hAnsi="Times New Roman"/>
                <w:b/>
                <w:sz w:val="20"/>
                <w:szCs w:val="20"/>
                <w:u w:val="single"/>
                <w:lang w:val="en-GB"/>
              </w:rPr>
            </w:pPr>
            <w:r w:rsidRPr="00272035">
              <w:rPr>
                <w:rFonts w:ascii="Times New Roman" w:hAnsi="Times New Roman"/>
                <w:b/>
                <w:sz w:val="20"/>
                <w:szCs w:val="20"/>
                <w:lang w:val="en-GB"/>
              </w:rPr>
              <w:t>Proposed Global Indicators</w:t>
            </w:r>
            <w:r w:rsidRPr="00272035">
              <w:rPr>
                <w:rStyle w:val="EndnoteReference"/>
                <w:rFonts w:ascii="Times New Roman" w:hAnsi="Times New Roman"/>
                <w:b/>
                <w:sz w:val="20"/>
                <w:szCs w:val="20"/>
                <w:lang w:val="en-GB"/>
              </w:rPr>
              <w:endnoteReference w:id="1"/>
            </w:r>
            <w:r w:rsidRPr="00272035">
              <w:rPr>
                <w:rFonts w:ascii="Times New Roman" w:hAnsi="Times New Roman"/>
                <w:b/>
                <w:sz w:val="20"/>
                <w:szCs w:val="20"/>
                <w:lang w:val="en-GB"/>
              </w:rPr>
              <w:t xml:space="preserve"> for Performance Measurement</w:t>
            </w:r>
          </w:p>
        </w:tc>
        <w:tc>
          <w:tcPr>
            <w:tcW w:w="1800" w:type="dxa"/>
          </w:tcPr>
          <w:p w:rsidR="000E7197" w:rsidRPr="00272035" w:rsidRDefault="000E7197" w:rsidP="00D302D0">
            <w:pPr>
              <w:spacing w:after="0" w:line="240" w:lineRule="auto"/>
              <w:jc w:val="center"/>
              <w:rPr>
                <w:rFonts w:ascii="Times New Roman" w:hAnsi="Times New Roman"/>
                <w:b/>
                <w:sz w:val="20"/>
                <w:szCs w:val="20"/>
                <w:lang w:val="en-GB"/>
              </w:rPr>
            </w:pPr>
            <w:r w:rsidRPr="00272035">
              <w:rPr>
                <w:rFonts w:ascii="Times New Roman" w:hAnsi="Times New Roman"/>
                <w:b/>
                <w:sz w:val="20"/>
                <w:szCs w:val="20"/>
                <w:lang w:val="en-GB"/>
              </w:rPr>
              <w:t>Status of Data Availability</w:t>
            </w:r>
          </w:p>
        </w:tc>
        <w:tc>
          <w:tcPr>
            <w:tcW w:w="2430" w:type="dxa"/>
          </w:tcPr>
          <w:p w:rsidR="000E7197" w:rsidRPr="00272035" w:rsidRDefault="000E7197" w:rsidP="00D302D0">
            <w:pPr>
              <w:spacing w:after="0" w:line="240" w:lineRule="auto"/>
              <w:jc w:val="center"/>
              <w:rPr>
                <w:rFonts w:ascii="Times New Roman" w:hAnsi="Times New Roman"/>
                <w:b/>
                <w:sz w:val="20"/>
                <w:szCs w:val="20"/>
                <w:lang w:val="en-GB"/>
              </w:rPr>
            </w:pPr>
            <w:r w:rsidRPr="00272035">
              <w:rPr>
                <w:rFonts w:ascii="Times New Roman" w:hAnsi="Times New Roman"/>
                <w:b/>
                <w:sz w:val="20"/>
                <w:szCs w:val="20"/>
                <w:lang w:val="en-GB"/>
              </w:rPr>
              <w:t>Relevant Ministry/Division/Agency to Generate/Provide Data</w:t>
            </w:r>
          </w:p>
        </w:tc>
        <w:tc>
          <w:tcPr>
            <w:tcW w:w="2340" w:type="dxa"/>
            <w:vAlign w:val="center"/>
          </w:tcPr>
          <w:p w:rsidR="000E7197" w:rsidRPr="00272035" w:rsidRDefault="000E7197" w:rsidP="00D302D0">
            <w:pPr>
              <w:spacing w:after="0" w:line="240" w:lineRule="auto"/>
              <w:jc w:val="center"/>
              <w:rPr>
                <w:rFonts w:ascii="Times New Roman" w:hAnsi="Times New Roman"/>
                <w:b/>
                <w:sz w:val="20"/>
                <w:szCs w:val="20"/>
                <w:lang w:val="en-GB"/>
              </w:rPr>
            </w:pPr>
            <w:r w:rsidRPr="00272035">
              <w:rPr>
                <w:rFonts w:ascii="Times New Roman" w:hAnsi="Times New Roman"/>
                <w:b/>
                <w:sz w:val="20"/>
                <w:szCs w:val="20"/>
                <w:lang w:val="en-GB"/>
              </w:rPr>
              <w:t>Remarks</w:t>
            </w:r>
          </w:p>
        </w:tc>
      </w:tr>
      <w:tr w:rsidR="00F474E8" w:rsidRPr="00272035" w:rsidTr="00F474E8">
        <w:trPr>
          <w:trHeight w:val="127"/>
          <w:tblHeader/>
        </w:trPr>
        <w:tc>
          <w:tcPr>
            <w:tcW w:w="2633" w:type="dxa"/>
          </w:tcPr>
          <w:p w:rsidR="00BE52A5" w:rsidRPr="00272035" w:rsidRDefault="00BE52A5" w:rsidP="00D302D0">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1</w:t>
            </w:r>
          </w:p>
        </w:tc>
        <w:tc>
          <w:tcPr>
            <w:tcW w:w="1260" w:type="dxa"/>
          </w:tcPr>
          <w:p w:rsidR="00BE52A5" w:rsidRPr="00272035" w:rsidRDefault="00BE52A5" w:rsidP="00D302D0">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2</w:t>
            </w:r>
          </w:p>
        </w:tc>
        <w:tc>
          <w:tcPr>
            <w:tcW w:w="1615" w:type="dxa"/>
          </w:tcPr>
          <w:p w:rsidR="00BE52A5" w:rsidRPr="00272035" w:rsidRDefault="00BE52A5" w:rsidP="00D302D0">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3</w:t>
            </w:r>
          </w:p>
        </w:tc>
        <w:tc>
          <w:tcPr>
            <w:tcW w:w="2795" w:type="dxa"/>
          </w:tcPr>
          <w:p w:rsidR="00BE52A5" w:rsidRPr="00272035" w:rsidRDefault="00BE52A5" w:rsidP="00D302D0">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4</w:t>
            </w:r>
          </w:p>
        </w:tc>
        <w:tc>
          <w:tcPr>
            <w:tcW w:w="1800" w:type="dxa"/>
          </w:tcPr>
          <w:p w:rsidR="00BE52A5" w:rsidRPr="00272035" w:rsidRDefault="00BE52A5" w:rsidP="004F56FA">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5</w:t>
            </w:r>
          </w:p>
        </w:tc>
        <w:tc>
          <w:tcPr>
            <w:tcW w:w="2430" w:type="dxa"/>
          </w:tcPr>
          <w:p w:rsidR="00BE52A5" w:rsidRPr="00272035" w:rsidRDefault="00BE52A5" w:rsidP="004F56FA">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6</w:t>
            </w:r>
          </w:p>
        </w:tc>
        <w:tc>
          <w:tcPr>
            <w:tcW w:w="2340" w:type="dxa"/>
          </w:tcPr>
          <w:p w:rsidR="00BE52A5" w:rsidRPr="00272035" w:rsidRDefault="00BE52A5" w:rsidP="00D302D0">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7</w:t>
            </w:r>
          </w:p>
        </w:tc>
      </w:tr>
      <w:tr w:rsidR="003507D8" w:rsidRPr="00272035" w:rsidTr="003507D8">
        <w:trPr>
          <w:trHeight w:val="476"/>
        </w:trPr>
        <w:tc>
          <w:tcPr>
            <w:tcW w:w="14873" w:type="dxa"/>
            <w:gridSpan w:val="7"/>
          </w:tcPr>
          <w:p w:rsidR="003507D8" w:rsidRPr="0028742E" w:rsidRDefault="003507D8" w:rsidP="00D3064A">
            <w:pPr>
              <w:spacing w:after="0" w:line="264" w:lineRule="auto"/>
              <w:rPr>
                <w:rFonts w:ascii="Times New Roman" w:hAnsi="Times New Roman"/>
                <w:sz w:val="26"/>
                <w:szCs w:val="20"/>
                <w:lang w:val="en-GB"/>
              </w:rPr>
            </w:pPr>
            <w:r w:rsidRPr="0028742E">
              <w:rPr>
                <w:rFonts w:ascii="Times New Roman" w:hAnsi="Times New Roman"/>
                <w:b/>
                <w:sz w:val="26"/>
                <w:szCs w:val="20"/>
                <w:lang w:val="en-GB"/>
              </w:rPr>
              <w:t>Goal 1. End poverty in all its forms everywhere</w:t>
            </w:r>
          </w:p>
        </w:tc>
      </w:tr>
      <w:tr w:rsidR="003507D8" w:rsidRPr="00272035" w:rsidTr="00F474E8">
        <w:trPr>
          <w:trHeight w:val="2276"/>
        </w:trPr>
        <w:tc>
          <w:tcPr>
            <w:tcW w:w="2633" w:type="dxa"/>
          </w:tcPr>
          <w:p w:rsidR="003507D8" w:rsidRPr="00272035" w:rsidRDefault="003507D8" w:rsidP="00F940BF">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Target 1.1 By 2030, eradicate extreme poverty for all people everywhere, currently measured as people living on less than $1.25 a day </w:t>
            </w:r>
          </w:p>
        </w:tc>
        <w:tc>
          <w:tcPr>
            <w:tcW w:w="1260" w:type="dxa"/>
          </w:tcPr>
          <w:p w:rsidR="003507D8" w:rsidRPr="00272035" w:rsidRDefault="003507D8" w:rsidP="00552FDA">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CD (leading the NSSS); </w:t>
            </w:r>
          </w:p>
          <w:p w:rsidR="003507D8" w:rsidRPr="00272035" w:rsidRDefault="003507D8" w:rsidP="00552FDA">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GED (as NPFP)</w:t>
            </w:r>
          </w:p>
        </w:tc>
        <w:tc>
          <w:tcPr>
            <w:tcW w:w="1615" w:type="dxa"/>
          </w:tcPr>
          <w:p w:rsidR="003507D8" w:rsidRPr="00272035" w:rsidRDefault="003507D8" w:rsidP="00F940BF">
            <w:pPr>
              <w:pStyle w:val="NoSpacing"/>
              <w:spacing w:line="264" w:lineRule="auto"/>
              <w:rPr>
                <w:rFonts w:ascii="Times New Roman" w:hAnsi="Times New Roman" w:cs="Times New Roman"/>
                <w:sz w:val="20"/>
                <w:szCs w:val="20"/>
                <w:lang w:val="en-GB"/>
              </w:rPr>
            </w:pPr>
            <w:bookmarkStart w:id="1" w:name="OLE_LINK1"/>
            <w:r w:rsidRPr="00272035">
              <w:rPr>
                <w:rFonts w:ascii="Times New Roman" w:hAnsi="Times New Roman" w:cs="Times New Roman"/>
                <w:sz w:val="20"/>
                <w:szCs w:val="20"/>
                <w:lang w:val="en-GB"/>
              </w:rPr>
              <w:t xml:space="preserve">ERD; FD; LGD;  </w:t>
            </w:r>
          </w:p>
          <w:p w:rsidR="003507D8" w:rsidRPr="00272035" w:rsidRDefault="003507D8" w:rsidP="00F940BF">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MoA; MoDMR; MoEWOE; MoFL; MoF; </w:t>
            </w:r>
          </w:p>
          <w:p w:rsidR="003507D8" w:rsidRPr="00272035" w:rsidRDefault="003507D8" w:rsidP="00F940BF">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MoInd; MoLE; MoSW; MoYS; PMO; RDCD; </w:t>
            </w:r>
          </w:p>
          <w:p w:rsidR="003507D8" w:rsidRPr="00272035" w:rsidRDefault="003507D8" w:rsidP="00F940BF">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SID; </w:t>
            </w:r>
            <w:bookmarkEnd w:id="1"/>
            <w:r w:rsidRPr="00272035">
              <w:rPr>
                <w:rFonts w:ascii="Times New Roman" w:hAnsi="Times New Roman"/>
                <w:sz w:val="20"/>
                <w:szCs w:val="20"/>
                <w:lang w:val="en-GB"/>
              </w:rPr>
              <w:t>MoWCA, MoCHTA</w:t>
            </w:r>
          </w:p>
        </w:tc>
        <w:tc>
          <w:tcPr>
            <w:tcW w:w="2795" w:type="dxa"/>
          </w:tcPr>
          <w:p w:rsidR="003507D8" w:rsidRPr="00272035" w:rsidRDefault="003507D8" w:rsidP="00F320EA">
            <w:pPr>
              <w:pStyle w:val="Default"/>
              <w:rPr>
                <w:color w:val="auto"/>
                <w:sz w:val="20"/>
                <w:szCs w:val="20"/>
              </w:rPr>
            </w:pPr>
            <w:r w:rsidRPr="00272035">
              <w:rPr>
                <w:color w:val="auto"/>
                <w:sz w:val="20"/>
                <w:szCs w:val="20"/>
              </w:rPr>
              <w:t xml:space="preserve">1.1.1 Proportion of population below the international poverty line, by sex, age, employment status and geographical location (urban/rural) </w:t>
            </w:r>
          </w:p>
          <w:p w:rsidR="003507D8" w:rsidRPr="00272035" w:rsidRDefault="003507D8" w:rsidP="007F0F0D">
            <w:pPr>
              <w:pStyle w:val="Default"/>
              <w:spacing w:line="264" w:lineRule="auto"/>
              <w:rPr>
                <w:color w:val="auto"/>
                <w:sz w:val="20"/>
                <w:szCs w:val="20"/>
              </w:rPr>
            </w:pPr>
          </w:p>
        </w:tc>
        <w:tc>
          <w:tcPr>
            <w:tcW w:w="1800" w:type="dxa"/>
          </w:tcPr>
          <w:p w:rsidR="003507D8" w:rsidRPr="00272035" w:rsidRDefault="003507D8" w:rsidP="004F56FA">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 (HIES), SID </w:t>
            </w:r>
          </w:p>
        </w:tc>
        <w:tc>
          <w:tcPr>
            <w:tcW w:w="2340" w:type="dxa"/>
          </w:tcPr>
          <w:p w:rsidR="003507D8" w:rsidRPr="00272035" w:rsidRDefault="003507D8" w:rsidP="00C26140">
            <w:pPr>
              <w:pStyle w:val="ListParagraph"/>
              <w:numPr>
                <w:ilvl w:val="0"/>
                <w:numId w:val="2"/>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Age, employment status segregation is not available now</w:t>
            </w:r>
          </w:p>
          <w:p w:rsidR="003507D8" w:rsidRPr="00272035" w:rsidRDefault="003507D8" w:rsidP="00C26140">
            <w:pPr>
              <w:pStyle w:val="ListParagraph"/>
              <w:numPr>
                <w:ilvl w:val="0"/>
                <w:numId w:val="2"/>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Welfare monitoring survey 2017-18</w:t>
            </w:r>
          </w:p>
          <w:p w:rsidR="003507D8" w:rsidRPr="00272035" w:rsidRDefault="003507D8" w:rsidP="00C26140">
            <w:pPr>
              <w:pStyle w:val="ListParagraph"/>
              <w:numPr>
                <w:ilvl w:val="0"/>
                <w:numId w:val="2"/>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Next HIES in 2019 with modification,</w:t>
            </w:r>
          </w:p>
          <w:p w:rsidR="003507D8" w:rsidRPr="00272035" w:rsidRDefault="003507D8" w:rsidP="00D302D0">
            <w:pPr>
              <w:spacing w:after="0" w:line="264" w:lineRule="auto"/>
              <w:ind w:left="252" w:hanging="180"/>
              <w:rPr>
                <w:rFonts w:ascii="Times New Roman" w:hAnsi="Times New Roman"/>
                <w:sz w:val="20"/>
                <w:szCs w:val="20"/>
                <w:lang w:val="en-GB"/>
              </w:rPr>
            </w:pPr>
          </w:p>
        </w:tc>
      </w:tr>
      <w:tr w:rsidR="003507D8" w:rsidRPr="00272035" w:rsidTr="00F474E8">
        <w:trPr>
          <w:trHeight w:val="1372"/>
        </w:trPr>
        <w:tc>
          <w:tcPr>
            <w:tcW w:w="2633" w:type="dxa"/>
          </w:tcPr>
          <w:p w:rsidR="003507D8" w:rsidRPr="00272035" w:rsidRDefault="003507D8" w:rsidP="00F940BF">
            <w:pPr>
              <w:pStyle w:val="Default"/>
              <w:spacing w:line="264" w:lineRule="auto"/>
              <w:rPr>
                <w:color w:val="auto"/>
                <w:sz w:val="20"/>
                <w:szCs w:val="20"/>
              </w:rPr>
            </w:pPr>
            <w:r w:rsidRPr="00272035">
              <w:rPr>
                <w:color w:val="auto"/>
                <w:sz w:val="20"/>
                <w:szCs w:val="20"/>
              </w:rPr>
              <w:t xml:space="preserve">1.2 By 2030, reduce at least by half the proportion of men, women and children of all ages living in poverty in all its dimensions according to national definitions </w:t>
            </w:r>
          </w:p>
        </w:tc>
        <w:tc>
          <w:tcPr>
            <w:tcW w:w="1260" w:type="dxa"/>
          </w:tcPr>
          <w:p w:rsidR="003507D8" w:rsidRPr="00272035" w:rsidRDefault="003507D8" w:rsidP="00552FDA">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CD; GED</w:t>
            </w:r>
          </w:p>
        </w:tc>
        <w:tc>
          <w:tcPr>
            <w:tcW w:w="1615" w:type="dxa"/>
          </w:tcPr>
          <w:p w:rsidR="003507D8" w:rsidRPr="00272035" w:rsidRDefault="003507D8" w:rsidP="00F940BF">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ERD; FD; LGD; MoA; MoCHTA; MoDMR;</w:t>
            </w:r>
          </w:p>
          <w:p w:rsidR="003507D8" w:rsidRPr="00272035" w:rsidRDefault="003507D8" w:rsidP="00272035">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MoEWOE; MoFL;MoF; MoHFW; MoInd; MoLE;MoSW; MoWCA; MoYS; PMO; RDCD; SID</w:t>
            </w:r>
          </w:p>
        </w:tc>
        <w:tc>
          <w:tcPr>
            <w:tcW w:w="2795" w:type="dxa"/>
          </w:tcPr>
          <w:p w:rsidR="003507D8" w:rsidRPr="00272035" w:rsidRDefault="003507D8" w:rsidP="00F320EA">
            <w:pPr>
              <w:pStyle w:val="Default"/>
              <w:rPr>
                <w:color w:val="auto"/>
                <w:sz w:val="20"/>
                <w:szCs w:val="20"/>
              </w:rPr>
            </w:pPr>
            <w:r w:rsidRPr="00272035">
              <w:rPr>
                <w:color w:val="auto"/>
                <w:sz w:val="20"/>
                <w:szCs w:val="20"/>
              </w:rPr>
              <w:t xml:space="preserve">1.2.1 Proportion of population living below the national poverty line, by sex and age </w:t>
            </w:r>
          </w:p>
          <w:p w:rsidR="003507D8" w:rsidRPr="00272035" w:rsidRDefault="003507D8" w:rsidP="007F0F0D">
            <w:pPr>
              <w:pStyle w:val="Default"/>
              <w:spacing w:line="264" w:lineRule="auto"/>
              <w:rPr>
                <w:color w:val="auto"/>
                <w:sz w:val="20"/>
                <w:szCs w:val="20"/>
              </w:rPr>
            </w:pPr>
          </w:p>
        </w:tc>
        <w:tc>
          <w:tcPr>
            <w:tcW w:w="1800" w:type="dxa"/>
          </w:tcPr>
          <w:p w:rsidR="003507D8" w:rsidRPr="00272035" w:rsidRDefault="003507D8" w:rsidP="000E7197">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BBS(HIES), SID </w:t>
            </w:r>
          </w:p>
        </w:tc>
        <w:tc>
          <w:tcPr>
            <w:tcW w:w="2340" w:type="dxa"/>
          </w:tcPr>
          <w:p w:rsidR="003507D8" w:rsidRPr="00272035" w:rsidRDefault="003507D8" w:rsidP="00D302D0">
            <w:pPr>
              <w:spacing w:after="0" w:line="264" w:lineRule="auto"/>
              <w:rPr>
                <w:rFonts w:ascii="Times New Roman" w:hAnsi="Times New Roman"/>
                <w:sz w:val="20"/>
                <w:szCs w:val="20"/>
                <w:lang w:val="en-GB"/>
              </w:rPr>
            </w:pPr>
          </w:p>
        </w:tc>
      </w:tr>
      <w:tr w:rsidR="003507D8" w:rsidRPr="00272035" w:rsidTr="00F474E8">
        <w:trPr>
          <w:trHeight w:val="71"/>
        </w:trPr>
        <w:tc>
          <w:tcPr>
            <w:tcW w:w="2633" w:type="dxa"/>
          </w:tcPr>
          <w:p w:rsidR="003507D8" w:rsidRPr="00272035" w:rsidRDefault="003507D8" w:rsidP="00F940BF">
            <w:pPr>
              <w:spacing w:after="0" w:line="264" w:lineRule="auto"/>
              <w:rPr>
                <w:rFonts w:ascii="Times New Roman" w:hAnsi="Times New Roman"/>
                <w:sz w:val="20"/>
                <w:szCs w:val="20"/>
                <w:lang w:val="en-GB"/>
              </w:rPr>
            </w:pPr>
          </w:p>
        </w:tc>
        <w:tc>
          <w:tcPr>
            <w:tcW w:w="1260" w:type="dxa"/>
          </w:tcPr>
          <w:p w:rsidR="003507D8" w:rsidRPr="00272035" w:rsidRDefault="003507D8" w:rsidP="006D3289">
            <w:pPr>
              <w:spacing w:after="0" w:line="264" w:lineRule="auto"/>
              <w:rPr>
                <w:rFonts w:ascii="Times New Roman" w:hAnsi="Times New Roman"/>
                <w:sz w:val="20"/>
                <w:szCs w:val="20"/>
                <w:lang w:val="en-GB"/>
              </w:rPr>
            </w:pPr>
            <w:r w:rsidRPr="00272035">
              <w:rPr>
                <w:rFonts w:ascii="Times New Roman" w:hAnsi="Times New Roman"/>
                <w:sz w:val="20"/>
                <w:szCs w:val="20"/>
                <w:lang w:val="en-GB"/>
              </w:rPr>
              <w:t>CD; GED</w:t>
            </w:r>
          </w:p>
        </w:tc>
        <w:tc>
          <w:tcPr>
            <w:tcW w:w="1615" w:type="dxa"/>
          </w:tcPr>
          <w:p w:rsidR="003507D8" w:rsidRPr="00272035" w:rsidRDefault="003507D8" w:rsidP="00F940BF">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SID; </w:t>
            </w:r>
          </w:p>
        </w:tc>
        <w:tc>
          <w:tcPr>
            <w:tcW w:w="2795" w:type="dxa"/>
          </w:tcPr>
          <w:p w:rsidR="003507D8" w:rsidRPr="00272035" w:rsidRDefault="003507D8" w:rsidP="00F320EA">
            <w:pPr>
              <w:pStyle w:val="Default"/>
              <w:rPr>
                <w:color w:val="auto"/>
                <w:sz w:val="20"/>
                <w:szCs w:val="20"/>
              </w:rPr>
            </w:pPr>
            <w:r w:rsidRPr="00272035">
              <w:rPr>
                <w:color w:val="auto"/>
                <w:sz w:val="20"/>
                <w:szCs w:val="20"/>
              </w:rPr>
              <w:t xml:space="preserve">1.2.2 Proportion of men, </w:t>
            </w:r>
            <w:r w:rsidRPr="00272035">
              <w:rPr>
                <w:color w:val="auto"/>
                <w:sz w:val="20"/>
                <w:szCs w:val="20"/>
              </w:rPr>
              <w:lastRenderedPageBreak/>
              <w:t xml:space="preserve">women and children of all ages living in poverty in all its dimensions according to national definitions </w:t>
            </w:r>
          </w:p>
        </w:tc>
        <w:tc>
          <w:tcPr>
            <w:tcW w:w="1800" w:type="dxa"/>
          </w:tcPr>
          <w:p w:rsidR="003507D8" w:rsidRPr="00272035" w:rsidRDefault="003507D8" w:rsidP="004F56FA">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BBS(HIES), SID </w:t>
            </w:r>
          </w:p>
        </w:tc>
        <w:tc>
          <w:tcPr>
            <w:tcW w:w="2340" w:type="dxa"/>
          </w:tcPr>
          <w:p w:rsidR="003507D8" w:rsidRPr="00272035" w:rsidRDefault="003507D8" w:rsidP="00C26140">
            <w:pPr>
              <w:pStyle w:val="ListParagraph"/>
              <w:numPr>
                <w:ilvl w:val="0"/>
                <w:numId w:val="2"/>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 xml:space="preserve">Welfare monitoring </w:t>
            </w:r>
            <w:r w:rsidRPr="00272035">
              <w:rPr>
                <w:rFonts w:ascii="Times New Roman" w:hAnsi="Times New Roman"/>
                <w:sz w:val="20"/>
                <w:szCs w:val="20"/>
                <w:lang w:val="en-GB"/>
              </w:rPr>
              <w:lastRenderedPageBreak/>
              <w:t>survey 2017-18</w:t>
            </w:r>
          </w:p>
          <w:p w:rsidR="003507D8" w:rsidRPr="00272035" w:rsidRDefault="003507D8" w:rsidP="00C26140">
            <w:pPr>
              <w:pStyle w:val="ListParagraph"/>
              <w:numPr>
                <w:ilvl w:val="0"/>
                <w:numId w:val="2"/>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Next HIES in 2019 with modification,</w:t>
            </w:r>
          </w:p>
          <w:p w:rsidR="003507D8" w:rsidRPr="00272035" w:rsidRDefault="003507D8" w:rsidP="004F56FA">
            <w:pPr>
              <w:spacing w:after="0" w:line="264" w:lineRule="auto"/>
              <w:ind w:left="252" w:hanging="180"/>
              <w:rPr>
                <w:rFonts w:ascii="Times New Roman" w:hAnsi="Times New Roman"/>
                <w:sz w:val="20"/>
                <w:szCs w:val="20"/>
                <w:lang w:val="en-GB"/>
              </w:rPr>
            </w:pPr>
          </w:p>
        </w:tc>
      </w:tr>
      <w:tr w:rsidR="003507D8" w:rsidRPr="00272035" w:rsidTr="00F474E8">
        <w:trPr>
          <w:trHeight w:val="71"/>
        </w:trPr>
        <w:tc>
          <w:tcPr>
            <w:tcW w:w="2633" w:type="dxa"/>
          </w:tcPr>
          <w:p w:rsidR="003507D8" w:rsidRPr="00272035" w:rsidRDefault="003507D8" w:rsidP="00F940BF">
            <w:pPr>
              <w:pStyle w:val="Default"/>
              <w:spacing w:line="264" w:lineRule="auto"/>
              <w:rPr>
                <w:color w:val="auto"/>
                <w:sz w:val="20"/>
                <w:szCs w:val="20"/>
              </w:rPr>
            </w:pPr>
            <w:r w:rsidRPr="00272035">
              <w:rPr>
                <w:color w:val="auto"/>
                <w:sz w:val="20"/>
                <w:szCs w:val="20"/>
              </w:rPr>
              <w:lastRenderedPageBreak/>
              <w:t xml:space="preserve">1.3 Implement nationally appropriate social protection systems and measures for all, </w:t>
            </w:r>
            <w:r w:rsidRPr="00272035">
              <w:rPr>
                <w:color w:val="auto"/>
                <w:sz w:val="20"/>
                <w:szCs w:val="20"/>
                <w:highlight w:val="yellow"/>
              </w:rPr>
              <w:t>including floors</w:t>
            </w:r>
            <w:r w:rsidRPr="00272035">
              <w:rPr>
                <w:color w:val="auto"/>
                <w:sz w:val="20"/>
                <w:szCs w:val="20"/>
              </w:rPr>
              <w:t xml:space="preserve">, and by 2030 achieve substantial coverage of the poor and the vulnerable </w:t>
            </w:r>
          </w:p>
        </w:tc>
        <w:tc>
          <w:tcPr>
            <w:tcW w:w="1260" w:type="dxa"/>
          </w:tcPr>
          <w:p w:rsidR="003507D8" w:rsidRPr="00272035" w:rsidRDefault="003507D8" w:rsidP="00367555">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CD; GED</w:t>
            </w:r>
          </w:p>
        </w:tc>
        <w:tc>
          <w:tcPr>
            <w:tcW w:w="1615" w:type="dxa"/>
          </w:tcPr>
          <w:p w:rsidR="003507D8" w:rsidRPr="00272035" w:rsidRDefault="003507D8" w:rsidP="00F940BF">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BFID; FD; ICTD; LGD; MoA; MoCHTA; MoCA; MoDMR; MoE; MoFL; MoF; MoHFW; MoLE; MoLWA; MoPME; MoSW; MoWCA; MoYS; </w:t>
            </w:r>
          </w:p>
          <w:p w:rsidR="003507D8" w:rsidRPr="00272035" w:rsidRDefault="003507D8" w:rsidP="00F940BF">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RDCD; SID; </w:t>
            </w:r>
          </w:p>
        </w:tc>
        <w:tc>
          <w:tcPr>
            <w:tcW w:w="2795" w:type="dxa"/>
          </w:tcPr>
          <w:p w:rsidR="003507D8" w:rsidRPr="00272035" w:rsidRDefault="003507D8" w:rsidP="00F320EA">
            <w:pPr>
              <w:pStyle w:val="Default"/>
              <w:rPr>
                <w:color w:val="auto"/>
                <w:sz w:val="20"/>
                <w:szCs w:val="20"/>
              </w:rPr>
            </w:pPr>
            <w:r w:rsidRPr="00272035">
              <w:rPr>
                <w:color w:val="auto"/>
                <w:sz w:val="20"/>
                <w:szCs w:val="20"/>
              </w:rPr>
              <w:t xml:space="preserve">1.3.1 Proportion of population covered by social protection floors/systems, by sex, distinguishing children, unemployed persons, older persons, persons with disabilities, pregnant women, newborns, work-injury victims and the poor and the vulnerable </w:t>
            </w:r>
          </w:p>
          <w:p w:rsidR="003507D8" w:rsidRPr="00272035" w:rsidRDefault="003507D8" w:rsidP="007F0F0D">
            <w:pPr>
              <w:pStyle w:val="Default"/>
              <w:spacing w:line="264" w:lineRule="auto"/>
              <w:rPr>
                <w:color w:val="auto"/>
                <w:sz w:val="20"/>
                <w:szCs w:val="20"/>
              </w:rPr>
            </w:pPr>
          </w:p>
        </w:tc>
        <w:tc>
          <w:tcPr>
            <w:tcW w:w="180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(HIES)</w:t>
            </w:r>
          </w:p>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 (National Household Database (NHD))</w:t>
            </w:r>
          </w:p>
          <w:p w:rsidR="003507D8" w:rsidRPr="00272035" w:rsidRDefault="003507D8" w:rsidP="00D302D0">
            <w:pPr>
              <w:spacing w:after="0" w:line="264" w:lineRule="auto"/>
              <w:rPr>
                <w:rFonts w:ascii="Times New Roman" w:hAnsi="Times New Roman"/>
                <w:sz w:val="20"/>
                <w:szCs w:val="20"/>
                <w:lang w:val="en-GB"/>
              </w:rPr>
            </w:pPr>
          </w:p>
        </w:tc>
        <w:tc>
          <w:tcPr>
            <w:tcW w:w="234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Floor selection need to be specified with consultation (MoEWOE, MoLE)</w:t>
            </w:r>
          </w:p>
        </w:tc>
      </w:tr>
      <w:tr w:rsidR="003507D8" w:rsidRPr="00272035" w:rsidTr="00F474E8">
        <w:trPr>
          <w:trHeight w:val="502"/>
        </w:trPr>
        <w:tc>
          <w:tcPr>
            <w:tcW w:w="2633" w:type="dxa"/>
          </w:tcPr>
          <w:p w:rsidR="003507D8" w:rsidRPr="00272035" w:rsidRDefault="003507D8" w:rsidP="00F940BF">
            <w:pPr>
              <w:pStyle w:val="Default"/>
              <w:spacing w:line="264" w:lineRule="auto"/>
              <w:rPr>
                <w:color w:val="auto"/>
                <w:sz w:val="20"/>
                <w:szCs w:val="20"/>
              </w:rPr>
            </w:pPr>
            <w:r w:rsidRPr="00272035">
              <w:rPr>
                <w:color w:val="auto"/>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260" w:type="dxa"/>
          </w:tcPr>
          <w:p w:rsidR="003507D8" w:rsidRPr="00272035" w:rsidRDefault="003507D8" w:rsidP="00367555">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CD</w:t>
            </w:r>
          </w:p>
        </w:tc>
        <w:tc>
          <w:tcPr>
            <w:tcW w:w="1615" w:type="dxa"/>
          </w:tcPr>
          <w:p w:rsidR="003507D8" w:rsidRPr="00272035" w:rsidRDefault="003507D8" w:rsidP="00F940BF">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BFID; FD; ICTD; LJD; LPAD; LGD; MoA; MoEF; MoFL; MoL; MoWR; MoYS; RDCD; MoWCA; MoInd;</w:t>
            </w:r>
          </w:p>
          <w:p w:rsidR="003507D8" w:rsidRPr="00272035" w:rsidRDefault="003507D8" w:rsidP="00F940BF">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MoCHTA</w:t>
            </w:r>
          </w:p>
        </w:tc>
        <w:tc>
          <w:tcPr>
            <w:tcW w:w="2795" w:type="dxa"/>
          </w:tcPr>
          <w:p w:rsidR="003507D8" w:rsidRPr="00272035" w:rsidRDefault="003507D8" w:rsidP="00F320EA">
            <w:pPr>
              <w:pStyle w:val="Default"/>
              <w:rPr>
                <w:color w:val="auto"/>
                <w:sz w:val="20"/>
                <w:szCs w:val="20"/>
              </w:rPr>
            </w:pPr>
            <w:r w:rsidRPr="00272035">
              <w:rPr>
                <w:color w:val="auto"/>
                <w:sz w:val="20"/>
                <w:szCs w:val="20"/>
              </w:rPr>
              <w:t xml:space="preserve">1.4.1 Proportion of population living in households with access to basic services </w:t>
            </w:r>
          </w:p>
          <w:p w:rsidR="003507D8" w:rsidRPr="00272035" w:rsidRDefault="003507D8" w:rsidP="007F0F0D">
            <w:pPr>
              <w:pStyle w:val="Default"/>
              <w:spacing w:line="264" w:lineRule="auto"/>
              <w:rPr>
                <w:color w:val="auto"/>
                <w:sz w:val="20"/>
                <w:szCs w:val="20"/>
              </w:rPr>
            </w:pPr>
          </w:p>
        </w:tc>
        <w:tc>
          <w:tcPr>
            <w:tcW w:w="1800" w:type="dxa"/>
          </w:tcPr>
          <w:p w:rsidR="003507D8" w:rsidRPr="00272035" w:rsidRDefault="003507D8" w:rsidP="000E7197">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(National Household Database (NHD));</w:t>
            </w:r>
          </w:p>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 (HIES)</w:t>
            </w:r>
          </w:p>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c) MRA, BFID</w:t>
            </w:r>
          </w:p>
        </w:tc>
        <w:tc>
          <w:tcPr>
            <w:tcW w:w="234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Effective coverage of basic social services except financial coverage.</w:t>
            </w:r>
          </w:p>
          <w:p w:rsidR="003507D8" w:rsidRPr="00272035" w:rsidRDefault="003507D8" w:rsidP="00D302D0">
            <w:pPr>
              <w:spacing w:after="0" w:line="264" w:lineRule="auto"/>
              <w:rPr>
                <w:rFonts w:ascii="Times New Roman" w:hAnsi="Times New Roman"/>
                <w:sz w:val="20"/>
                <w:szCs w:val="20"/>
                <w:lang w:val="en-GB"/>
              </w:rPr>
            </w:pPr>
          </w:p>
        </w:tc>
      </w:tr>
      <w:tr w:rsidR="003507D8" w:rsidRPr="00272035" w:rsidTr="00F474E8">
        <w:trPr>
          <w:trHeight w:val="71"/>
        </w:trPr>
        <w:tc>
          <w:tcPr>
            <w:tcW w:w="2633" w:type="dxa"/>
          </w:tcPr>
          <w:p w:rsidR="003507D8" w:rsidRPr="00272035" w:rsidRDefault="003507D8" w:rsidP="00F940BF">
            <w:pPr>
              <w:pStyle w:val="Default"/>
              <w:spacing w:line="264" w:lineRule="auto"/>
              <w:rPr>
                <w:color w:val="auto"/>
                <w:sz w:val="20"/>
                <w:szCs w:val="20"/>
              </w:rPr>
            </w:pPr>
          </w:p>
        </w:tc>
        <w:tc>
          <w:tcPr>
            <w:tcW w:w="1260" w:type="dxa"/>
          </w:tcPr>
          <w:p w:rsidR="003507D8" w:rsidRPr="00272035" w:rsidRDefault="003507D8" w:rsidP="00367555">
            <w:pPr>
              <w:pStyle w:val="NormalWeb"/>
              <w:spacing w:before="0" w:beforeAutospacing="0" w:after="0" w:afterAutospacing="0" w:line="264" w:lineRule="auto"/>
              <w:jc w:val="both"/>
              <w:rPr>
                <w:rFonts w:ascii="Times New Roman" w:hAnsi="Times New Roman"/>
                <w:sz w:val="20"/>
                <w:szCs w:val="20"/>
                <w:lang w:val="en-GB"/>
              </w:rPr>
            </w:pPr>
          </w:p>
        </w:tc>
        <w:tc>
          <w:tcPr>
            <w:tcW w:w="1615" w:type="dxa"/>
          </w:tcPr>
          <w:p w:rsidR="003507D8" w:rsidRPr="00272035" w:rsidRDefault="003507D8" w:rsidP="00F940BF">
            <w:pPr>
              <w:pStyle w:val="NormalWeb"/>
              <w:spacing w:before="0" w:beforeAutospacing="0" w:after="0" w:afterAutospacing="0" w:line="264" w:lineRule="auto"/>
              <w:rPr>
                <w:rFonts w:ascii="Times New Roman" w:hAnsi="Times New Roman"/>
                <w:sz w:val="20"/>
                <w:szCs w:val="20"/>
                <w:lang w:val="en-GB"/>
              </w:rPr>
            </w:pPr>
          </w:p>
        </w:tc>
        <w:tc>
          <w:tcPr>
            <w:tcW w:w="2795" w:type="dxa"/>
          </w:tcPr>
          <w:p w:rsidR="003507D8" w:rsidRPr="00272035" w:rsidRDefault="003507D8" w:rsidP="00F320EA">
            <w:pPr>
              <w:pStyle w:val="Default"/>
              <w:rPr>
                <w:color w:val="auto"/>
                <w:sz w:val="20"/>
                <w:szCs w:val="20"/>
              </w:rPr>
            </w:pPr>
            <w:r w:rsidRPr="00272035">
              <w:rPr>
                <w:color w:val="auto"/>
                <w:sz w:val="20"/>
                <w:szCs w:val="20"/>
              </w:rPr>
              <w:t xml:space="preserve">1.4.2 Proportion of total adult population with secure tenure rights to land, with legally recognized documentation and who perceive their rights to land as secure, by sex and by type of tenure </w:t>
            </w:r>
          </w:p>
        </w:tc>
        <w:tc>
          <w:tcPr>
            <w:tcW w:w="180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(Agriculture census)</w:t>
            </w:r>
          </w:p>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b) MoL</w:t>
            </w:r>
          </w:p>
        </w:tc>
        <w:tc>
          <w:tcPr>
            <w:tcW w:w="234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Next Agriculture census 2018 will cover the issue</w:t>
            </w:r>
          </w:p>
        </w:tc>
      </w:tr>
      <w:tr w:rsidR="003507D8" w:rsidRPr="00272035" w:rsidTr="00F474E8">
        <w:trPr>
          <w:trHeight w:val="71"/>
        </w:trPr>
        <w:tc>
          <w:tcPr>
            <w:tcW w:w="2633" w:type="dxa"/>
          </w:tcPr>
          <w:p w:rsidR="003507D8" w:rsidRPr="00272035" w:rsidRDefault="003507D8" w:rsidP="00F940BF">
            <w:pPr>
              <w:pStyle w:val="Default"/>
              <w:spacing w:line="264" w:lineRule="auto"/>
              <w:rPr>
                <w:color w:val="auto"/>
                <w:sz w:val="20"/>
                <w:szCs w:val="20"/>
              </w:rPr>
            </w:pPr>
            <w:r w:rsidRPr="00272035">
              <w:rPr>
                <w:color w:val="auto"/>
                <w:sz w:val="20"/>
                <w:szCs w:val="20"/>
              </w:rPr>
              <w:t>1.5 By 2030, build the resilience of the poor and those in vulnerable situations and reduce their exposure and vulnerability to climate-related extreme events and other economic, social and environmental shocks and disasters</w:t>
            </w:r>
          </w:p>
        </w:tc>
        <w:tc>
          <w:tcPr>
            <w:tcW w:w="1260" w:type="dxa"/>
          </w:tcPr>
          <w:p w:rsidR="003507D8" w:rsidRPr="00272035" w:rsidRDefault="003507D8" w:rsidP="00367555">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MoEF, MoDMR;</w:t>
            </w:r>
          </w:p>
        </w:tc>
        <w:tc>
          <w:tcPr>
            <w:tcW w:w="1615" w:type="dxa"/>
          </w:tcPr>
          <w:p w:rsidR="003507D8" w:rsidRPr="00272035" w:rsidRDefault="003507D8" w:rsidP="00F940BF">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MoHA;  MoInf; PTD; MoE; MoF; MoHFW; MoSW; MoFL,</w:t>
            </w:r>
          </w:p>
          <w:p w:rsidR="003507D8" w:rsidRPr="00272035" w:rsidRDefault="003507D8" w:rsidP="00AE7D3D">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MoWR; MoA; LGD; MoWCA</w:t>
            </w:r>
          </w:p>
        </w:tc>
        <w:tc>
          <w:tcPr>
            <w:tcW w:w="2795" w:type="dxa"/>
          </w:tcPr>
          <w:p w:rsidR="003507D8" w:rsidRPr="00272035" w:rsidRDefault="003507D8" w:rsidP="00B56088">
            <w:pPr>
              <w:pStyle w:val="Default"/>
              <w:rPr>
                <w:color w:val="auto"/>
                <w:sz w:val="20"/>
                <w:szCs w:val="20"/>
              </w:rPr>
            </w:pPr>
            <w:r w:rsidRPr="00272035">
              <w:rPr>
                <w:color w:val="auto"/>
                <w:sz w:val="20"/>
                <w:szCs w:val="20"/>
              </w:rPr>
              <w:t>1.5.1 Number of deaths, missing persons and persons affected by disaster per 100,000 people</w:t>
            </w:r>
          </w:p>
          <w:p w:rsidR="003507D8" w:rsidRPr="00272035" w:rsidRDefault="003507D8" w:rsidP="007F0F0D">
            <w:pPr>
              <w:pStyle w:val="Default"/>
              <w:spacing w:line="264" w:lineRule="auto"/>
              <w:rPr>
                <w:color w:val="auto"/>
                <w:sz w:val="20"/>
                <w:szCs w:val="20"/>
              </w:rPr>
            </w:pPr>
          </w:p>
        </w:tc>
        <w:tc>
          <w:tcPr>
            <w:tcW w:w="1800" w:type="dxa"/>
          </w:tcPr>
          <w:p w:rsidR="003507D8" w:rsidRPr="00272035" w:rsidRDefault="003507D8" w:rsidP="000E7197">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a) DDM, MoDMR</w:t>
            </w:r>
          </w:p>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 (ICCHL)</w:t>
            </w:r>
          </w:p>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c) MIS, DGHS</w:t>
            </w:r>
          </w:p>
        </w:tc>
        <w:tc>
          <w:tcPr>
            <w:tcW w:w="2340" w:type="dxa"/>
          </w:tcPr>
          <w:p w:rsidR="003507D8" w:rsidRPr="00272035" w:rsidRDefault="003507D8"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Proxy indicator may be suggested by DDM</w:t>
            </w:r>
          </w:p>
          <w:p w:rsidR="003507D8" w:rsidRPr="00272035" w:rsidRDefault="003507D8"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13.1.2, 1.5.1 and 11.5.1 are same indicator</w:t>
            </w:r>
          </w:p>
        </w:tc>
      </w:tr>
      <w:tr w:rsidR="003507D8" w:rsidRPr="00272035" w:rsidTr="00F474E8">
        <w:trPr>
          <w:trHeight w:val="71"/>
        </w:trPr>
        <w:tc>
          <w:tcPr>
            <w:tcW w:w="2633" w:type="dxa"/>
          </w:tcPr>
          <w:p w:rsidR="003507D8" w:rsidRPr="00272035" w:rsidRDefault="003507D8" w:rsidP="00F940BF">
            <w:pPr>
              <w:pStyle w:val="Default"/>
              <w:spacing w:line="264" w:lineRule="auto"/>
              <w:rPr>
                <w:color w:val="auto"/>
                <w:sz w:val="20"/>
                <w:szCs w:val="20"/>
              </w:rPr>
            </w:pPr>
          </w:p>
        </w:tc>
        <w:tc>
          <w:tcPr>
            <w:tcW w:w="1260" w:type="dxa"/>
          </w:tcPr>
          <w:p w:rsidR="003507D8" w:rsidRPr="00272035" w:rsidRDefault="003507D8" w:rsidP="00367555">
            <w:pPr>
              <w:pStyle w:val="NormalWeb"/>
              <w:spacing w:before="0" w:beforeAutospacing="0" w:after="0" w:afterAutospacing="0" w:line="264" w:lineRule="auto"/>
              <w:jc w:val="both"/>
              <w:rPr>
                <w:rFonts w:ascii="Times New Roman" w:hAnsi="Times New Roman"/>
                <w:sz w:val="20"/>
                <w:szCs w:val="20"/>
                <w:lang w:val="en-GB"/>
              </w:rPr>
            </w:pPr>
          </w:p>
        </w:tc>
        <w:tc>
          <w:tcPr>
            <w:tcW w:w="1615" w:type="dxa"/>
          </w:tcPr>
          <w:p w:rsidR="003507D8" w:rsidRPr="00272035" w:rsidRDefault="003507D8" w:rsidP="00F940BF">
            <w:pPr>
              <w:pStyle w:val="NormalWeb"/>
              <w:spacing w:before="0" w:beforeAutospacing="0" w:after="0" w:afterAutospacing="0" w:line="264" w:lineRule="auto"/>
              <w:rPr>
                <w:rFonts w:ascii="Times New Roman" w:hAnsi="Times New Roman"/>
                <w:sz w:val="20"/>
                <w:szCs w:val="20"/>
                <w:lang w:val="en-GB"/>
              </w:rPr>
            </w:pPr>
          </w:p>
        </w:tc>
        <w:tc>
          <w:tcPr>
            <w:tcW w:w="2795" w:type="dxa"/>
          </w:tcPr>
          <w:p w:rsidR="003507D8" w:rsidRPr="00272035" w:rsidRDefault="003507D8" w:rsidP="00B56088">
            <w:pPr>
              <w:pStyle w:val="Default"/>
              <w:rPr>
                <w:color w:val="auto"/>
                <w:sz w:val="20"/>
                <w:szCs w:val="20"/>
              </w:rPr>
            </w:pPr>
            <w:r w:rsidRPr="00272035">
              <w:rPr>
                <w:color w:val="auto"/>
                <w:sz w:val="20"/>
                <w:szCs w:val="20"/>
              </w:rPr>
              <w:t>1.5.2 Direct disaster economic loss in relation to global gross domestic product (GDP)</w:t>
            </w:r>
          </w:p>
        </w:tc>
        <w:tc>
          <w:tcPr>
            <w:tcW w:w="1800" w:type="dxa"/>
          </w:tcPr>
          <w:p w:rsidR="003507D8" w:rsidRPr="00272035" w:rsidRDefault="003507D8" w:rsidP="004F56FA">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SID</w:t>
            </w:r>
          </w:p>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b) DDM, MoDMR</w:t>
            </w:r>
          </w:p>
        </w:tc>
        <w:tc>
          <w:tcPr>
            <w:tcW w:w="2340" w:type="dxa"/>
          </w:tcPr>
          <w:p w:rsidR="003507D8" w:rsidRPr="00272035" w:rsidRDefault="003507D8"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BBS, SID will have to calculate the indicator on available data</w:t>
            </w:r>
          </w:p>
          <w:p w:rsidR="003507D8" w:rsidRPr="00272035" w:rsidRDefault="003507D8"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 xml:space="preserve">1.5.2 </w:t>
            </w:r>
            <w:r w:rsidRPr="00272035">
              <w:rPr>
                <w:rFonts w:ascii="Times New Roman" w:hAnsi="Times New Roman"/>
                <w:sz w:val="20"/>
                <w:szCs w:val="20"/>
                <w:lang w:val="en-GB"/>
              </w:rPr>
              <w:t xml:space="preserve"> and 11.5.2 </w:t>
            </w:r>
            <w:r w:rsidRPr="00272035">
              <w:rPr>
                <w:rFonts w:ascii="Times New Roman" w:hAnsi="Times New Roman"/>
                <w:sz w:val="20"/>
                <w:szCs w:val="20"/>
                <w:lang w:val="en-GB"/>
              </w:rPr>
              <w:t>are same indicator</w:t>
            </w:r>
          </w:p>
        </w:tc>
      </w:tr>
      <w:tr w:rsidR="003507D8" w:rsidRPr="00272035" w:rsidTr="00F474E8">
        <w:trPr>
          <w:trHeight w:val="71"/>
        </w:trPr>
        <w:tc>
          <w:tcPr>
            <w:tcW w:w="2633" w:type="dxa"/>
          </w:tcPr>
          <w:p w:rsidR="003507D8" w:rsidRPr="00272035" w:rsidRDefault="003507D8" w:rsidP="00F940BF">
            <w:pPr>
              <w:pStyle w:val="Default"/>
              <w:spacing w:line="264" w:lineRule="auto"/>
              <w:rPr>
                <w:color w:val="auto"/>
                <w:sz w:val="20"/>
                <w:szCs w:val="20"/>
              </w:rPr>
            </w:pPr>
          </w:p>
        </w:tc>
        <w:tc>
          <w:tcPr>
            <w:tcW w:w="1260" w:type="dxa"/>
          </w:tcPr>
          <w:p w:rsidR="003507D8" w:rsidRPr="00272035" w:rsidRDefault="003507D8" w:rsidP="00367555">
            <w:pPr>
              <w:pStyle w:val="NormalWeb"/>
              <w:spacing w:before="0" w:beforeAutospacing="0" w:after="0" w:afterAutospacing="0" w:line="264" w:lineRule="auto"/>
              <w:jc w:val="both"/>
              <w:rPr>
                <w:rFonts w:ascii="Times New Roman" w:hAnsi="Times New Roman"/>
                <w:sz w:val="20"/>
                <w:szCs w:val="20"/>
                <w:lang w:val="en-GB"/>
              </w:rPr>
            </w:pPr>
          </w:p>
        </w:tc>
        <w:tc>
          <w:tcPr>
            <w:tcW w:w="1615" w:type="dxa"/>
          </w:tcPr>
          <w:p w:rsidR="003507D8" w:rsidRPr="00272035" w:rsidRDefault="003507D8" w:rsidP="00F940BF">
            <w:pPr>
              <w:pStyle w:val="NoSpacing"/>
              <w:spacing w:line="264" w:lineRule="auto"/>
              <w:rPr>
                <w:rFonts w:ascii="Times New Roman" w:hAnsi="Times New Roman" w:cs="Times New Roman"/>
                <w:sz w:val="20"/>
                <w:szCs w:val="20"/>
                <w:lang w:val="en-GB"/>
              </w:rPr>
            </w:pPr>
          </w:p>
        </w:tc>
        <w:tc>
          <w:tcPr>
            <w:tcW w:w="2795" w:type="dxa"/>
          </w:tcPr>
          <w:p w:rsidR="003507D8" w:rsidRPr="00272035" w:rsidRDefault="003507D8" w:rsidP="00B56088">
            <w:pPr>
              <w:pStyle w:val="Default"/>
              <w:rPr>
                <w:color w:val="auto"/>
                <w:sz w:val="20"/>
                <w:szCs w:val="20"/>
              </w:rPr>
            </w:pPr>
            <w:r w:rsidRPr="00272035">
              <w:rPr>
                <w:color w:val="auto"/>
                <w:sz w:val="20"/>
                <w:szCs w:val="20"/>
              </w:rPr>
              <w:t xml:space="preserve">1.5.3 Number of countries with national and local disaster risk reduction strategies </w:t>
            </w:r>
          </w:p>
        </w:tc>
        <w:tc>
          <w:tcPr>
            <w:tcW w:w="1800" w:type="dxa"/>
          </w:tcPr>
          <w:p w:rsidR="003507D8" w:rsidRPr="00272035" w:rsidRDefault="003507D8" w:rsidP="004F56FA">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MoDMR</w:t>
            </w:r>
          </w:p>
        </w:tc>
        <w:tc>
          <w:tcPr>
            <w:tcW w:w="2340" w:type="dxa"/>
          </w:tcPr>
          <w:p w:rsidR="003507D8" w:rsidRPr="00272035" w:rsidRDefault="003507D8" w:rsidP="00C26140">
            <w:pPr>
              <w:pStyle w:val="ListParagraph"/>
              <w:numPr>
                <w:ilvl w:val="0"/>
                <w:numId w:val="3"/>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Yes/No Indicator for International Comparison</w:t>
            </w:r>
          </w:p>
          <w:p w:rsidR="003507D8" w:rsidRPr="00272035" w:rsidRDefault="003507D8" w:rsidP="00C26140">
            <w:pPr>
              <w:pStyle w:val="ListParagraph"/>
              <w:numPr>
                <w:ilvl w:val="0"/>
                <w:numId w:val="3"/>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Disaster management related data are available but not sure about risk reduction strategies.</w:t>
            </w:r>
          </w:p>
          <w:p w:rsidR="003507D8" w:rsidRPr="00272035" w:rsidRDefault="003507D8" w:rsidP="00C26140">
            <w:pPr>
              <w:pStyle w:val="ListParagraph"/>
              <w:numPr>
                <w:ilvl w:val="0"/>
                <w:numId w:val="3"/>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UN will compare with other countries.</w:t>
            </w:r>
          </w:p>
        </w:tc>
      </w:tr>
      <w:tr w:rsidR="003507D8" w:rsidRPr="00272035" w:rsidTr="00F474E8">
        <w:trPr>
          <w:trHeight w:val="71"/>
        </w:trPr>
        <w:tc>
          <w:tcPr>
            <w:tcW w:w="2633" w:type="dxa"/>
          </w:tcPr>
          <w:p w:rsidR="003507D8" w:rsidRPr="00272035" w:rsidRDefault="003507D8" w:rsidP="00F940BF">
            <w:pPr>
              <w:pStyle w:val="Default"/>
              <w:spacing w:line="264" w:lineRule="auto"/>
              <w:rPr>
                <w:color w:val="auto"/>
                <w:sz w:val="20"/>
                <w:szCs w:val="20"/>
              </w:rPr>
            </w:pPr>
            <w:r w:rsidRPr="00272035">
              <w:rPr>
                <w:color w:val="auto"/>
                <w:sz w:val="20"/>
                <w:szCs w:val="20"/>
              </w:rPr>
              <w:lastRenderedPageBreak/>
              <w:t xml:space="preserve">1.a 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 </w:t>
            </w:r>
          </w:p>
        </w:tc>
        <w:tc>
          <w:tcPr>
            <w:tcW w:w="1260" w:type="dxa"/>
          </w:tcPr>
          <w:p w:rsidR="003507D8" w:rsidRPr="00272035" w:rsidRDefault="003507D8" w:rsidP="00367555">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FD</w:t>
            </w:r>
          </w:p>
        </w:tc>
        <w:tc>
          <w:tcPr>
            <w:tcW w:w="1615" w:type="dxa"/>
          </w:tcPr>
          <w:p w:rsidR="003507D8" w:rsidRPr="00272035" w:rsidRDefault="003507D8" w:rsidP="00B9046B">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ERD; MoFA; PD; IRD; GED; </w:t>
            </w:r>
          </w:p>
        </w:tc>
        <w:tc>
          <w:tcPr>
            <w:tcW w:w="2795" w:type="dxa"/>
          </w:tcPr>
          <w:p w:rsidR="003507D8" w:rsidRPr="00272035" w:rsidRDefault="003507D8" w:rsidP="00B56088">
            <w:pPr>
              <w:pStyle w:val="Default"/>
              <w:rPr>
                <w:color w:val="auto"/>
                <w:sz w:val="20"/>
                <w:szCs w:val="20"/>
              </w:rPr>
            </w:pPr>
            <w:r w:rsidRPr="00272035">
              <w:rPr>
                <w:color w:val="auto"/>
                <w:sz w:val="20"/>
                <w:szCs w:val="20"/>
              </w:rPr>
              <w:t xml:space="preserve">1.a.1 Proportion of resources allocated by the government directly to poverty reduction programmes </w:t>
            </w:r>
          </w:p>
        </w:tc>
        <w:tc>
          <w:tcPr>
            <w:tcW w:w="1800" w:type="dxa"/>
          </w:tcPr>
          <w:p w:rsidR="003507D8" w:rsidRPr="00272035" w:rsidRDefault="003507D8" w:rsidP="004F56FA">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2340" w:type="dxa"/>
          </w:tcPr>
          <w:p w:rsidR="003507D8" w:rsidRPr="00272035" w:rsidRDefault="003507D8" w:rsidP="00D302D0">
            <w:pPr>
              <w:spacing w:after="0" w:line="264" w:lineRule="auto"/>
              <w:rPr>
                <w:rFonts w:ascii="Times New Roman" w:hAnsi="Times New Roman"/>
                <w:sz w:val="20"/>
                <w:szCs w:val="20"/>
                <w:lang w:val="en-GB"/>
              </w:rPr>
            </w:pPr>
          </w:p>
        </w:tc>
      </w:tr>
      <w:tr w:rsidR="003507D8" w:rsidRPr="00272035" w:rsidTr="00F474E8">
        <w:trPr>
          <w:trHeight w:val="71"/>
        </w:trPr>
        <w:tc>
          <w:tcPr>
            <w:tcW w:w="2633" w:type="dxa"/>
          </w:tcPr>
          <w:p w:rsidR="003507D8" w:rsidRPr="00272035" w:rsidRDefault="003507D8" w:rsidP="00F940BF">
            <w:pPr>
              <w:spacing w:after="0" w:line="264" w:lineRule="auto"/>
              <w:rPr>
                <w:rFonts w:ascii="Times New Roman" w:hAnsi="Times New Roman"/>
                <w:sz w:val="20"/>
                <w:szCs w:val="20"/>
                <w:lang w:val="en-GB"/>
              </w:rPr>
            </w:pPr>
          </w:p>
        </w:tc>
        <w:tc>
          <w:tcPr>
            <w:tcW w:w="1260" w:type="dxa"/>
          </w:tcPr>
          <w:p w:rsidR="003507D8" w:rsidRPr="00272035" w:rsidRDefault="003507D8" w:rsidP="00AE4CF6">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1615" w:type="dxa"/>
          </w:tcPr>
          <w:p w:rsidR="003507D8" w:rsidRPr="00272035" w:rsidRDefault="003507D8" w:rsidP="00F940BF">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 MoHFW; CD; GED; </w:t>
            </w:r>
          </w:p>
        </w:tc>
        <w:tc>
          <w:tcPr>
            <w:tcW w:w="2795" w:type="dxa"/>
          </w:tcPr>
          <w:p w:rsidR="003507D8" w:rsidRPr="00272035" w:rsidRDefault="003507D8" w:rsidP="00B56088">
            <w:pPr>
              <w:pStyle w:val="Default"/>
              <w:rPr>
                <w:color w:val="auto"/>
                <w:sz w:val="20"/>
                <w:szCs w:val="20"/>
              </w:rPr>
            </w:pPr>
            <w:r w:rsidRPr="00272035">
              <w:rPr>
                <w:color w:val="auto"/>
                <w:sz w:val="20"/>
                <w:szCs w:val="20"/>
              </w:rPr>
              <w:t xml:space="preserve">1.a.2 Proportion of total government spending on essential services (education, health and social protection) </w:t>
            </w:r>
          </w:p>
        </w:tc>
        <w:tc>
          <w:tcPr>
            <w:tcW w:w="1800" w:type="dxa"/>
          </w:tcPr>
          <w:p w:rsidR="003507D8" w:rsidRPr="00272035" w:rsidRDefault="003507D8" w:rsidP="004F56FA">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2340" w:type="dxa"/>
          </w:tcPr>
          <w:p w:rsidR="003507D8" w:rsidRPr="00272035" w:rsidRDefault="003507D8" w:rsidP="00D302D0">
            <w:pPr>
              <w:spacing w:after="0" w:line="264" w:lineRule="auto"/>
              <w:rPr>
                <w:rFonts w:ascii="Times New Roman" w:hAnsi="Times New Roman"/>
                <w:sz w:val="20"/>
                <w:szCs w:val="20"/>
                <w:lang w:val="en-GB"/>
              </w:rPr>
            </w:pPr>
          </w:p>
        </w:tc>
      </w:tr>
      <w:tr w:rsidR="003507D8" w:rsidRPr="00272035" w:rsidTr="00F474E8">
        <w:trPr>
          <w:trHeight w:val="71"/>
        </w:trPr>
        <w:tc>
          <w:tcPr>
            <w:tcW w:w="2633" w:type="dxa"/>
          </w:tcPr>
          <w:p w:rsidR="003507D8" w:rsidRPr="00272035" w:rsidRDefault="003507D8" w:rsidP="00F940BF">
            <w:pPr>
              <w:pStyle w:val="Default"/>
              <w:spacing w:line="264" w:lineRule="auto"/>
              <w:rPr>
                <w:color w:val="auto"/>
                <w:sz w:val="20"/>
                <w:szCs w:val="20"/>
              </w:rPr>
            </w:pPr>
            <w:r w:rsidRPr="00272035">
              <w:rPr>
                <w:color w:val="auto"/>
                <w:sz w:val="20"/>
                <w:szCs w:val="20"/>
              </w:rPr>
              <w:t xml:space="preserve">1.b Create sound policy frameworks at the national, regional and international levels, based on pro-poor and gender-sensitive development strategies, to support accelerated investment in poverty eradication actions </w:t>
            </w:r>
          </w:p>
        </w:tc>
        <w:tc>
          <w:tcPr>
            <w:tcW w:w="1260" w:type="dxa"/>
          </w:tcPr>
          <w:p w:rsidR="003507D8" w:rsidRPr="00272035" w:rsidRDefault="003507D8" w:rsidP="00367555">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GED</w:t>
            </w:r>
          </w:p>
        </w:tc>
        <w:tc>
          <w:tcPr>
            <w:tcW w:w="1615" w:type="dxa"/>
          </w:tcPr>
          <w:p w:rsidR="003507D8" w:rsidRPr="00272035" w:rsidRDefault="003507D8" w:rsidP="00AE7D3D">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MoEF; BFID (BB); ERD; FD; MoFA</w:t>
            </w:r>
          </w:p>
        </w:tc>
        <w:tc>
          <w:tcPr>
            <w:tcW w:w="2795" w:type="dxa"/>
          </w:tcPr>
          <w:p w:rsidR="003507D8" w:rsidRPr="00272035" w:rsidRDefault="003507D8" w:rsidP="00B56088">
            <w:pPr>
              <w:pStyle w:val="Default"/>
              <w:rPr>
                <w:color w:val="auto"/>
                <w:sz w:val="20"/>
                <w:szCs w:val="20"/>
              </w:rPr>
            </w:pPr>
            <w:r w:rsidRPr="00272035">
              <w:rPr>
                <w:color w:val="auto"/>
                <w:sz w:val="20"/>
                <w:szCs w:val="20"/>
              </w:rPr>
              <w:t xml:space="preserve">1.b.1 Proportion of government recurrent and capital spending to sectors that disproportionately benefit women, the poor and vulnerable groups </w:t>
            </w:r>
          </w:p>
          <w:p w:rsidR="003507D8" w:rsidRPr="00272035" w:rsidRDefault="003507D8" w:rsidP="007F0F0D">
            <w:pPr>
              <w:pStyle w:val="Default"/>
              <w:spacing w:line="264" w:lineRule="auto"/>
              <w:rPr>
                <w:color w:val="auto"/>
                <w:sz w:val="20"/>
                <w:szCs w:val="20"/>
              </w:rPr>
            </w:pPr>
          </w:p>
        </w:tc>
        <w:tc>
          <w:tcPr>
            <w:tcW w:w="1800" w:type="dxa"/>
          </w:tcPr>
          <w:p w:rsidR="003507D8" w:rsidRPr="00272035" w:rsidRDefault="003507D8" w:rsidP="004F56FA">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3507D8" w:rsidRPr="00272035" w:rsidRDefault="003507D8" w:rsidP="00D302D0">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2340" w:type="dxa"/>
          </w:tcPr>
          <w:p w:rsidR="003507D8" w:rsidRPr="00272035" w:rsidRDefault="003507D8" w:rsidP="00D302D0">
            <w:pPr>
              <w:spacing w:after="0" w:line="264" w:lineRule="auto"/>
              <w:rPr>
                <w:rFonts w:ascii="Times New Roman" w:hAnsi="Times New Roman"/>
                <w:sz w:val="20"/>
                <w:szCs w:val="20"/>
                <w:lang w:val="en-GB"/>
              </w:rPr>
            </w:pPr>
          </w:p>
        </w:tc>
      </w:tr>
      <w:tr w:rsidR="002E29BF" w:rsidRPr="00272035" w:rsidTr="00006AA5">
        <w:trPr>
          <w:trHeight w:val="71"/>
        </w:trPr>
        <w:tc>
          <w:tcPr>
            <w:tcW w:w="14873" w:type="dxa"/>
            <w:gridSpan w:val="7"/>
          </w:tcPr>
          <w:p w:rsidR="002E29BF" w:rsidRPr="00927AF3" w:rsidRDefault="002E29BF" w:rsidP="00D3064A">
            <w:pPr>
              <w:spacing w:after="0" w:line="264" w:lineRule="auto"/>
              <w:rPr>
                <w:rFonts w:ascii="Times New Roman" w:hAnsi="Times New Roman"/>
                <w:sz w:val="20"/>
                <w:szCs w:val="20"/>
                <w:lang w:val="en-GB"/>
              </w:rPr>
            </w:pPr>
            <w:r w:rsidRPr="00F6758C">
              <w:rPr>
                <w:rFonts w:ascii="Times New Roman" w:hAnsi="Times New Roman"/>
                <w:b/>
                <w:bCs/>
                <w:sz w:val="26"/>
                <w:szCs w:val="20"/>
                <w:lang w:val="en-GB"/>
              </w:rPr>
              <w:t>Goal 2. End hunger, achieve food security and improved nutrition and promote sustainable agriculture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2.1 By 2030, end hunger and ensure access by all people, in particular the poor and people in vulnerable situations, including infants, </w:t>
            </w:r>
            <w:r w:rsidRPr="00272035">
              <w:rPr>
                <w:color w:val="auto"/>
                <w:sz w:val="20"/>
                <w:szCs w:val="20"/>
              </w:rPr>
              <w:lastRenderedPageBreak/>
              <w:t xml:space="preserve">to safe, nutritious and sufficient food all year round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MoDMR; MoFL; MoF; MoHFW; MoInd; MoWCA; </w:t>
            </w:r>
            <w:r w:rsidRPr="00272035">
              <w:rPr>
                <w:rFonts w:ascii="Times New Roman" w:hAnsi="Times New Roman"/>
                <w:sz w:val="20"/>
                <w:szCs w:val="20"/>
                <w:lang w:val="en-GB"/>
              </w:rPr>
              <w:lastRenderedPageBreak/>
              <w:t xml:space="preserve">MoInf; MoE; MoPME;   </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2.1.1 Prevalence of under-nourishment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(HIES)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 (FSNSP)</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NIPORT (BDHS), MoHFW</w:t>
            </w:r>
          </w:p>
          <w:p w:rsidR="002E29BF" w:rsidRPr="00272035" w:rsidRDefault="002E29BF" w:rsidP="007D178C">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d) DGHS ((NNS), </w:t>
            </w:r>
            <w:r w:rsidRPr="00272035">
              <w:rPr>
                <w:rFonts w:ascii="Times New Roman" w:hAnsi="Times New Roman"/>
                <w:sz w:val="20"/>
                <w:szCs w:val="20"/>
                <w:lang w:val="en-GB"/>
              </w:rPr>
              <w:lastRenderedPageBreak/>
              <w:t xml:space="preserve">MoHFW </w:t>
            </w:r>
          </w:p>
        </w:tc>
        <w:tc>
          <w:tcPr>
            <w:tcW w:w="2340" w:type="dxa"/>
          </w:tcPr>
          <w:p w:rsidR="002E29BF" w:rsidRPr="00272035" w:rsidRDefault="002E29BF" w:rsidP="00C26140">
            <w:pPr>
              <w:pStyle w:val="ListParagraph"/>
              <w:numPr>
                <w:ilvl w:val="0"/>
                <w:numId w:val="7"/>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lastRenderedPageBreak/>
              <w:t>National Nutritional Service (NNS) may have yearly data</w:t>
            </w:r>
          </w:p>
          <w:p w:rsidR="002E29BF" w:rsidRPr="00272035" w:rsidRDefault="002E29BF" w:rsidP="00C26140">
            <w:pPr>
              <w:pStyle w:val="ListParagraph"/>
              <w:numPr>
                <w:ilvl w:val="0"/>
                <w:numId w:val="7"/>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 xml:space="preserve">HIES can calculate the data as suggested </w:t>
            </w:r>
            <w:r w:rsidRPr="00272035">
              <w:rPr>
                <w:rFonts w:ascii="Times New Roman" w:hAnsi="Times New Roman"/>
                <w:sz w:val="20"/>
                <w:szCs w:val="20"/>
                <w:lang w:val="en-GB"/>
              </w:rPr>
              <w:lastRenderedPageBreak/>
              <w:t>by FAO formula in Meta Data</w:t>
            </w:r>
          </w:p>
        </w:tc>
      </w:tr>
      <w:tr w:rsidR="002E29BF" w:rsidRPr="00272035" w:rsidTr="00F474E8">
        <w:trPr>
          <w:trHeight w:val="71"/>
        </w:trPr>
        <w:tc>
          <w:tcPr>
            <w:tcW w:w="2633" w:type="dxa"/>
          </w:tcPr>
          <w:p w:rsidR="002E29BF" w:rsidRPr="00272035" w:rsidRDefault="002E29BF" w:rsidP="00F474E8">
            <w:pPr>
              <w:spacing w:after="0" w:line="264" w:lineRule="auto"/>
              <w:rPr>
                <w:rFonts w:ascii="Times New Roman" w:hAnsi="Times New Roman"/>
                <w:sz w:val="20"/>
                <w:szCs w:val="20"/>
                <w:lang w:val="en-GB"/>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MoA; MoF;</w:t>
            </w: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MoDMR; MoFL; MoF; MoHFW; MoInd; MoWCA; MoInf; MoE; MoPME;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2.1.2 Prevalence of moderate or severe food insecurity in the population, based on the Food Insecurity Experience Scale (FIES)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(FSNSP)</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 MoHFW</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2.2 By 2030, end all forms of malnutrition, including achieving, by 2025, the internationally agreed targets on stunting and wasting in children under 5 years of age, and address the nutritional needs of adolescent girls, pregnant and lactating women and older persons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MoF</w:t>
            </w: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MoA; MoDMR; MoFL;; MoInd; MoSW; MoWCA; MoInf; MoE; MoPME;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2.2.1 Prevalence of stunting (height for age &lt;-2 standard deviation from the median of the World Health Organization (WHO) Child Growth Standards) among children under 5 years of age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(FSNSP)</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 MoHFW</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BBS (MICS)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 BBS (CMNS)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spacing w:after="0" w:line="264" w:lineRule="auto"/>
              <w:rPr>
                <w:rFonts w:ascii="Times New Roman" w:hAnsi="Times New Roman"/>
                <w:sz w:val="20"/>
                <w:szCs w:val="20"/>
                <w:lang w:val="en-GB"/>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MoA; MoDMR; MoFL; MoHFW; MoInd; MoSW; MoWCA; MoInf; MoE; MoPME;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2.2.2 Prevalence of malnutrition (weight for height &gt;+2 or &lt;-2 standard deviation from the median of the WHO Child Growth Standards) among children under 5 years of age, by type (wasting and overweight)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(FSNSP)</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 MoHFW</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BBS (MICS)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 BBS (CMNS)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2.3 By 2030, double the agricultural productivity and incomes of small-scale food producers, in particular women, indigenous peoples, </w:t>
            </w:r>
            <w:r w:rsidRPr="00272035">
              <w:rPr>
                <w:color w:val="auto"/>
                <w:sz w:val="20"/>
                <w:szCs w:val="20"/>
              </w:rPr>
              <w:lastRenderedPageBreak/>
              <w:t xml:space="preserve">family farmers, pastoralists and fishers, including through secure and equal access to land, other productive resources and inputs, knowledge, financial services, markets and opportunities for value addition and non-farm employment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BFID; LGD; MoCHTA; MoDMR; MoFL; MoF; MoHFW; MoInd </w:t>
            </w:r>
            <w:r w:rsidRPr="00272035">
              <w:rPr>
                <w:rFonts w:ascii="Times New Roman" w:hAnsi="Times New Roman"/>
                <w:sz w:val="20"/>
                <w:szCs w:val="20"/>
                <w:lang w:val="en-GB"/>
              </w:rPr>
              <w:lastRenderedPageBreak/>
              <w:t xml:space="preserve">(SMEF); MoL; MoSW; MoWCA;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2795" w:type="dxa"/>
          </w:tcPr>
          <w:p w:rsidR="002E29BF" w:rsidRPr="00272035" w:rsidRDefault="002E29BF" w:rsidP="00F474E8">
            <w:pPr>
              <w:pStyle w:val="Default"/>
              <w:rPr>
                <w:color w:val="auto"/>
                <w:sz w:val="20"/>
                <w:szCs w:val="20"/>
              </w:rPr>
            </w:pPr>
            <w:r w:rsidRPr="00272035">
              <w:rPr>
                <w:color w:val="auto"/>
                <w:sz w:val="20"/>
                <w:szCs w:val="20"/>
              </w:rPr>
              <w:lastRenderedPageBreak/>
              <w:t xml:space="preserve">2.3.1 Volume of production per labour unit by classes of farming/pastoral/forestry enterprise size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DAE, MoA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 BADC,  MoA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BFD, MoEF</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Data segregated by classes of farming/pastoral/forestry will be required.</w:t>
            </w:r>
          </w:p>
        </w:tc>
      </w:tr>
      <w:tr w:rsidR="002E29BF" w:rsidRPr="00272035" w:rsidTr="00F474E8">
        <w:trPr>
          <w:trHeight w:val="71"/>
        </w:trPr>
        <w:tc>
          <w:tcPr>
            <w:tcW w:w="2633" w:type="dxa"/>
          </w:tcPr>
          <w:p w:rsidR="002E29BF" w:rsidRPr="00272035" w:rsidRDefault="002E29BF" w:rsidP="00F474E8">
            <w:pPr>
              <w:spacing w:after="0" w:line="264" w:lineRule="auto"/>
              <w:rPr>
                <w:rFonts w:ascii="Times New Roman" w:hAnsi="Times New Roman"/>
                <w:sz w:val="20"/>
                <w:szCs w:val="20"/>
                <w:lang w:val="en-GB"/>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MoInd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 MoLE;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2.3.2 Average income of small-scale food producers, by sex and indigenous status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b/>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 need to conduct surveys regarding SME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2.4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MoA</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MoEF; MoL; MoWR; MoDMR; Moind;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2.4.1 Proportion of agricultural area under productive and sustainable agriculture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Agri Wing, BBS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DAE, MoA</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2.5 By 2020, maintain the genetic diversity of seeds, cultivated plants and farmed and domesticated animals and their related wild species, </w:t>
            </w:r>
            <w:r w:rsidRPr="00272035">
              <w:rPr>
                <w:color w:val="auto"/>
                <w:sz w:val="20"/>
                <w:szCs w:val="20"/>
              </w:rPr>
              <w:lastRenderedPageBreak/>
              <w:t xml:space="preserve">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MoC; MoEF; MoFL; MoF;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2.5.1 Number of plant and animal genetic resources for food and agriculture secured in either medium or long-term conservation facilities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MoLF</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bCs/>
                <w:sz w:val="20"/>
                <w:szCs w:val="20"/>
                <w:lang w:val="en-GB"/>
              </w:rPr>
              <w:t>c) MoST</w:t>
            </w:r>
          </w:p>
        </w:tc>
        <w:tc>
          <w:tcPr>
            <w:tcW w:w="2340" w:type="dxa"/>
          </w:tcPr>
          <w:p w:rsidR="002E29BF" w:rsidRPr="00272035" w:rsidRDefault="002E29BF" w:rsidP="00C26140">
            <w:pPr>
              <w:pStyle w:val="ListParagraph"/>
              <w:numPr>
                <w:ilvl w:val="0"/>
                <w:numId w:val="8"/>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Only crop data is available whereas others are required to be accumulated.</w:t>
            </w:r>
          </w:p>
          <w:p w:rsidR="002E29BF" w:rsidRPr="00272035" w:rsidRDefault="002E29BF" w:rsidP="00C26140">
            <w:pPr>
              <w:pStyle w:val="ListParagraph"/>
              <w:numPr>
                <w:ilvl w:val="0"/>
                <w:numId w:val="8"/>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 xml:space="preserve">MoST is going to </w:t>
            </w:r>
            <w:r w:rsidRPr="00272035">
              <w:rPr>
                <w:rFonts w:ascii="Times New Roman" w:hAnsi="Times New Roman"/>
                <w:sz w:val="20"/>
                <w:szCs w:val="20"/>
                <w:lang w:val="en-GB"/>
              </w:rPr>
              <w:lastRenderedPageBreak/>
              <w:t>take a project on conservation of plant and animal genetic resources, which will produce the data for this indicator</w:t>
            </w:r>
          </w:p>
        </w:tc>
      </w:tr>
      <w:tr w:rsidR="002E29BF" w:rsidRPr="00272035" w:rsidTr="00F474E8">
        <w:trPr>
          <w:trHeight w:val="71"/>
        </w:trPr>
        <w:tc>
          <w:tcPr>
            <w:tcW w:w="2633" w:type="dxa"/>
          </w:tcPr>
          <w:p w:rsidR="002E29BF" w:rsidRPr="00272035" w:rsidRDefault="002E29BF" w:rsidP="00F474E8">
            <w:pPr>
              <w:spacing w:after="0" w:line="264" w:lineRule="auto"/>
              <w:rPr>
                <w:rFonts w:ascii="Times New Roman" w:hAnsi="Times New Roman"/>
                <w:sz w:val="20"/>
                <w:szCs w:val="20"/>
                <w:lang w:val="en-GB"/>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MoA</w:t>
            </w: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2.5.2 Proportion of local breeds classified as being at risk, not-at-risk or at unknown level of risk of extinction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BARI, MoA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MoLF</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proxy variable is suggested as “Number of extinct local varieties”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2.a Increase investment, including through enhanced international cooperation, in rural infrastructure, agricultural research and extension services, technology development and plant and livestock gene banks in order to enhance agricultural productive capacity in developing countries, in particular least developed countries </w:t>
            </w:r>
          </w:p>
        </w:tc>
        <w:tc>
          <w:tcPr>
            <w:tcW w:w="1260" w:type="dxa"/>
          </w:tcPr>
          <w:p w:rsidR="002E29BF" w:rsidRPr="00272035" w:rsidRDefault="002E29BF" w:rsidP="00F474E8">
            <w:pPr>
              <w:pStyle w:val="NoSpacing"/>
              <w:spacing w:line="264" w:lineRule="auto"/>
              <w:jc w:val="both"/>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ERD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 LGD; MoA; MoFL; MoFA; PD</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2.a.1 The Agriculture Orientation Index (AOI) for Government Expenditures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bCs/>
                <w:sz w:val="20"/>
                <w:szCs w:val="20"/>
                <w:lang w:val="en-GB"/>
              </w:rPr>
              <w:t>GED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AOI can be calculated at GED at monitoring level using the data available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2.a.2 Total official flows (official development assistance plus other official flows) to the </w:t>
            </w:r>
            <w:r w:rsidRPr="00272035">
              <w:rPr>
                <w:color w:val="auto"/>
                <w:sz w:val="20"/>
                <w:szCs w:val="20"/>
              </w:rPr>
              <w:lastRenderedPageBreak/>
              <w:t xml:space="preserve">agriculture sector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w:t>
            </w:r>
            <w:r w:rsidRPr="00272035">
              <w:rPr>
                <w:rFonts w:ascii="Times New Roman" w:hAnsi="Times New Roman"/>
                <w:sz w:val="20"/>
                <w:szCs w:val="20"/>
                <w:lang w:val="en-GB"/>
              </w:rPr>
              <w:lastRenderedPageBreak/>
              <w:t xml:space="preserve">external resource flows as per the SDG indicators  </w:t>
            </w:r>
          </w:p>
          <w:p w:rsidR="002E29BF"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ERD may also check for private sector data source if not reported to ERD</w:t>
            </w:r>
          </w:p>
          <w:p w:rsidR="00E9130D" w:rsidRPr="00272035" w:rsidRDefault="00E9130D" w:rsidP="00C26140">
            <w:pPr>
              <w:pStyle w:val="ListParagraph"/>
              <w:numPr>
                <w:ilvl w:val="0"/>
                <w:numId w:val="4"/>
              </w:numPr>
              <w:spacing w:after="0" w:line="264" w:lineRule="auto"/>
              <w:ind w:left="342" w:hanging="180"/>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2.b Correct and prevent trade restrictions and distortions in world agricultural markets, including through the parallel elimination of all forms of agricultural export subsidies and all export measures with equivalent effect, in accordance with the mandate of the Doha Development Round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MoC </w:t>
            </w:r>
          </w:p>
        </w:tc>
        <w:tc>
          <w:tcPr>
            <w:tcW w:w="1615" w:type="dxa"/>
          </w:tcPr>
          <w:p w:rsidR="002E29BF" w:rsidRPr="00272035" w:rsidRDefault="002E29BF" w:rsidP="00F474E8">
            <w:pPr>
              <w:spacing w:after="0" w:line="264" w:lineRule="auto"/>
              <w:rPr>
                <w:rFonts w:ascii="Times New Roman" w:hAnsi="Times New Roman"/>
                <w:kern w:val="24"/>
                <w:sz w:val="20"/>
                <w:szCs w:val="20"/>
                <w:lang w:val="en-GB"/>
              </w:rPr>
            </w:pPr>
            <w:r w:rsidRPr="00272035">
              <w:rPr>
                <w:rFonts w:ascii="Times New Roman" w:hAnsi="Times New Roman"/>
                <w:sz w:val="20"/>
                <w:szCs w:val="20"/>
                <w:lang w:val="en-GB"/>
              </w:rPr>
              <w:t>FD; MoA; MoFA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2.b.1 Producer Support Estimate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Tariff Commission, MoC</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FD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Tariff Commission, MoC can calculate this indicator using the formula suggested by Meta Data</w:t>
            </w:r>
          </w:p>
        </w:tc>
      </w:tr>
      <w:tr w:rsidR="002E29BF" w:rsidRPr="00272035" w:rsidTr="00F474E8">
        <w:trPr>
          <w:trHeight w:val="71"/>
        </w:trPr>
        <w:tc>
          <w:tcPr>
            <w:tcW w:w="2633" w:type="dxa"/>
          </w:tcPr>
          <w:p w:rsidR="002E29BF" w:rsidRPr="00272035" w:rsidRDefault="002E29BF" w:rsidP="00F474E8">
            <w:pPr>
              <w:spacing w:after="0" w:line="264" w:lineRule="auto"/>
              <w:rPr>
                <w:rFonts w:ascii="Times New Roman" w:hAnsi="Times New Roman"/>
                <w:sz w:val="20"/>
                <w:szCs w:val="20"/>
                <w:lang w:val="en-GB"/>
              </w:rPr>
            </w:pPr>
          </w:p>
        </w:tc>
        <w:tc>
          <w:tcPr>
            <w:tcW w:w="126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FD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MoA</w:t>
            </w:r>
          </w:p>
        </w:tc>
        <w:tc>
          <w:tcPr>
            <w:tcW w:w="2795" w:type="dxa"/>
          </w:tcPr>
          <w:p w:rsidR="002E29BF" w:rsidRDefault="002E29BF" w:rsidP="00F474E8">
            <w:pPr>
              <w:pStyle w:val="Default"/>
              <w:spacing w:line="264" w:lineRule="auto"/>
              <w:rPr>
                <w:color w:val="auto"/>
                <w:sz w:val="20"/>
                <w:szCs w:val="20"/>
              </w:rPr>
            </w:pPr>
            <w:r w:rsidRPr="00272035">
              <w:rPr>
                <w:color w:val="auto"/>
                <w:sz w:val="20"/>
                <w:szCs w:val="20"/>
              </w:rPr>
              <w:t xml:space="preserve">2.b.2 Agricultural Export Subsidies </w:t>
            </w:r>
          </w:p>
          <w:p w:rsidR="00E9130D" w:rsidRPr="00272035" w:rsidRDefault="00E9130D"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MoC</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FD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2.c Adopt measures to ensure the proper functioning of food commodity markets and their derivatives and facilitate timely access to market information, including on food reserves, in order to help limit extreme food price volatility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MoF;</w:t>
            </w:r>
          </w:p>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MoC</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MoInf; MoPA;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2.c.1 Indicator of food price anomalies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Prices and Wages Section, NAW, 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Prices and Wages Section, NAW, BBS can calculate this indicator using the available commodity price as collected for CPI measures </w:t>
            </w:r>
          </w:p>
        </w:tc>
      </w:tr>
      <w:tr w:rsidR="002E29BF" w:rsidRPr="00272035" w:rsidTr="00986D96">
        <w:trPr>
          <w:trHeight w:val="71"/>
        </w:trPr>
        <w:tc>
          <w:tcPr>
            <w:tcW w:w="14873" w:type="dxa"/>
            <w:gridSpan w:val="7"/>
          </w:tcPr>
          <w:p w:rsidR="002E29BF" w:rsidRPr="00F6758C" w:rsidRDefault="002E29BF" w:rsidP="00D3064A">
            <w:pPr>
              <w:spacing w:after="0" w:line="264" w:lineRule="auto"/>
              <w:rPr>
                <w:rFonts w:ascii="Times New Roman" w:hAnsi="Times New Roman"/>
                <w:sz w:val="20"/>
                <w:szCs w:val="20"/>
                <w:lang w:val="en-GB"/>
              </w:rPr>
            </w:pPr>
            <w:r w:rsidRPr="00F6758C">
              <w:rPr>
                <w:rFonts w:ascii="Times New Roman" w:hAnsi="Times New Roman"/>
                <w:b/>
                <w:bCs/>
                <w:sz w:val="26"/>
                <w:szCs w:val="20"/>
                <w:lang w:val="en-GB"/>
              </w:rPr>
              <w:lastRenderedPageBreak/>
              <w:t>Goal 3. Ensure healthy lives and promote well-being for all at all ages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3.1 By 2030, reduce the global maternal mortality ratio to less than 70 per 100,000 live births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LGD; MoInf; MoSW; MoWCA;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3.1.1 Maternal mortality ratio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(SVRS)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(BMMS)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MoHFW </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LGD; MoInf;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3.1.2 Proportion of births attended by skilled health personnel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(MICS)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w:t>
            </w:r>
          </w:p>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t>c) NIPORT (UESD)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3.2 By 2030, end preventable deaths of new-borns and children under 5 years of age, with all countries aiming to reduce neonatal mortality to at least as low as 12 per 1,000 live births and under 5 mortality to at least as low as 25 per 1,000 live births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MoInd; MoInf; MoPME; MoWCA;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3.2.1 Under-five mortality rate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(SVRS)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LGD; MoInf; MoWCA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3.2.2 Neonatal mortality rate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(SVRS)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3.3 By 2030, end the epidemics of AIDS, tuberculosis, malaria and neglected tropical diseases and combat hepatitis, water-borne diseases and other communicable diseases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MoInf; MoE; MoPME</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3.3.1 Number of new HIV infections per 1,000 uninfected population, by sex, age and key populations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DGHS (NASP)</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IEDCR, MoHFW</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MoInf; MoE;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3.3.2 Tuberculosis incidence per 1,000 population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(HMSS)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NTP, DGHS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MoInf;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3.3.3 Malaria incidence per 1,000 population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(HMSS)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MCP, DGHS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MoInf;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3.3.4 Hepatitis B incidence per 100,000 population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(HMSS)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CDC Unit, DGHS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MoInf; MoE;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3.3.5 Number of people requiring interventions against neglected tropical diseases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CDC Unit, DGHS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3.4 By 2030, reduce by one third premature mortality from non-communicable diseases through prevention and treatment and promote mental health and well-being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 MoF; MoInf; MoWCA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3.4.1 Mortality rate attributed to cardiovascular disease, cancer, diabetes or chronic respiratory disease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NCDC  Unit, DGHS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MIS, DGHS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BBS (SVRS)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SVRS raw data can generate data for this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MoHA; MoInf; SID; </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3.4.2 Suicide mortality rate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BP, MoHA</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BP has to calculate using administrative data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3.5 Strengthen the prevention and treatment of substance abuse, including narcotic drug abuse and harmful use of alcohol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MoHA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MoHFW; MoInf; MoRA; MoYS;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3.5.1 Coverage of treatment interventions (pharmacological, psychosocial and rehabilitation and aftercare services) for substance use disorders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Dept. of Narcotics Control, MoHA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MIS, DGHS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MIS of DGHS may generate and compile data from different sources (including NGOs)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MoHA</w:t>
            </w: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3.5.2 Harmful use of alcohol, defined according to the national context as alcohol per capita consumption (aged 15 years and older) within a calendar year in litres of pure alcohol </w:t>
            </w:r>
          </w:p>
        </w:tc>
        <w:tc>
          <w:tcPr>
            <w:tcW w:w="1800" w:type="dxa"/>
          </w:tcPr>
          <w:p w:rsidR="002E29BF" w:rsidRPr="00272035" w:rsidRDefault="002E29BF" w:rsidP="00F474E8">
            <w:pPr>
              <w:spacing w:after="0" w:line="264" w:lineRule="auto"/>
              <w:rPr>
                <w:rFonts w:ascii="Times New Roman" w:hAnsi="Times New Roman"/>
                <w:sz w:val="20"/>
                <w:szCs w:val="20"/>
                <w:lang w:val="en-GB"/>
              </w:rPr>
            </w:pPr>
          </w:p>
        </w:tc>
        <w:tc>
          <w:tcPr>
            <w:tcW w:w="2430" w:type="dxa"/>
          </w:tcPr>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Applicable for Bangladesh Context</w:t>
            </w:r>
          </w:p>
        </w:tc>
      </w:tr>
      <w:tr w:rsidR="002E29BF" w:rsidRPr="00272035" w:rsidTr="00F474E8">
        <w:trPr>
          <w:trHeight w:val="863"/>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3.6 By 2020, halve the number of global deaths and injuries from road traffic accidents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RTHD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BD; MoE; MoHA; MoInf; </w:t>
            </w:r>
          </w:p>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3.6.1 Death rate due to road traffic injuries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rPr>
                <w:rFonts w:ascii="Times New Roman" w:hAnsi="Times New Roman"/>
                <w:sz w:val="20"/>
                <w:szCs w:val="20"/>
                <w:lang w:val="en-GB"/>
              </w:rPr>
            </w:pPr>
            <w:r w:rsidRPr="00272035">
              <w:rPr>
                <w:rFonts w:ascii="Times New Roman" w:hAnsi="Times New Roman"/>
                <w:sz w:val="20"/>
                <w:szCs w:val="20"/>
                <w:lang w:val="en-GB"/>
              </w:rPr>
              <w:t>a) BP, MoHA</w:t>
            </w:r>
          </w:p>
          <w:p w:rsidR="002E29BF" w:rsidRPr="00272035" w:rsidRDefault="002E29BF" w:rsidP="00F474E8">
            <w:pPr>
              <w:spacing w:after="0"/>
              <w:rPr>
                <w:rFonts w:ascii="Times New Roman" w:hAnsi="Times New Roman"/>
                <w:sz w:val="20"/>
                <w:szCs w:val="20"/>
                <w:lang w:val="en-GB"/>
              </w:rPr>
            </w:pPr>
            <w:r w:rsidRPr="00272035">
              <w:rPr>
                <w:rFonts w:ascii="Times New Roman" w:hAnsi="Times New Roman"/>
                <w:sz w:val="20"/>
                <w:szCs w:val="20"/>
                <w:lang w:val="en-GB"/>
              </w:rPr>
              <w:t>b) MIS, DGHS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Bangladesh Police and/or MIS, DGHS may calculate using administrative data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3.7 By 2030, ensure universal access to sexual and reproductive health-care </w:t>
            </w:r>
            <w:r w:rsidRPr="00272035">
              <w:rPr>
                <w:color w:val="auto"/>
                <w:sz w:val="20"/>
                <w:szCs w:val="20"/>
              </w:rPr>
              <w:lastRenderedPageBreak/>
              <w:t xml:space="preserve">services, including for family planning, information and education, and the integration of reproductive health into national strategies and programmes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LGD; MoE; MoInf;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3.7.1 Proportion of women of reproductive age (aged 15-49 years) who have their need for </w:t>
            </w:r>
            <w:r w:rsidRPr="00272035">
              <w:rPr>
                <w:color w:val="auto"/>
                <w:sz w:val="20"/>
                <w:szCs w:val="20"/>
              </w:rPr>
              <w:lastRenderedPageBreak/>
              <w:t xml:space="preserve">family planning satisfied with modern methods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(SVRS)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BBS (MICS)</w:t>
            </w:r>
          </w:p>
          <w:p w:rsidR="002E29BF" w:rsidRPr="00272035" w:rsidRDefault="002E29BF" w:rsidP="00F474E8">
            <w:pPr>
              <w:spacing w:after="0" w:line="264" w:lineRule="auto"/>
              <w:rPr>
                <w:rFonts w:ascii="Times New Roman" w:hAnsi="Times New Roman"/>
                <w:sz w:val="20"/>
                <w:szCs w:val="20"/>
              </w:rPr>
            </w:pPr>
            <w:r w:rsidRPr="00272035">
              <w:rPr>
                <w:rFonts w:ascii="Times New Roman" w:hAnsi="Times New Roman"/>
                <w:sz w:val="20"/>
                <w:szCs w:val="20"/>
                <w:lang w:val="en-GB"/>
              </w:rPr>
              <w:lastRenderedPageBreak/>
              <w:t>d) MIS, DGFP</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LGD; MoInf; MoWCA;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3.7.2 Adolescent birth rate (aged 10-14 years; aged 15-19 years) per 1,000 women in that age group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(SVRS)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3.8 Achieve universal health coverage, including financial risk protection, access to quality essential health-care services and access to safe, effective, quality and affordable essential medicines and vaccines for all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BFID; LGD; MoC; MoSW; MoWCA; MoST (BAEC); MoInd (BAB);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3.8.1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DGHS, MoHFW</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w:t>
            </w:r>
          </w:p>
          <w:p w:rsidR="002E29BF" w:rsidRPr="00272035" w:rsidRDefault="002E29BF" w:rsidP="00F474E8">
            <w:pPr>
              <w:rPr>
                <w:rFonts w:ascii="Times New Roman" w:hAnsi="Times New Roman"/>
                <w:sz w:val="20"/>
                <w:szCs w:val="20"/>
              </w:rPr>
            </w:pPr>
            <w:r w:rsidRPr="00272035">
              <w:rPr>
                <w:rFonts w:ascii="Times New Roman" w:hAnsi="Times New Roman"/>
                <w:sz w:val="20"/>
                <w:szCs w:val="20"/>
                <w:lang w:val="en-GB"/>
              </w:rPr>
              <w:t>c) HEU, MoHFW</w:t>
            </w:r>
          </w:p>
          <w:p w:rsidR="002E29BF" w:rsidRPr="00272035" w:rsidRDefault="002E29BF" w:rsidP="00F474E8">
            <w:pPr>
              <w:spacing w:after="0" w:line="264" w:lineRule="auto"/>
              <w:rPr>
                <w:rFonts w:ascii="Times New Roman" w:hAnsi="Times New Roman"/>
                <w:sz w:val="20"/>
                <w:szCs w:val="20"/>
                <w:lang w:val="en-GB"/>
              </w:rPr>
            </w:pP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 will work with HEU for this indicator.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BFID;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3.8.2 Number of people covered by health insurance or a public health system per 1,000 population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rPr>
                <w:rFonts w:ascii="Times New Roman" w:hAnsi="Times New Roman"/>
                <w:sz w:val="20"/>
                <w:szCs w:val="20"/>
              </w:rPr>
            </w:pPr>
            <w:r w:rsidRPr="00272035">
              <w:rPr>
                <w:rFonts w:ascii="Times New Roman" w:hAnsi="Times New Roman"/>
                <w:sz w:val="20"/>
                <w:szCs w:val="20"/>
                <w:lang w:val="en-GB"/>
              </w:rPr>
              <w:t>HEU, MoHFW</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has started  work with HEU</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3.9 By 2030, substantially reduce the number of deaths and illnesses from hazardous chemicals and air, water and soil pollution and contamination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MoLE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 MoHFW; SID; MoST</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3.9.1 Mortality rate attributed to household and ambient air pollution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DGHS, MoHFW</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 </w:t>
            </w:r>
            <w:r w:rsidRPr="00272035">
              <w:rPr>
                <w:rFonts w:ascii="Times New Roman" w:eastAsiaTheme="minorHAnsi" w:hAnsi="Times New Roman"/>
                <w:sz w:val="20"/>
                <w:szCs w:val="20"/>
                <w:lang w:val="en-GB"/>
              </w:rPr>
              <w:t>Inspection for Factories and Establishments, MoLE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Proxy indicator to be developed if required</w:t>
            </w:r>
          </w:p>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MoHFW</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3.9.2 Mortality rate attributed to </w:t>
            </w:r>
            <w:r w:rsidRPr="00272035">
              <w:rPr>
                <w:color w:val="auto"/>
                <w:sz w:val="20"/>
                <w:szCs w:val="20"/>
              </w:rPr>
              <w:lastRenderedPageBreak/>
              <w:t xml:space="preserve">unsafe water, unsafe sanitation and lack of hygiene (exposure to unsafe Water, Sanitation and Hygiene for All (WASH) services)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DGHS, MoHFW</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 xml:space="preserve">Proxy indicator can be </w:t>
            </w:r>
            <w:r w:rsidRPr="00272035">
              <w:rPr>
                <w:rFonts w:ascii="Times New Roman" w:hAnsi="Times New Roman"/>
                <w:sz w:val="20"/>
                <w:szCs w:val="20"/>
                <w:lang w:val="en-GB"/>
              </w:rPr>
              <w:lastRenderedPageBreak/>
              <w:t>adopted too (Diarrhoeal death)</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3.9.3 Mortality rate attributed to unintentional poisoning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DGHS, MoHFW</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Proxy indicator may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3.a Strengthen the implementation of the World Health Organization Framework Convention on Tobacco Control in all countries, as appropriate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MoHFW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MoInf;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3.a.1 Age-standardized prevalence of current tobacco use among persons aged 15 years and older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MoHFW </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National Tobacco Programme Prevalence Survey of MoHFW can generate this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w:t>
            </w:r>
            <w:r w:rsidRPr="00272035">
              <w:rPr>
                <w:color w:val="auto"/>
                <w:sz w:val="20"/>
                <w:szCs w:val="20"/>
              </w:rPr>
              <w:lastRenderedPageBreak/>
              <w:t xml:space="preserve">protect public health, and, in particular, provide access to medicines for all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MoHFW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 MoFA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3.b.1 Proportion of the population with access to affordable medicines and vaccines on a sustainable basis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DGHS, MoHFW</w:t>
            </w:r>
          </w:p>
        </w:tc>
        <w:tc>
          <w:tcPr>
            <w:tcW w:w="2340" w:type="dxa"/>
          </w:tcPr>
          <w:p w:rsidR="002E29BF" w:rsidRPr="00272035" w:rsidRDefault="002E29BF" w:rsidP="00C26140">
            <w:pPr>
              <w:pStyle w:val="ListParagraph"/>
              <w:numPr>
                <w:ilvl w:val="0"/>
                <w:numId w:val="6"/>
              </w:numPr>
              <w:spacing w:after="0" w:line="264" w:lineRule="auto"/>
              <w:ind w:left="219" w:hanging="180"/>
              <w:rPr>
                <w:rFonts w:ascii="Times New Roman" w:hAnsi="Times New Roman"/>
                <w:sz w:val="20"/>
                <w:szCs w:val="20"/>
                <w:lang w:val="en-GB"/>
              </w:rPr>
            </w:pPr>
            <w:r w:rsidRPr="00272035">
              <w:rPr>
                <w:rFonts w:ascii="Times New Roman" w:hAnsi="Times New Roman"/>
                <w:sz w:val="20"/>
                <w:szCs w:val="20"/>
                <w:lang w:val="en-GB"/>
              </w:rPr>
              <w:t>Proxy indicator to be developed (EPI, Hospital Service)</w:t>
            </w:r>
          </w:p>
          <w:p w:rsidR="002E29BF" w:rsidRPr="00272035" w:rsidRDefault="002E29BF" w:rsidP="00C26140">
            <w:pPr>
              <w:pStyle w:val="ListParagraph"/>
              <w:numPr>
                <w:ilvl w:val="0"/>
                <w:numId w:val="6"/>
              </w:numPr>
              <w:spacing w:after="0" w:line="264" w:lineRule="auto"/>
              <w:ind w:left="219" w:hanging="180"/>
              <w:rPr>
                <w:rFonts w:ascii="Times New Roman" w:hAnsi="Times New Roman"/>
                <w:sz w:val="20"/>
                <w:szCs w:val="20"/>
                <w:lang w:val="en-GB"/>
              </w:rPr>
            </w:pPr>
            <w:r w:rsidRPr="00272035">
              <w:rPr>
                <w:rFonts w:ascii="Times New Roman" w:hAnsi="Times New Roman"/>
                <w:sz w:val="20"/>
                <w:szCs w:val="20"/>
                <w:lang w:val="en-GB"/>
              </w:rPr>
              <w:t xml:space="preserve">This indicator can be integrated in existing health related survey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MoHFW; FD;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3.b.2 Total net official development assistance to medical research and basic health sectors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MoHFW</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external resource flows as per the SDG indicators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3.c Substantially increase health financing and the recruitment, development, training and retention of the health workforce in developing countries, especially in least developed countries and small island developing States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MoPA; ERD; PD; SEID;  </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3.c.1 Health worker density and distribution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MIS, DGHS, MoHFW</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3.d Strengthen the capacity of all countries, in particular developing countries, for early warning, risk reduction and management of national and global health risks </w:t>
            </w:r>
          </w:p>
        </w:tc>
        <w:tc>
          <w:tcPr>
            <w:tcW w:w="1260" w:type="dxa"/>
          </w:tcPr>
          <w:p w:rsidR="002E29BF" w:rsidRPr="00272035" w:rsidRDefault="002E29BF" w:rsidP="00F474E8">
            <w:pPr>
              <w:pStyle w:val="NormalWeb"/>
              <w:spacing w:before="0" w:beforeAutospacing="0" w:after="0" w:afterAutospacing="0" w:line="264" w:lineRule="auto"/>
              <w:jc w:val="both"/>
              <w:rPr>
                <w:rFonts w:ascii="Times New Roman" w:hAnsi="Times New Roman"/>
                <w:sz w:val="20"/>
                <w:szCs w:val="20"/>
                <w:lang w:val="en-GB"/>
              </w:rPr>
            </w:pPr>
            <w:r w:rsidRPr="00272035">
              <w:rPr>
                <w:rFonts w:ascii="Times New Roman" w:hAnsi="Times New Roman"/>
                <w:sz w:val="20"/>
                <w:szCs w:val="20"/>
                <w:lang w:val="en-GB"/>
              </w:rPr>
              <w:t>MoHFW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MoFA; MoInf; MoInd (BIM)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3.d.1 International Health Regulations (IHR) capacity and health emergency preparedness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DGHS, MoHFW (NHCMC&amp;CR)</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NCDC Unit, DGHS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 BBS </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can generate data for this indicator using their survey</w:t>
            </w:r>
          </w:p>
        </w:tc>
      </w:tr>
      <w:tr w:rsidR="002E29BF" w:rsidRPr="00272035" w:rsidTr="00D82806">
        <w:trPr>
          <w:trHeight w:val="71"/>
        </w:trPr>
        <w:tc>
          <w:tcPr>
            <w:tcW w:w="14873" w:type="dxa"/>
            <w:gridSpan w:val="7"/>
          </w:tcPr>
          <w:p w:rsidR="002E29BF" w:rsidRPr="00F6758C" w:rsidRDefault="002E29BF" w:rsidP="00D3064A">
            <w:pPr>
              <w:spacing w:after="0" w:line="264" w:lineRule="auto"/>
              <w:rPr>
                <w:rFonts w:ascii="Times New Roman" w:hAnsi="Times New Roman"/>
                <w:sz w:val="20"/>
                <w:szCs w:val="20"/>
                <w:lang w:val="en-GB"/>
              </w:rPr>
            </w:pPr>
            <w:r w:rsidRPr="00F6758C">
              <w:rPr>
                <w:rFonts w:ascii="Times New Roman" w:hAnsi="Times New Roman"/>
                <w:b/>
                <w:bCs/>
                <w:sz w:val="26"/>
                <w:szCs w:val="20"/>
                <w:lang w:val="en-GB"/>
              </w:rPr>
              <w:t>Goal 4. Ensure inclusive and equitable quality education and promote lifelong learning opportunities for all</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4.1 By 2030, ensure that all girls and boys complete free, equitable and quality primary and secondary education leading to relevant and effective learning outcomes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MoPME; MoE</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MoWCA; MoInf; MoDMR; MoSW; MoRA; MoHFW; LGD; MoYS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4.1.1 Proportion of children and young people: (a) in grades 2/3; (b) at the end of primary; and (c) at the end of lower secondary achieving at least a minimum proficiency level in (i) reading and (ii) mathematics, by sex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(LAS)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DPE, MoPME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BANBEIS, MoE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 (LAS) &amp; BANBEIS may include reading and mathematics issues in their respective survey questionnaire to measure this indicator with segregation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4.2 By 2030, ensure that all girls and boys have access to quality early childhood development, care and pre-primary education so that they are ready for primary education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MoPME;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MoHFW, MoSW, MoWCA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MoRA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4.2.1 Proportion of children under 5 years of age who are developmentally on track in health, learning and psychosocial well-being, by sex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This issue should be included in education related survey of BBS or BANBEIS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MoPME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MoInf;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MoRA; LGD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4.2.2 Participation rate in organized learning (one year before the official primary entry age), by sex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Education Survey of BBS or BANBEIS can include this issue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4.3 By 2030, ensure equal access for all women and men to affordable and quality technical, vocational and tertiary education, including university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 MoEWOE; MoLE; MoWCA; MoInd (BITAC);  MoYS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4.3.1 Participation rate of youth and adults in formal and non-formal education and training in the previous 12 months, by sex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(LAS)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BANBEIS, MoE (Annual Education Survey (tertiary &amp; vocational))</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Frequency of LAS may be increased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4.4 By 2030, substantially increase the number of youth and adults who have relevant skills, including technical and vocational skills, for employment, decent jobs and entrepreneurship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ICTD; FD; MoEWOE; MoLE; MoYS; MoInd (BSCIC/ SMEF); MoYS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4.4.1 Proportion of youth and adults with information and communications technology (ICT) skills, by type of skill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MIS, Department of Youth Development, MoYS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Department of Youth Development, MoYS will have to segregate data according to type of skill</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4.5 By 2030, eliminate gender disparities in education and ensure equal access to all levels of education and vocational training for the vulnerable, including persons with disabilities, indigenous </w:t>
            </w:r>
            <w:r w:rsidRPr="00272035">
              <w:rPr>
                <w:color w:val="auto"/>
                <w:sz w:val="20"/>
                <w:szCs w:val="20"/>
              </w:rPr>
              <w:lastRenderedPageBreak/>
              <w:t xml:space="preserve">peoples and children in vulnerable situations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MoE; MoPME;</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MoCHTA; MoSW; MoWCA</w:t>
            </w:r>
          </w:p>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MoRA;</w:t>
            </w:r>
          </w:p>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MoYS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4.5.1 Parity indices (female/male, rural/urban, bottom/top wealth quintile and others such as disability status, indigenous peoples and conflict-affected, as data become available) for all education indicators on this list </w:t>
            </w:r>
            <w:r w:rsidRPr="00272035">
              <w:rPr>
                <w:color w:val="auto"/>
                <w:sz w:val="20"/>
                <w:szCs w:val="20"/>
              </w:rPr>
              <w:lastRenderedPageBreak/>
              <w:t xml:space="preserve">that can be disaggregated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BANBEIS, MoE (AES)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DPE, MoPE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BBS (Education Household Survey, EHS)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Rural/urban, bottom/top wealth quintile and others such as disability status, indigenous peoples and conflict-affected segregated parity indices will be required to calculate as data become </w:t>
            </w:r>
            <w:r w:rsidRPr="00272035">
              <w:rPr>
                <w:rFonts w:ascii="Times New Roman" w:hAnsi="Times New Roman"/>
                <w:sz w:val="20"/>
                <w:szCs w:val="20"/>
                <w:lang w:val="en-GB"/>
              </w:rPr>
              <w:lastRenderedPageBreak/>
              <w:t xml:space="preserve">available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4.6 By 2030, ensure that all youth and a substantial proportion of adults, both men and women, achieve literacy and numeracy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MoPME; MoE;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MoWCA; MoYS; MoInf;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MoRA; MoSW; PMO</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4.6.1 Percentage of population in a given age group achieving at least a fixed level of proficiency in functional (a) literacy and (b) numeracy skills, by sex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(LAS, EHS)</w:t>
            </w:r>
          </w:p>
        </w:tc>
        <w:tc>
          <w:tcPr>
            <w:tcW w:w="2340" w:type="dxa"/>
          </w:tcPr>
          <w:p w:rsidR="002E29BF" w:rsidRPr="00272035" w:rsidRDefault="002E29BF" w:rsidP="00D3064A">
            <w:pPr>
              <w:spacing w:after="0" w:line="264" w:lineRule="auto"/>
              <w:rPr>
                <w:rFonts w:ascii="Times New Roman" w:hAnsi="Times New Roman"/>
                <w:sz w:val="20"/>
                <w:szCs w:val="20"/>
                <w:lang w:val="en-GB"/>
              </w:rPr>
            </w:pPr>
            <w:r w:rsidRPr="00272035">
              <w:rPr>
                <w:rFonts w:ascii="Times New Roman" w:hAnsi="Times New Roman"/>
                <w:sz w:val="20"/>
                <w:szCs w:val="20"/>
                <w:lang w:val="en-GB"/>
              </w:rPr>
              <w:t>Frequency of LAS may be increased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4.7 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ICTD, LJD; MoCA; MoPME; MoRA; MoWCA; MoEF; SID;; MoInd (BIM);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4.7.1 Extent to which (i) global citizenship education and (ii) education for sustainable development, including gender equality and human rights, are mainstreamed at all levels in: (a) national education policies, (b) curricula, (c) teacher education and (d) student assessment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MoPME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Proxy indicator is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4.a Build and upgrade education facilities that are child, disability and gender sensitive and provide safe, non-violent, inclusive and effective learning environments for all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MoPME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 MoSW; MoWCA; SEID; LGD;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4.a.1 Proportion of schools with access to: (a) electricity; (b) the Internet for pedagogical purposes; (c) computers for pedagogical purposes; (d) adapted infrastructure and materials for students with </w:t>
            </w:r>
            <w:r w:rsidRPr="00272035">
              <w:rPr>
                <w:color w:val="auto"/>
                <w:sz w:val="20"/>
                <w:szCs w:val="20"/>
              </w:rPr>
              <w:lastRenderedPageBreak/>
              <w:t xml:space="preserve">disabilities; (e) basic drinking water; (f) single-sex basic sanitation facilities; and (g) basic hand washing facilities (as per the WASH indicator definitions)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BANBEIS, MoE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DPE; MoPME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Composite Indicator, partial data is available and other issues need to be taken into account for the MIS of MoE and MoPME.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4.b By 2020, substantially expand globally the number of scholarships available to developing countries, in particular least developed countries, small island developing States and African countries, for enrolment in higher education, including vocational training and information and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communications technology, technical, engineering and scientific programmes, in developed countries and other developing countries </w:t>
            </w:r>
          </w:p>
        </w:tc>
        <w:tc>
          <w:tcPr>
            <w:tcW w:w="1260" w:type="dxa"/>
          </w:tcPr>
          <w:p w:rsidR="002E29BF" w:rsidRPr="00272035" w:rsidRDefault="002E29BF" w:rsidP="00F474E8">
            <w:pPr>
              <w:pStyle w:val="NoSpacing"/>
              <w:spacing w:line="264" w:lineRule="auto"/>
              <w:jc w:val="both"/>
              <w:rPr>
                <w:rFonts w:ascii="Times New Roman" w:hAnsi="Times New Roman" w:cs="Times New Roman"/>
                <w:sz w:val="20"/>
                <w:szCs w:val="20"/>
                <w:lang w:val="en-GB"/>
              </w:rPr>
            </w:pPr>
            <w:r w:rsidRPr="00272035">
              <w:rPr>
                <w:rFonts w:ascii="Times New Roman" w:hAnsi="Times New Roman" w:cs="Times New Roman"/>
                <w:sz w:val="20"/>
                <w:szCs w:val="20"/>
                <w:lang w:val="en-GB"/>
              </w:rPr>
              <w:t>ERD</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MoE; MoFA; MoST;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4.b.1 Volume of official development assistance flows for scholarships by sector and type of study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MoPME</w:t>
            </w:r>
          </w:p>
        </w:tc>
        <w:tc>
          <w:tcPr>
            <w:tcW w:w="2340" w:type="dxa"/>
          </w:tcPr>
          <w:p w:rsidR="002E29BF" w:rsidRPr="00272035"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external resource flows as per the SDG indicators  </w:t>
            </w:r>
          </w:p>
          <w:p w:rsidR="002E29BF" w:rsidRPr="00272035"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ERD may also check for private sector data source if not reported to ERD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4.c By 2030, substantially increase the supply of qualified teachers, including through international cooperation for teacher training in developing countries, especially least developed countries and small island developing States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MoPME;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4.c.1 Proportion of teachers in: (a) pre-primary; (b) primary; (c) lower secondary; and (d) upper secondary education who have received at least the minimum organized teacher training (e.g. pedagogical training) pre-service or in-service required for teaching at the relevant level in a given country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BANBEIS, MoE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DPE; MoPME</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A54D39">
        <w:trPr>
          <w:trHeight w:val="71"/>
        </w:trPr>
        <w:tc>
          <w:tcPr>
            <w:tcW w:w="14873" w:type="dxa"/>
            <w:gridSpan w:val="7"/>
          </w:tcPr>
          <w:p w:rsidR="002E29BF" w:rsidRPr="00F6758C" w:rsidRDefault="002E29BF" w:rsidP="00D3064A">
            <w:pPr>
              <w:spacing w:after="0" w:line="264" w:lineRule="auto"/>
              <w:rPr>
                <w:rFonts w:ascii="Times New Roman" w:hAnsi="Times New Roman"/>
                <w:sz w:val="20"/>
                <w:szCs w:val="20"/>
                <w:lang w:val="en-GB"/>
              </w:rPr>
            </w:pPr>
            <w:r w:rsidRPr="00F6758C">
              <w:rPr>
                <w:rFonts w:ascii="Times New Roman" w:hAnsi="Times New Roman"/>
                <w:b/>
                <w:bCs/>
                <w:sz w:val="26"/>
                <w:szCs w:val="20"/>
                <w:lang w:val="en-GB"/>
              </w:rPr>
              <w:lastRenderedPageBreak/>
              <w:t>Goal 5. Achieve gender equality and empower all women and girls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5.1 End all forms of discrimination against all women and girls everywhere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MoHA; LJD; LPAD; MoInd; MoFA;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MoRA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5.1.1 Whether or not legal frameworks are in place to promote, enforce and monitor equality and non-discrimination on the basis of sex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LPAD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MoWCA</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5.2 Eliminate all forms of violence against all women and girls in the public and private spheres, including trafficking and sexual and other types of exploitation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MoHA; LJD; LPAD; SID; MoFA;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MoRA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5.2.1 Proportion of ever-partnered women and girls aged 15 years and older subjected to physical, sexual or psychological violence by a current or former intimate partner in the previous 12 months, by form of violence and by age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(VAW)</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MoWCA</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MoHA;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5.2.2 Proportion of women and girls aged 15 years and older subjected to sexual violence by persons other than an intimate partner in the previous 12 months, by age and place of occurrence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(VAW)</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MoWCA</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5.3 Eliminate all harmful practices, such as child, early and forced marriage and female genital mutilation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MoHA; MoInf; MoRA;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5.3.1 Proportion of women aged 20-24 years who were married or in a union before age 15 and before age 18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(SVRS)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NIPORT (BDHS)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‘Union’ level data will be required to incorporate in the existing surveys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5.3.2 Proportion of girls and women aged 15-49 years who have undergone female genital mutilation/cutting, by age </w:t>
            </w:r>
          </w:p>
        </w:tc>
        <w:tc>
          <w:tcPr>
            <w:tcW w:w="1800" w:type="dxa"/>
          </w:tcPr>
          <w:p w:rsidR="002E29BF" w:rsidRPr="00272035" w:rsidRDefault="002E29BF" w:rsidP="00F474E8">
            <w:pPr>
              <w:spacing w:after="0" w:line="264" w:lineRule="auto"/>
              <w:rPr>
                <w:rFonts w:ascii="Times New Roman" w:hAnsi="Times New Roman"/>
                <w:sz w:val="20"/>
                <w:szCs w:val="20"/>
                <w:lang w:val="en-GB"/>
              </w:rPr>
            </w:pPr>
          </w:p>
        </w:tc>
        <w:tc>
          <w:tcPr>
            <w:tcW w:w="2430" w:type="dxa"/>
          </w:tcPr>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Not relevant for Bangladesh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5.4 Recognize and value unpaid care and domestic work through the provision of </w:t>
            </w:r>
            <w:r w:rsidRPr="00272035">
              <w:rPr>
                <w:color w:val="auto"/>
                <w:sz w:val="20"/>
                <w:szCs w:val="20"/>
              </w:rPr>
              <w:lastRenderedPageBreak/>
              <w:t xml:space="preserve">public services, infrastructure and social protection policies and the promotion of shared responsibility within the household and the family as nationally appropriate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MoSW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CD; GED; MoLE; MoWCA;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5.4.1 Proportion of time spent on unpaid domestic and care work, by sex, age and location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 (Time Use Survey) </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5.5 Ensure women’s full and effective participation and equal opportunities for leadership at all levels of decision-making in political, economic and public life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LJD; LGD; MoPA; MoInd;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5.5.1 Proportion of seats held by women in national parliaments and local governments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LPAD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LGD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MoPA </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5.5.2 Proportion of women in managerial positions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MoPA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MoWCA</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For Private Sector data MoWCA should coordinate with Bangladesh Women Chamber of Commerce &amp; Industry (BWCCI)</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5.6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pacing w:val="1"/>
                <w:sz w:val="20"/>
                <w:szCs w:val="20"/>
                <w:lang w:val="en-GB"/>
              </w:rPr>
            </w:pPr>
            <w:r w:rsidRPr="00272035">
              <w:rPr>
                <w:rFonts w:ascii="Times New Roman" w:hAnsi="Times New Roman"/>
                <w:sz w:val="20"/>
                <w:szCs w:val="20"/>
                <w:lang w:val="en-GB"/>
              </w:rPr>
              <w:t xml:space="preserve">LJD; LPAD; MoHFW;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5.6.1 Proportion of women aged 15-49 years who make their own informed decisions regarding sexual relations, contraceptive use and reproductive health care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NIPORT (BDHS)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5.6.2 Number of countries with laws and regulations that </w:t>
            </w:r>
            <w:r w:rsidRPr="00272035">
              <w:rPr>
                <w:color w:val="auto"/>
                <w:sz w:val="20"/>
                <w:szCs w:val="20"/>
              </w:rPr>
              <w:lastRenderedPageBreak/>
              <w:t xml:space="preserve">guarantee women aged 15-49 years access to sexual and reproductive health care, information and education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LPAD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Yes/No Indicator for Country comparison at </w:t>
            </w:r>
            <w:r w:rsidRPr="00272035">
              <w:rPr>
                <w:rFonts w:ascii="Times New Roman" w:hAnsi="Times New Roman"/>
                <w:sz w:val="20"/>
                <w:szCs w:val="20"/>
                <w:lang w:val="en-GB"/>
              </w:rPr>
              <w:lastRenderedPageBreak/>
              <w:t>global level</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5.a Undertake reforms to give women equal rights to economic resources, as well as access to ownership and control over land and other forms of property, financial services, inheritance and natural resources, in accordance with national laws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widowControl w:val="0"/>
              <w:tabs>
                <w:tab w:val="left" w:pos="301"/>
              </w:tabs>
              <w:autoSpaceDE w:val="0"/>
              <w:autoSpaceDN w:val="0"/>
              <w:adjustRightInd w:val="0"/>
              <w:spacing w:after="0" w:line="264" w:lineRule="auto"/>
              <w:ind w:right="-40"/>
              <w:rPr>
                <w:rFonts w:ascii="Times New Roman" w:hAnsi="Times New Roman"/>
                <w:spacing w:val="1"/>
                <w:sz w:val="20"/>
                <w:szCs w:val="20"/>
                <w:lang w:val="en-GB"/>
              </w:rPr>
            </w:pPr>
            <w:r w:rsidRPr="00272035">
              <w:rPr>
                <w:rFonts w:ascii="Times New Roman" w:hAnsi="Times New Roman"/>
                <w:sz w:val="20"/>
                <w:szCs w:val="20"/>
                <w:lang w:val="en-GB"/>
              </w:rPr>
              <w:t xml:space="preserve">BFID; LJD; MoL;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5.a.1 (a) Proportion of total agricultural population with ownership or secure rights over agricultural land, by sex; and (b) share of women among owners or rights-bearers of agricultural land, by type of tenure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(HIES)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Additional question in the HIES Questionnaire will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MoWCA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5.a.2 Proportion of countries where the legal framework (including customary law) guarantees women’s equal rights to land ownership and/or control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LPAD</w:t>
            </w:r>
          </w:p>
        </w:tc>
        <w:tc>
          <w:tcPr>
            <w:tcW w:w="2340" w:type="dxa"/>
          </w:tcPr>
          <w:p w:rsidR="002E29BF" w:rsidRPr="00272035" w:rsidRDefault="002E29BF" w:rsidP="00C26140">
            <w:pPr>
              <w:pStyle w:val="ListParagraph"/>
              <w:numPr>
                <w:ilvl w:val="0"/>
                <w:numId w:val="9"/>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Global indicator for international comparison as meta data suggests</w:t>
            </w:r>
          </w:p>
          <w:p w:rsidR="002E29BF" w:rsidRPr="00272035" w:rsidRDefault="002E29BF" w:rsidP="00C26140">
            <w:pPr>
              <w:pStyle w:val="ListParagraph"/>
              <w:numPr>
                <w:ilvl w:val="0"/>
                <w:numId w:val="9"/>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 xml:space="preserve">Women’s equal rights to land ownership and/or control is not relevant for Bangladesh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5.b Enhance the use of enabling technology, in particular information and communications technology, to promote the empowerment of women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ICTD; PTD;  MoE; SEID; SID; MoInd;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5.b.1 Proportion of individuals who own a mobile telephone, by sex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(LFS, HIES)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BTRC, PTD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5.c Adopt and strengthen sound policies and enforceable legislation for the </w:t>
            </w:r>
            <w:r w:rsidRPr="00272035">
              <w:rPr>
                <w:color w:val="auto"/>
                <w:sz w:val="20"/>
                <w:szCs w:val="20"/>
              </w:rPr>
              <w:lastRenderedPageBreak/>
              <w:t xml:space="preserve">promotion of gender equality and the empowerment of all women and girls at all levels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MoWCA</w:t>
            </w:r>
          </w:p>
        </w:tc>
        <w:tc>
          <w:tcPr>
            <w:tcW w:w="1615" w:type="dxa"/>
          </w:tcPr>
          <w:p w:rsidR="002E29BF" w:rsidRPr="00272035" w:rsidRDefault="002E29BF" w:rsidP="00F474E8">
            <w:pPr>
              <w:widowControl w:val="0"/>
              <w:tabs>
                <w:tab w:val="left" w:pos="301"/>
              </w:tabs>
              <w:autoSpaceDE w:val="0"/>
              <w:autoSpaceDN w:val="0"/>
              <w:adjustRightInd w:val="0"/>
              <w:spacing w:after="0" w:line="264" w:lineRule="auto"/>
              <w:ind w:right="-43"/>
              <w:rPr>
                <w:rFonts w:ascii="Times New Roman" w:hAnsi="Times New Roman"/>
                <w:spacing w:val="1"/>
                <w:sz w:val="20"/>
                <w:szCs w:val="20"/>
                <w:lang w:val="en-GB"/>
              </w:rPr>
            </w:pPr>
            <w:r w:rsidRPr="00272035">
              <w:rPr>
                <w:rFonts w:ascii="Times New Roman" w:hAnsi="Times New Roman"/>
                <w:sz w:val="20"/>
                <w:szCs w:val="20"/>
                <w:lang w:val="en-GB"/>
              </w:rPr>
              <w:t xml:space="preserve">LPAD; FD;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5.c.1 Proportion of countries with systems to track and make public allocations for gender equality and women’s </w:t>
            </w:r>
            <w:r w:rsidRPr="00272035">
              <w:rPr>
                <w:color w:val="auto"/>
                <w:sz w:val="20"/>
                <w:szCs w:val="20"/>
              </w:rPr>
              <w:lastRenderedPageBreak/>
              <w:t xml:space="preserve">empowerment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MoWCA</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Global indicator for international comparison as meta data suggests</w:t>
            </w:r>
          </w:p>
        </w:tc>
      </w:tr>
      <w:tr w:rsidR="002E29BF" w:rsidRPr="00272035" w:rsidTr="007F49CD">
        <w:trPr>
          <w:trHeight w:val="71"/>
        </w:trPr>
        <w:tc>
          <w:tcPr>
            <w:tcW w:w="14873" w:type="dxa"/>
            <w:gridSpan w:val="7"/>
          </w:tcPr>
          <w:p w:rsidR="002E29BF" w:rsidRPr="00F6758C" w:rsidRDefault="002E29BF" w:rsidP="00D3064A">
            <w:pPr>
              <w:spacing w:after="0" w:line="264" w:lineRule="auto"/>
              <w:rPr>
                <w:rFonts w:ascii="Times New Roman" w:hAnsi="Times New Roman"/>
                <w:sz w:val="20"/>
                <w:szCs w:val="20"/>
                <w:lang w:val="en-GB"/>
              </w:rPr>
            </w:pPr>
            <w:r w:rsidRPr="00D75301">
              <w:rPr>
                <w:rFonts w:ascii="Times New Roman" w:hAnsi="Times New Roman"/>
                <w:b/>
                <w:bCs/>
                <w:sz w:val="26"/>
                <w:szCs w:val="20"/>
                <w:lang w:val="en-GB"/>
              </w:rPr>
              <w:lastRenderedPageBreak/>
              <w:t>Goal 6. Ensure availability and sustainable management of water and sanitation for all</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6.1 By 2030, achieve universal and equitable access to safe and affordable drinking water for all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MoInf; MoPME; MoInd (BAB);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6.1.1 Proportion of population using safely managed drinking water services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(SVRS)</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6.2 By 2030, achieve access to adequate and equitable sanitation and hygiene for all and end open defecation, paying special attention to the needs of women and girls and those in vulnerable situations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 MoInf; MoPME; MoWCA;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6.2.1 Proportion of population using safely managed sanitation services, including a hand-washing facility with soap and water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DPHE, LGD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LGD (WASA for City Corporations)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BBS (Progotir Pothey)</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Existing health and sanitation related survey dealt by BBS can incorporate the issue.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6.3 By 2030, improve water quality by reducing pollution, eliminating dumping and minimizing release of hazardous chemicals and materials, halving the proportion of untreated wastewater and substantially increasing recycling and safe reuse globally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MoEF; MoInd;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6.3.1 Proportion of wastewater safely treated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DPHE, LGD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LGD (WASA for City Corporations)</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LGD need to compile the data from DPHE and different WASAs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6.3.2 Proportion of bodies of water with good ambient water quality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DPHE, LGD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DoE</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BBS can do Survey integrating similar indicators of SDGs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6.4 By 2030, substantially increase water-use efficiency across all sectors and ensure </w:t>
            </w:r>
            <w:r w:rsidRPr="00272035">
              <w:rPr>
                <w:color w:val="auto"/>
                <w:sz w:val="20"/>
                <w:szCs w:val="20"/>
              </w:rPr>
              <w:lastRenderedPageBreak/>
              <w:t xml:space="preserve">sustainable withdrawals and supply of freshwater to address water scarcity and substantially reduce the number of people suffering from water scarcity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LGD, MoA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MoS; MoWR;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6.4.1 Change in water-use efficiency over time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DPHE, LGD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DoE</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6.4.2 Level of water stress: freshwater withdrawal as a proportion of available freshwater resources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WDB, MoWR</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BADC/BMDA, MoA</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WDB, MoWR may calculate the indicator from the available data in WDB</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6.5 By 2030, implement integrated water resources management at all levels, including through trans boundary cooperation as appropriate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MoWR</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 MOFA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6.5.1 Degree of integrated water resources management implementation (0-100)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WDB, MoWR</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BBS can do Survey integrating similar indicators of SDGs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6.5.2 Proportion of trans boundary basin area with an operational arrangement for water cooperation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MoWR (JRC)</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MoFA</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MoWR can calculate from GIS data and existing transboundary water arrangements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6.6 By 2020, protect and restore water-related ecosystems, including mountains, forests, wetlands, rivers, aquifers and lakes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MoWR</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CD; MoA; MoCHTA; MoEF; MoFL;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6.6.1 Change in the extent of water-related ecosystems over time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DoE, MoEF</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WDB, MoWR</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BBS</w:t>
            </w:r>
          </w:p>
        </w:tc>
        <w:tc>
          <w:tcPr>
            <w:tcW w:w="2340" w:type="dxa"/>
          </w:tcPr>
          <w:p w:rsidR="002E29BF" w:rsidRPr="00272035" w:rsidRDefault="002E29BF" w:rsidP="00C26140">
            <w:pPr>
              <w:pStyle w:val="ListParagraph"/>
              <w:numPr>
                <w:ilvl w:val="0"/>
                <w:numId w:val="10"/>
              </w:numPr>
              <w:spacing w:after="0" w:line="264" w:lineRule="auto"/>
              <w:ind w:left="331" w:hanging="180"/>
              <w:rPr>
                <w:rFonts w:ascii="Times New Roman" w:hAnsi="Times New Roman"/>
                <w:sz w:val="20"/>
                <w:szCs w:val="20"/>
                <w:lang w:val="en-GB"/>
              </w:rPr>
            </w:pPr>
            <w:r w:rsidRPr="00272035">
              <w:rPr>
                <w:rFonts w:ascii="Times New Roman" w:hAnsi="Times New Roman"/>
                <w:sz w:val="20"/>
                <w:szCs w:val="20"/>
                <w:lang w:val="en-GB"/>
              </w:rPr>
              <w:t>DoE  may use Living Planet Index methodology for data collection and analysis as meta data suggested from existing data available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6.a By 2030, expand international cooperation and capacity-building support to </w:t>
            </w:r>
            <w:r w:rsidRPr="00272035">
              <w:rPr>
                <w:color w:val="auto"/>
                <w:sz w:val="20"/>
                <w:szCs w:val="20"/>
              </w:rPr>
              <w:lastRenderedPageBreak/>
              <w:t xml:space="preserve">developing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countries in water-and sanitation-related activities and programmes, including water harvesting, desalination, water efficiency, wastewater treatment, recycling and reuse technologies </w:t>
            </w:r>
          </w:p>
        </w:tc>
        <w:tc>
          <w:tcPr>
            <w:tcW w:w="1260"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ERD, MoWR</w:t>
            </w:r>
          </w:p>
        </w:tc>
        <w:tc>
          <w:tcPr>
            <w:tcW w:w="1615" w:type="dxa"/>
          </w:tcPr>
          <w:p w:rsidR="002E29BF" w:rsidRPr="00272035" w:rsidRDefault="002E29BF" w:rsidP="00F474E8">
            <w:pPr>
              <w:pStyle w:val="NoSpacing"/>
              <w:spacing w:line="264" w:lineRule="auto"/>
              <w:rPr>
                <w:rFonts w:ascii="Times New Roman" w:hAnsi="Times New Roman" w:cs="Times New Roman"/>
                <w:strike/>
                <w:sz w:val="20"/>
                <w:szCs w:val="20"/>
                <w:lang w:val="en-GB"/>
              </w:rPr>
            </w:pPr>
            <w:r w:rsidRPr="00272035">
              <w:rPr>
                <w:rFonts w:ascii="Times New Roman" w:hAnsi="Times New Roman" w:cs="Times New Roman"/>
                <w:sz w:val="20"/>
                <w:szCs w:val="20"/>
                <w:lang w:val="en-GB"/>
              </w:rPr>
              <w:t xml:space="preserve">LGD; MoEF; MoFA; MoInd;  </w:t>
            </w:r>
          </w:p>
        </w:tc>
        <w:tc>
          <w:tcPr>
            <w:tcW w:w="2795" w:type="dxa"/>
          </w:tcPr>
          <w:p w:rsidR="002E29BF" w:rsidRPr="00272035" w:rsidRDefault="002E29BF" w:rsidP="00F474E8">
            <w:pPr>
              <w:pStyle w:val="Default"/>
              <w:rPr>
                <w:color w:val="auto"/>
                <w:sz w:val="20"/>
                <w:szCs w:val="20"/>
              </w:rPr>
            </w:pPr>
            <w:r w:rsidRPr="00272035">
              <w:rPr>
                <w:color w:val="auto"/>
                <w:sz w:val="20"/>
                <w:szCs w:val="20"/>
              </w:rPr>
              <w:t>6.a.1 Amount of water-and sanitation-related official development assistance that is part of a government-</w:t>
            </w:r>
            <w:r w:rsidRPr="00272035">
              <w:rPr>
                <w:color w:val="auto"/>
                <w:sz w:val="20"/>
                <w:szCs w:val="20"/>
              </w:rPr>
              <w:lastRenderedPageBreak/>
              <w:t xml:space="preserve">coordinated spending plan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external resource </w:t>
            </w:r>
            <w:r w:rsidRPr="00272035">
              <w:rPr>
                <w:rFonts w:ascii="Times New Roman" w:hAnsi="Times New Roman"/>
                <w:sz w:val="20"/>
                <w:szCs w:val="20"/>
                <w:lang w:val="en-GB"/>
              </w:rPr>
              <w:lastRenderedPageBreak/>
              <w:t xml:space="preserve">flows as per the SDG indicators  </w:t>
            </w:r>
          </w:p>
          <w:p w:rsidR="002E29BF" w:rsidRPr="00272035"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ERD may also check for private sector data source if not reported to ERD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6.b Support and strengthen the participation of local communities in improving water and sanitation management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MoPA; AWRRID; LGD; MoWR;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6.b.1 Proportion of local administrative units with established and operational policies and procedures for participation of local communities in water and sanitation management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LGD will require MIS on this issue from the union level</w:t>
            </w:r>
          </w:p>
        </w:tc>
      </w:tr>
      <w:tr w:rsidR="002E29BF" w:rsidRPr="00272035" w:rsidTr="006D14EE">
        <w:trPr>
          <w:trHeight w:val="71"/>
        </w:trPr>
        <w:tc>
          <w:tcPr>
            <w:tcW w:w="14873" w:type="dxa"/>
            <w:gridSpan w:val="7"/>
          </w:tcPr>
          <w:p w:rsidR="002E29BF" w:rsidRPr="00F6758C" w:rsidRDefault="002E29BF" w:rsidP="00D3064A">
            <w:pPr>
              <w:spacing w:after="0" w:line="264" w:lineRule="auto"/>
              <w:rPr>
                <w:rFonts w:ascii="Times New Roman" w:hAnsi="Times New Roman"/>
                <w:sz w:val="20"/>
                <w:szCs w:val="20"/>
                <w:lang w:val="en-GB"/>
              </w:rPr>
            </w:pPr>
            <w:r w:rsidRPr="00D75301">
              <w:rPr>
                <w:rFonts w:ascii="Times New Roman" w:hAnsi="Times New Roman"/>
                <w:b/>
                <w:bCs/>
                <w:sz w:val="26"/>
                <w:szCs w:val="20"/>
                <w:lang w:val="en-GB"/>
              </w:rPr>
              <w:t>Goal 7. Ensure access to affordable, reliable, sustainable and modern energy for all</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7.1 By 2030, ensure universal access to affordable, reliable and modern energy services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PoD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EMRD; MoST; MoFA;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7.1.1 Proportion of population with access to electricity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PoD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PoD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MoST; MoInf;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7.1.2 Proportion of population with primary reliance on clean fuels and technology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SREDA, PoD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SREDA will have to calculate from the existing data available at SREDA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7.2 By 2030, increase substantially the share of renewable energy in the global energy mix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EMRD</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ERD; MoFA; PoD;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7.2.1 Renewable energy share in the total final energy consumption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SREDA, PoD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7.3 By 2030, double the global rate of improvement in energy efficiency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Default"/>
              <w:spacing w:line="264" w:lineRule="auto"/>
              <w:rPr>
                <w:color w:val="auto"/>
                <w:sz w:val="20"/>
                <w:szCs w:val="20"/>
                <w:highlight w:val="yellow"/>
              </w:rPr>
            </w:pPr>
            <w:r w:rsidRPr="00272035">
              <w:rPr>
                <w:color w:val="auto"/>
                <w:sz w:val="20"/>
                <w:szCs w:val="20"/>
              </w:rPr>
              <w:lastRenderedPageBreak/>
              <w:t>EMRD</w:t>
            </w:r>
          </w:p>
          <w:p w:rsidR="002E29BF" w:rsidRPr="00272035" w:rsidRDefault="002E29BF" w:rsidP="00F474E8">
            <w:pPr>
              <w:rPr>
                <w:rFonts w:ascii="Times New Roman" w:hAnsi="Times New Roman"/>
                <w:strike/>
                <w:sz w:val="20"/>
                <w:szCs w:val="20"/>
                <w:highlight w:val="yellow"/>
                <w:lang w:val="en-GB"/>
              </w:rPr>
            </w:pPr>
          </w:p>
        </w:tc>
        <w:tc>
          <w:tcPr>
            <w:tcW w:w="161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  PoD </w:t>
            </w:r>
          </w:p>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7.3.1 Energy intensity measured in terms of primary energy and GDP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SREDA, PoD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BERC, PoD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HCU, EMRD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 xml:space="preserve">Calculation as meta data suggests will be required at BERC for data </w:t>
            </w:r>
            <w:r w:rsidRPr="00272035">
              <w:rPr>
                <w:rFonts w:ascii="Times New Roman" w:hAnsi="Times New Roman"/>
                <w:sz w:val="20"/>
                <w:szCs w:val="20"/>
                <w:lang w:val="en-GB"/>
              </w:rPr>
              <w:lastRenderedPageBreak/>
              <w:t xml:space="preserve">compilation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7.a By 2030, enhance international cooperation to facilitate access to clean energy research and technology, including renewable energy, energy efficiency and advanced and cleaner fossil-fuel technology, and promote investment in energy infrastructure and clean energy technology </w:t>
            </w:r>
          </w:p>
        </w:tc>
        <w:tc>
          <w:tcPr>
            <w:tcW w:w="1260" w:type="dxa"/>
          </w:tcPr>
          <w:p w:rsidR="002E29BF" w:rsidRPr="00272035" w:rsidRDefault="002E29BF" w:rsidP="00F474E8">
            <w:pPr>
              <w:pStyle w:val="NoSpacing"/>
              <w:spacing w:line="264" w:lineRule="auto"/>
              <w:jc w:val="both"/>
              <w:rPr>
                <w:rFonts w:ascii="Times New Roman" w:hAnsi="Times New Roman" w:cs="Times New Roman"/>
                <w:sz w:val="20"/>
                <w:szCs w:val="20"/>
                <w:lang w:val="en-GB"/>
              </w:rPr>
            </w:pPr>
            <w:r w:rsidRPr="00272035">
              <w:rPr>
                <w:rFonts w:ascii="Times New Roman" w:hAnsi="Times New Roman" w:cs="Times New Roman"/>
                <w:sz w:val="20"/>
                <w:szCs w:val="20"/>
                <w:lang w:val="en-GB"/>
              </w:rPr>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EMRD; MoEF; MoFA; PoD; MoST; PD;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7.a.1 Mobilized amount of United States dollars per year starting in 2020 accountable towards the $100 billion commitment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C26140">
            <w:pPr>
              <w:pStyle w:val="ListParagraph"/>
              <w:numPr>
                <w:ilvl w:val="0"/>
                <w:numId w:val="11"/>
              </w:numPr>
              <w:spacing w:after="0" w:line="264" w:lineRule="auto"/>
              <w:ind w:left="331" w:hanging="180"/>
              <w:rPr>
                <w:rFonts w:ascii="Times New Roman" w:hAnsi="Times New Roman"/>
                <w:sz w:val="20"/>
                <w:szCs w:val="20"/>
                <w:lang w:val="en-GB"/>
              </w:rPr>
            </w:pPr>
            <w:r w:rsidRPr="00272035">
              <w:rPr>
                <w:rFonts w:ascii="Times New Roman" w:hAnsi="Times New Roman"/>
                <w:sz w:val="20"/>
                <w:szCs w:val="20"/>
                <w:lang w:val="en-GB"/>
              </w:rPr>
              <w:t>Data will be required after 2020</w:t>
            </w:r>
          </w:p>
          <w:p w:rsidR="002E29BF" w:rsidRPr="00272035" w:rsidRDefault="002E29BF" w:rsidP="00C26140">
            <w:pPr>
              <w:pStyle w:val="ListParagraph"/>
              <w:numPr>
                <w:ilvl w:val="0"/>
                <w:numId w:val="11"/>
              </w:numPr>
              <w:spacing w:after="0" w:line="264" w:lineRule="auto"/>
              <w:ind w:left="331" w:hanging="180"/>
              <w:rPr>
                <w:rFonts w:ascii="Times New Roman" w:hAnsi="Times New Roman"/>
                <w:sz w:val="20"/>
                <w:szCs w:val="20"/>
                <w:lang w:val="en-GB"/>
              </w:rPr>
            </w:pPr>
            <w:r w:rsidRPr="00272035">
              <w:rPr>
                <w:rFonts w:ascii="Times New Roman" w:hAnsi="Times New Roman"/>
                <w:sz w:val="20"/>
                <w:szCs w:val="20"/>
                <w:lang w:val="en-GB"/>
              </w:rPr>
              <w:t xml:space="preserve">ERD has to track renewable energy support received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7.b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PoD; EMRD</w:t>
            </w:r>
            <w:r w:rsidRPr="00272035" w:rsidDel="00385434">
              <w:rPr>
                <w:rFonts w:ascii="Times New Roman" w:hAnsi="Times New Roman"/>
                <w:sz w:val="20"/>
                <w:szCs w:val="20"/>
                <w:lang w:val="en-GB"/>
              </w:rPr>
              <w:t xml:space="preserve"> </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ERD; IED;</w:t>
            </w:r>
            <w:r w:rsidRPr="00272035">
              <w:rPr>
                <w:rFonts w:ascii="Times New Roman" w:eastAsia="Times New Roman" w:hAnsi="Times New Roman" w:cs="Times New Roman"/>
                <w:sz w:val="20"/>
                <w:szCs w:val="20"/>
                <w:lang w:val="en-GB"/>
              </w:rPr>
              <w:t xml:space="preserve"> MoFA;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PID, MoInd (BSTI); MoST</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7.b.1 Investments in energy efficiency as a percentage of GDP and the amount of foreign direct investment in financial transfer for infrastructure and technology to sustainable development services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SREDA, PoD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BERC, PoD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BOI</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SREDA/ BERC and BOI can calculate the indicator from existing data available</w:t>
            </w:r>
          </w:p>
        </w:tc>
      </w:tr>
      <w:tr w:rsidR="002E29BF" w:rsidRPr="00272035" w:rsidTr="007543B9">
        <w:trPr>
          <w:trHeight w:val="71"/>
        </w:trPr>
        <w:tc>
          <w:tcPr>
            <w:tcW w:w="14873" w:type="dxa"/>
            <w:gridSpan w:val="7"/>
          </w:tcPr>
          <w:p w:rsidR="002E29BF" w:rsidRPr="00F6758C" w:rsidRDefault="002E29BF" w:rsidP="00D3064A">
            <w:pPr>
              <w:spacing w:after="0" w:line="264" w:lineRule="auto"/>
              <w:rPr>
                <w:rFonts w:ascii="Times New Roman" w:hAnsi="Times New Roman"/>
                <w:sz w:val="20"/>
                <w:szCs w:val="20"/>
                <w:lang w:val="en-GB"/>
              </w:rPr>
            </w:pPr>
            <w:r w:rsidRPr="00092477">
              <w:rPr>
                <w:rFonts w:ascii="Times New Roman" w:hAnsi="Times New Roman"/>
                <w:b/>
                <w:bCs/>
                <w:sz w:val="26"/>
                <w:szCs w:val="20"/>
                <w:lang w:val="en-GB"/>
              </w:rPr>
              <w:t>Goal 8. Promote sustained, inclusive and sustainable economic growth, full and productive employment and decent work for all</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8.1 Sustain per capita economic growth in accordance with national circumstances and, in </w:t>
            </w:r>
            <w:r w:rsidRPr="00272035">
              <w:rPr>
                <w:color w:val="auto"/>
                <w:sz w:val="20"/>
                <w:szCs w:val="20"/>
              </w:rPr>
              <w:lastRenderedPageBreak/>
              <w:t xml:space="preserve">particular, at least 7 per cent gross domestic product growth per annum in the least developed countries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FD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BFID(BB); GED; MoA; MoCAT; MoC; MoFL; MoInd; </w:t>
            </w:r>
            <w:r w:rsidRPr="00272035">
              <w:rPr>
                <w:rFonts w:ascii="Times New Roman" w:hAnsi="Times New Roman"/>
                <w:sz w:val="20"/>
                <w:szCs w:val="20"/>
                <w:lang w:val="en-GB"/>
              </w:rPr>
              <w:lastRenderedPageBreak/>
              <w:t>PD;  SID;MoEWOE; MoLE</w:t>
            </w:r>
          </w:p>
        </w:tc>
        <w:tc>
          <w:tcPr>
            <w:tcW w:w="2795" w:type="dxa"/>
          </w:tcPr>
          <w:p w:rsidR="002E29BF" w:rsidRPr="00272035" w:rsidRDefault="002E29BF" w:rsidP="00F474E8">
            <w:pPr>
              <w:pStyle w:val="Default"/>
              <w:rPr>
                <w:color w:val="auto"/>
                <w:sz w:val="20"/>
                <w:szCs w:val="20"/>
              </w:rPr>
            </w:pPr>
            <w:r w:rsidRPr="00272035">
              <w:rPr>
                <w:color w:val="auto"/>
                <w:sz w:val="20"/>
                <w:szCs w:val="20"/>
              </w:rPr>
              <w:lastRenderedPageBreak/>
              <w:t xml:space="preserve">8.1.1 Annual growth rate of real GDP per capita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NAW, BBS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8.2 Achieve higher levels of economic productivity through diversification, technological upgrading and innovation, including through a focus on high-value added and labour-intensive sectors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MoC;</w:t>
            </w: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MoInd; </w:t>
            </w: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MoA;</w:t>
            </w:r>
          </w:p>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MoLE; MoEWOE; MoST; SID; MoFL; ICTD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8.2.1 Annual growth rate of real GDP per employed person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NAW, BBS </w:t>
            </w:r>
          </w:p>
          <w:p w:rsidR="002E29BF" w:rsidRPr="00272035" w:rsidRDefault="002E29BF" w:rsidP="00F474E8">
            <w:pPr>
              <w:rPr>
                <w:rFonts w:ascii="Times New Roman" w:hAnsi="Times New Roman"/>
                <w:sz w:val="20"/>
                <w:szCs w:val="20"/>
                <w:lang w:val="en-GB"/>
              </w:rPr>
            </w:pPr>
            <w:r w:rsidRPr="00272035">
              <w:rPr>
                <w:rFonts w:ascii="Times New Roman" w:hAnsi="Times New Roman"/>
                <w:sz w:val="20"/>
                <w:szCs w:val="20"/>
                <w:lang w:val="en-GB"/>
              </w:rPr>
              <w:t xml:space="preserve">b) Department of labour (DoL) </w:t>
            </w:r>
          </w:p>
        </w:tc>
        <w:tc>
          <w:tcPr>
            <w:tcW w:w="2340" w:type="dxa"/>
          </w:tcPr>
          <w:p w:rsidR="002E29BF" w:rsidRPr="00272035" w:rsidRDefault="002E29BF" w:rsidP="00F474E8">
            <w:pPr>
              <w:pStyle w:val="Default"/>
              <w:rPr>
                <w:color w:val="auto"/>
                <w:sz w:val="20"/>
                <w:szCs w:val="20"/>
              </w:rPr>
            </w:pPr>
            <w:r w:rsidRPr="00272035">
              <w:rPr>
                <w:color w:val="auto"/>
                <w:sz w:val="20"/>
                <w:szCs w:val="20"/>
              </w:rPr>
              <w:t xml:space="preserve">GDP per person data is available but not GDP per employed person </w:t>
            </w:r>
          </w:p>
          <w:p w:rsidR="002E29BF" w:rsidRPr="00272035" w:rsidRDefault="002E29BF" w:rsidP="00F474E8">
            <w:pPr>
              <w:pStyle w:val="Default"/>
              <w:rPr>
                <w:color w:val="auto"/>
                <w:sz w:val="20"/>
                <w:szCs w:val="20"/>
              </w:rPr>
            </w:pPr>
          </w:p>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8.3 Promote development-oriented policies that support productive activities, decent job creation, entrepreneurship, creativity and innovation, and encourage the formalization and growth of micro-,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small-and medium-sized enterprises, including through access to financial services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GED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AWRRID; BB; BFID; IED; MoInd; MoLE; PID; PD; SEID; SID; MoST; MoYS; MoEWOE; FD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8.3.1 Proportion of informal employment in non-agriculture employment, by sex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(LFS)</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8.4 Improve progressively, through 2030, global resource efficiency in consumption and production and endeavour to decouple economic growth from environmental degradation, in accordance with the 10 Year Framework of Programmes </w:t>
            </w:r>
            <w:r w:rsidRPr="00272035">
              <w:rPr>
                <w:color w:val="auto"/>
                <w:sz w:val="20"/>
                <w:szCs w:val="20"/>
              </w:rPr>
              <w:lastRenderedPageBreak/>
              <w:t xml:space="preserve">on Sustainable Consumption and Production, with developed countries taking the lead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GED</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MoFA; ERD; MoA; MoF;MoEF</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8.4.1 Material footprint, material </w:t>
            </w:r>
            <w:r w:rsidRPr="00272035">
              <w:rPr>
                <w:color w:val="auto"/>
                <w:sz w:val="20"/>
                <w:szCs w:val="20"/>
                <w:highlight w:val="yellow"/>
              </w:rPr>
              <w:t>footprint per capita, and material footprint per GDP</w:t>
            </w:r>
            <w:r w:rsidRPr="00272035">
              <w:rPr>
                <w:color w:val="auto"/>
                <w:sz w:val="20"/>
                <w:szCs w:val="20"/>
              </w:rPr>
              <w:t xml:space="preserv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DoE </w:t>
            </w:r>
          </w:p>
        </w:tc>
        <w:tc>
          <w:tcPr>
            <w:tcW w:w="2340" w:type="dxa"/>
          </w:tcPr>
          <w:p w:rsidR="002E29BF" w:rsidRPr="00272035" w:rsidRDefault="002E29BF" w:rsidP="00C26140">
            <w:pPr>
              <w:pStyle w:val="ListParagraph"/>
              <w:numPr>
                <w:ilvl w:val="0"/>
                <w:numId w:val="20"/>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Not generated yet in BD, DoE will need support/ capacity building for measuring this vital indicator.</w:t>
            </w:r>
          </w:p>
          <w:p w:rsidR="002E29BF" w:rsidRPr="00272035" w:rsidRDefault="002E29BF" w:rsidP="00C26140">
            <w:pPr>
              <w:pStyle w:val="ListParagraph"/>
              <w:numPr>
                <w:ilvl w:val="0"/>
                <w:numId w:val="20"/>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Indicator 8.4.1 and 12.2.1 is also the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8.4.2 Domestic material consumption, domestic material consumption per capita, and domestic material consumption per GDP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C26140">
            <w:pPr>
              <w:pStyle w:val="ListParagraph"/>
              <w:numPr>
                <w:ilvl w:val="0"/>
                <w:numId w:val="20"/>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New Survey will be required to be implemented by DoE.</w:t>
            </w:r>
          </w:p>
          <w:p w:rsidR="002E29BF" w:rsidRPr="00272035" w:rsidRDefault="002E29BF" w:rsidP="00C26140">
            <w:pPr>
              <w:pStyle w:val="ListParagraph"/>
              <w:numPr>
                <w:ilvl w:val="0"/>
                <w:numId w:val="20"/>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 xml:space="preserve">Indicator 8.4.2 and 12.2.2 is also the same indicator.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8.5 By 2030, achieve full and productive employment and decent work for all women and men, including for young people and persons with disabilities, and equal pay for work of equal value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MoLE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LPAD; MoEWOE;</w:t>
            </w:r>
          </w:p>
          <w:p w:rsidR="002E29BF" w:rsidRPr="00272035" w:rsidRDefault="002E29BF" w:rsidP="00F474E8">
            <w:pPr>
              <w:tabs>
                <w:tab w:val="left" w:pos="231"/>
              </w:tabs>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MoFA; MoInd; MoSW; MoWCA; MoYS;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8.5.1 Average hourly earnings of female and male employees, by occupation, age and </w:t>
            </w:r>
            <w:r w:rsidRPr="00272035">
              <w:rPr>
                <w:color w:val="auto"/>
                <w:sz w:val="20"/>
                <w:szCs w:val="20"/>
                <w:highlight w:val="yellow"/>
              </w:rPr>
              <w:t>persons with disabilities</w:t>
            </w:r>
            <w:r w:rsidRPr="00272035">
              <w:rPr>
                <w:color w:val="auto"/>
                <w:sz w:val="20"/>
                <w:szCs w:val="20"/>
              </w:rPr>
              <w:t xml:space="preserv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(LFS)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MoSW (for administrative data)</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Modification of LFS will be required regarding disability, gender, age segregation of data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MoLE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8.5.2 Unemployment rate, by sex, age and persons with disabilities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(LFS)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MoSW (for administrative data)</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8.6 By 2020, substantially reduce the proportion of youth not in employment, education or training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MoYS; MoLE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 MoLE; MoEWOE; SID; MoInd; MoPME; ICTD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8.6.1 Proportion of youth (aged 15-24 years) not in education, employment or training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(LFS)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8.7 Take immediate and effective measures to eradicate forced labour, end modern slavery and human trafficking and secure the prohibition and elimination of the worst forms of child </w:t>
            </w:r>
            <w:r w:rsidRPr="00272035">
              <w:rPr>
                <w:color w:val="auto"/>
                <w:sz w:val="20"/>
                <w:szCs w:val="20"/>
              </w:rPr>
              <w:lastRenderedPageBreak/>
              <w:t xml:space="preserve">labour, including recruitment and use of child soldiers, and by 2025 end child labour in all its forms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MoLE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MoEWOE; MoFA; MoHA; MoWCA; SID;MoYS; MoSW</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8.7.1 Proportion and number of children aged 5-17 years engaged in child labour, by sex and age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(LFS)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 (Child Labour Survey)</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Child Labour Unit, MoLE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8.8 Protect labour rights and promote safe and secure working environments for all workers, including migrant workers, in particular women migrants, and those in precarious employment</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MoLE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MoHFW; MoEWOE; MoFA; MoHA, MoC, MoInd;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8.8.1 Frequency rates of fatal and non-fatal occupational injuries, by sex and migrant status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(LFS)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Department of Inspection for Factories and Establishment, MoLE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BMET, MoEWOE</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LFS will be required to incorporate fatal vis a vis non-fatal issues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MoLE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8.8.2 Increase in national compliance of labour rights (freedom of association and collective bargaining) based on International Labour Organization (ILO) textual sources and national legislation, by sex and migrant status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MoLE,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MoEWOE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Meta Data for this indicator suggests it as complex indicator to compute now.</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8.9 By 2030, devise and implement policies to promote sustainable tourism that creates jobs and promotes local culture and products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MoCAT; MoCA</w:t>
            </w:r>
          </w:p>
        </w:tc>
        <w:tc>
          <w:tcPr>
            <w:tcW w:w="1615" w:type="dxa"/>
          </w:tcPr>
          <w:p w:rsidR="002E29BF" w:rsidRPr="00272035" w:rsidRDefault="002E29BF" w:rsidP="00202054">
            <w:pPr>
              <w:spacing w:after="0" w:line="264" w:lineRule="auto"/>
              <w:rPr>
                <w:rFonts w:ascii="Times New Roman" w:hAnsi="Times New Roman"/>
                <w:sz w:val="20"/>
                <w:szCs w:val="20"/>
                <w:lang w:val="en-GB"/>
              </w:rPr>
            </w:pPr>
            <w:r w:rsidRPr="00272035">
              <w:rPr>
                <w:rFonts w:ascii="Times New Roman" w:hAnsi="Times New Roman"/>
                <w:sz w:val="20"/>
                <w:szCs w:val="20"/>
                <w:lang w:val="en-GB"/>
              </w:rPr>
              <w:t>MoE; MoInf; LGD; MoR; RTHD; SID; MoEF; MoCHTA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8.9.1 Tourism direct GDP as a proportion of total GDP and in growth rate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NAW, BBS </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8.9.2 Number of jobs in tourism industries as a proportion of total jobs and growth rate of jobs, by sex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(LFS)</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LFS will be required to incorporate issues related to this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8.10 Strengthen the capacity of domestic financial institutions to encourage and </w:t>
            </w:r>
            <w:r w:rsidRPr="00272035">
              <w:rPr>
                <w:color w:val="auto"/>
                <w:sz w:val="20"/>
                <w:szCs w:val="20"/>
              </w:rPr>
              <w:lastRenderedPageBreak/>
              <w:t xml:space="preserve">expand access to banking, insurance and financial services for all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BFID</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 xml:space="preserve">BB; PTD;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8.10.1 Number of commercial bank branches and automated teller machines (ATMs) per 100,000 adults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BFID (BB)</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BFID</w:t>
            </w:r>
          </w:p>
        </w:tc>
        <w:tc>
          <w:tcPr>
            <w:tcW w:w="1615" w:type="dxa"/>
          </w:tcPr>
          <w:p w:rsidR="002E29BF" w:rsidRPr="00272035" w:rsidRDefault="002E29BF" w:rsidP="00F474E8">
            <w:pPr>
              <w:pStyle w:val="NormalWeb"/>
              <w:spacing w:before="0" w:beforeAutospacing="0" w:after="0" w:afterAutospacing="0" w:line="264" w:lineRule="auto"/>
              <w:rPr>
                <w:rFonts w:ascii="Times New Roman" w:hAnsi="Times New Roman"/>
                <w:sz w:val="20"/>
                <w:szCs w:val="20"/>
                <w:lang w:val="en-GB"/>
              </w:rPr>
            </w:pPr>
            <w:r w:rsidRPr="00272035">
              <w:rPr>
                <w:rFonts w:ascii="Times New Roman" w:hAnsi="Times New Roman"/>
                <w:sz w:val="20"/>
                <w:szCs w:val="20"/>
                <w:lang w:val="en-GB"/>
              </w:rPr>
              <w:t>BB;</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8.10.2 Proportion of adults (15 years and older) with an account at a bank or other financial institution or with a mobile-money-service provider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BFID (BB)</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Data is readily available for adults of 18+ but not 15 years and older</w:t>
            </w:r>
          </w:p>
        </w:tc>
      </w:tr>
      <w:tr w:rsidR="002E29BF" w:rsidRPr="00272035" w:rsidTr="00F474E8">
        <w:trPr>
          <w:trHeight w:val="71"/>
        </w:trPr>
        <w:tc>
          <w:tcPr>
            <w:tcW w:w="2633" w:type="dxa"/>
          </w:tcPr>
          <w:p w:rsidR="002E29BF" w:rsidRPr="00272035" w:rsidRDefault="002E29BF" w:rsidP="00202054">
            <w:pPr>
              <w:pStyle w:val="Default"/>
              <w:spacing w:line="264" w:lineRule="auto"/>
              <w:rPr>
                <w:color w:val="auto"/>
                <w:sz w:val="20"/>
                <w:szCs w:val="20"/>
              </w:rPr>
            </w:pPr>
            <w:r w:rsidRPr="00272035">
              <w:rPr>
                <w:color w:val="auto"/>
                <w:sz w:val="20"/>
                <w:szCs w:val="20"/>
              </w:rPr>
              <w:t xml:space="preserve">8.a Increase Aid for Trade support for developing countries, in particular least developed countries, including through the Enhanced Integrated Framework for Trade-related Technical Assistance to Least Developed Countries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MoC</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MoFA; </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8.a.1 Aid for Trade commitments and disbursements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MoC</w:t>
            </w:r>
          </w:p>
        </w:tc>
        <w:tc>
          <w:tcPr>
            <w:tcW w:w="2340" w:type="dxa"/>
          </w:tcPr>
          <w:p w:rsidR="002E29BF" w:rsidRPr="00272035"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external resource flows as per the SDG indicators  </w:t>
            </w:r>
          </w:p>
          <w:p w:rsidR="002E29BF" w:rsidRPr="00272035" w:rsidRDefault="002E29BF" w:rsidP="00C26140">
            <w:pPr>
              <w:pStyle w:val="ListParagraph"/>
              <w:numPr>
                <w:ilvl w:val="0"/>
                <w:numId w:val="4"/>
              </w:numPr>
              <w:spacing w:after="0" w:line="264" w:lineRule="auto"/>
              <w:ind w:left="342" w:hanging="180"/>
              <w:rPr>
                <w:rFonts w:ascii="Times New Roman" w:hAnsi="Times New Roman"/>
                <w:sz w:val="20"/>
                <w:szCs w:val="20"/>
                <w:lang w:val="en-GB"/>
              </w:rPr>
            </w:pPr>
            <w:r w:rsidRPr="00272035">
              <w:rPr>
                <w:rFonts w:ascii="Times New Roman" w:hAnsi="Times New Roman"/>
                <w:sz w:val="20"/>
                <w:szCs w:val="20"/>
                <w:lang w:val="en-GB"/>
              </w:rPr>
              <w:t>ERD may also check for private sector data source if not reported to ERD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8.b By 2020, develop and operationalize a global strategy for youth employment and implement the Global Jobs Pact of the International Labour Organization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MoYS; FD;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MoEWOE; MoFA; MoLE;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8.b.1 Total government spending in social protection and employment programmes as a proportion of the national budgets and GDP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403CC2">
        <w:trPr>
          <w:trHeight w:val="71"/>
        </w:trPr>
        <w:tc>
          <w:tcPr>
            <w:tcW w:w="14873" w:type="dxa"/>
            <w:gridSpan w:val="7"/>
          </w:tcPr>
          <w:p w:rsidR="002E29BF" w:rsidRPr="00F6758C" w:rsidRDefault="002E29BF" w:rsidP="00D3064A">
            <w:pPr>
              <w:spacing w:after="0" w:line="264" w:lineRule="auto"/>
              <w:rPr>
                <w:rFonts w:ascii="Times New Roman" w:hAnsi="Times New Roman"/>
                <w:sz w:val="20"/>
                <w:szCs w:val="20"/>
                <w:lang w:val="en-GB"/>
              </w:rPr>
            </w:pPr>
            <w:r w:rsidRPr="00D75301">
              <w:rPr>
                <w:rFonts w:ascii="Times New Roman" w:hAnsi="Times New Roman"/>
                <w:b/>
                <w:bCs/>
                <w:sz w:val="26"/>
                <w:szCs w:val="20"/>
                <w:lang w:val="en-GB"/>
              </w:rPr>
              <w:t>Goal 9. Build resilient infrastructure, promote inclusive and sustainable industrialization and foster innovation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9.1 Develop quality, reliable, sustainable and resilient infrastructure, including regional and trans border infrastructure, to support economic development and </w:t>
            </w:r>
            <w:r w:rsidRPr="00272035">
              <w:rPr>
                <w:color w:val="auto"/>
                <w:sz w:val="20"/>
                <w:szCs w:val="20"/>
              </w:rPr>
              <w:lastRenderedPageBreak/>
              <w:t xml:space="preserve">human well-being, with a focus on affordable and equitable access for all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RTHD, 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BD;  MoHPW; MoR; MoS; PID; SID; MoInd (BAB);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9.1.1 Proportion of the rural population who live within 2 km of an all-season road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LGED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LGED can calculate from the existing database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RTHD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MoR; MoS;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9.1.2 Passenger and freight volumes, by mode of transport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Not Available </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BRTA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BIWTC</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 BIWTA </w:t>
            </w:r>
          </w:p>
          <w:p w:rsidR="002E29BF" w:rsidRPr="00272035" w:rsidRDefault="002E29BF" w:rsidP="00AC60F7">
            <w:pPr>
              <w:spacing w:after="0" w:line="264" w:lineRule="auto"/>
              <w:rPr>
                <w:rFonts w:ascii="Times New Roman" w:hAnsi="Times New Roman"/>
                <w:sz w:val="20"/>
                <w:szCs w:val="20"/>
                <w:lang w:val="en-GB"/>
              </w:rPr>
            </w:pPr>
            <w:r w:rsidRPr="00272035">
              <w:rPr>
                <w:rFonts w:ascii="Times New Roman" w:hAnsi="Times New Roman"/>
                <w:sz w:val="20"/>
                <w:szCs w:val="20"/>
                <w:lang w:val="en-GB"/>
              </w:rPr>
              <w:t>d) BR</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 xml:space="preserve">Private Sector Data will be required, can be coordinated by RTHD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9.2 Promote inclusive and sustainable industrialization and, by 2030, significantly raise industry’s share of employment and gross domestic product, in line with national circumstances, and double its share in least developed countries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MoInd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 GED; MoC; SID; ICTD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9.2.1 Manufacturing value added as a proportion of GDP and per capita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NAW, BBS</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MoInd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9.2.2 Manufacturing employment as a proportion of total employment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(LFS)</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9.3 Increase the access of small-scale industrial and other enterprises, in particular in developing countries, to financial services, including affordable credit, and their integration into value chains and markets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MoInd</w:t>
            </w:r>
          </w:p>
        </w:tc>
        <w:tc>
          <w:tcPr>
            <w:tcW w:w="1615" w:type="dxa"/>
          </w:tcPr>
          <w:p w:rsidR="002E29BF" w:rsidRPr="00272035" w:rsidRDefault="002E29BF" w:rsidP="00F474E8">
            <w:pPr>
              <w:spacing w:after="0" w:line="264" w:lineRule="auto"/>
              <w:rPr>
                <w:rFonts w:ascii="Times New Roman" w:hAnsi="Times New Roman"/>
                <w:b/>
                <w:bCs/>
                <w:sz w:val="20"/>
                <w:szCs w:val="20"/>
                <w:lang w:val="en-GB"/>
              </w:rPr>
            </w:pPr>
            <w:r w:rsidRPr="00272035">
              <w:rPr>
                <w:rFonts w:ascii="Times New Roman" w:hAnsi="Times New Roman"/>
                <w:sz w:val="20"/>
                <w:szCs w:val="20"/>
                <w:lang w:val="en-GB"/>
              </w:rPr>
              <w:t>BB; BFID; LGD; MoInf; ICTD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9.3.1 Proportion of small-scale industries in total industry value added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 BBS (Survey of Manufacturing Industries, SMI)</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spacing w:after="0" w:line="264" w:lineRule="auto"/>
              <w:rPr>
                <w:rFonts w:ascii="Times New Roman" w:hAnsi="Times New Roman"/>
                <w:sz w:val="20"/>
                <w:szCs w:val="20"/>
                <w:lang w:val="en-GB"/>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MoInd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 BFID; LGD;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9.3.2 Proportion of small-scale industries with a loan or line of credit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 (SMI) </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9.4 By 2030, upgrade infrastructure and retrofit </w:t>
            </w:r>
            <w:r w:rsidRPr="00272035">
              <w:rPr>
                <w:color w:val="auto"/>
                <w:sz w:val="20"/>
                <w:szCs w:val="20"/>
              </w:rPr>
              <w:lastRenderedPageBreak/>
              <w:t xml:space="preserve">industries to make them sustainable, with increased resource-use efficiency and greater adoption of clean and environmentally sound technologies and industrial processes, with all countries taking action in accordance with their respective capabilities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MoEF</w:t>
            </w:r>
          </w:p>
        </w:tc>
        <w:tc>
          <w:tcPr>
            <w:tcW w:w="1615" w:type="dxa"/>
          </w:tcPr>
          <w:p w:rsidR="002E29BF" w:rsidRPr="00272035" w:rsidRDefault="002E29BF" w:rsidP="00F474E8">
            <w:pPr>
              <w:spacing w:after="0" w:line="264" w:lineRule="auto"/>
              <w:rPr>
                <w:rFonts w:ascii="Times New Roman" w:hAnsi="Times New Roman"/>
                <w:b/>
                <w:bCs/>
                <w:sz w:val="20"/>
                <w:szCs w:val="20"/>
                <w:lang w:val="en-GB"/>
              </w:rPr>
            </w:pPr>
            <w:r w:rsidRPr="00272035">
              <w:rPr>
                <w:rFonts w:ascii="Times New Roman" w:hAnsi="Times New Roman"/>
                <w:sz w:val="20"/>
                <w:szCs w:val="20"/>
                <w:lang w:val="en-GB"/>
              </w:rPr>
              <w:t xml:space="preserve">BD; LGD; MoInd; MoS; </w:t>
            </w:r>
            <w:r w:rsidRPr="00272035">
              <w:rPr>
                <w:rFonts w:ascii="Times New Roman" w:hAnsi="Times New Roman"/>
                <w:sz w:val="20"/>
                <w:szCs w:val="20"/>
                <w:lang w:val="en-GB"/>
              </w:rPr>
              <w:lastRenderedPageBreak/>
              <w:t>RTHD; MoR</w:t>
            </w:r>
          </w:p>
        </w:tc>
        <w:tc>
          <w:tcPr>
            <w:tcW w:w="2795" w:type="dxa"/>
          </w:tcPr>
          <w:p w:rsidR="002E29BF" w:rsidRPr="00272035" w:rsidRDefault="002E29BF" w:rsidP="00F474E8">
            <w:pPr>
              <w:pStyle w:val="Default"/>
              <w:rPr>
                <w:color w:val="auto"/>
                <w:sz w:val="20"/>
                <w:szCs w:val="20"/>
              </w:rPr>
            </w:pPr>
            <w:r w:rsidRPr="00272035">
              <w:rPr>
                <w:color w:val="auto"/>
                <w:sz w:val="20"/>
                <w:szCs w:val="20"/>
              </w:rPr>
              <w:lastRenderedPageBreak/>
              <w:t>9.4.1 CO</w:t>
            </w:r>
            <w:r w:rsidRPr="00272035">
              <w:rPr>
                <w:color w:val="auto"/>
                <w:sz w:val="20"/>
                <w:szCs w:val="20"/>
                <w:vertAlign w:val="subscript"/>
              </w:rPr>
              <w:t>2</w:t>
            </w:r>
            <w:r w:rsidRPr="00272035">
              <w:rPr>
                <w:color w:val="auto"/>
                <w:sz w:val="20"/>
                <w:szCs w:val="20"/>
              </w:rPr>
              <w:t xml:space="preserve"> emission per unit of value added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DoE will have to calculate from existing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9.5 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development spending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MoST</w:t>
            </w:r>
          </w:p>
        </w:tc>
        <w:tc>
          <w:tcPr>
            <w:tcW w:w="1615"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MoA; MoE; MoInd; MoFL; SID; ICTD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9.5.1 Research and development expenditure as a proportion of GDP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NAW, BBS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FD</w:t>
            </w:r>
          </w:p>
        </w:tc>
        <w:tc>
          <w:tcPr>
            <w:tcW w:w="2340" w:type="dxa"/>
          </w:tcPr>
          <w:p w:rsidR="002E29BF" w:rsidRPr="00272035" w:rsidRDefault="002E29BF" w:rsidP="00C26140">
            <w:pPr>
              <w:pStyle w:val="ListParagraph"/>
              <w:numPr>
                <w:ilvl w:val="0"/>
                <w:numId w:val="12"/>
              </w:numPr>
              <w:spacing w:after="0" w:line="264" w:lineRule="auto"/>
              <w:ind w:left="331" w:hanging="180"/>
              <w:rPr>
                <w:rFonts w:ascii="Times New Roman" w:hAnsi="Times New Roman"/>
                <w:sz w:val="20"/>
                <w:szCs w:val="20"/>
                <w:lang w:val="en-GB"/>
              </w:rPr>
            </w:pPr>
            <w:r w:rsidRPr="00272035">
              <w:rPr>
                <w:rFonts w:ascii="Times New Roman" w:hAnsi="Times New Roman"/>
                <w:sz w:val="20"/>
                <w:szCs w:val="20"/>
                <w:lang w:val="en-GB"/>
              </w:rPr>
              <w:t xml:space="preserve">SNA 2008 is required to be adopted in NAW, BBS </w:t>
            </w:r>
          </w:p>
          <w:p w:rsidR="002E29BF" w:rsidRPr="00272035" w:rsidRDefault="002E29BF" w:rsidP="00C26140">
            <w:pPr>
              <w:pStyle w:val="ListParagraph"/>
              <w:numPr>
                <w:ilvl w:val="0"/>
                <w:numId w:val="12"/>
              </w:numPr>
              <w:spacing w:after="0" w:line="264" w:lineRule="auto"/>
              <w:ind w:left="331" w:hanging="180"/>
              <w:rPr>
                <w:rFonts w:ascii="Times New Roman" w:hAnsi="Times New Roman"/>
                <w:sz w:val="20"/>
                <w:szCs w:val="20"/>
                <w:lang w:val="en-GB"/>
              </w:rPr>
            </w:pPr>
            <w:r w:rsidRPr="00272035">
              <w:rPr>
                <w:rFonts w:ascii="Times New Roman" w:hAnsi="Times New Roman"/>
                <w:sz w:val="20"/>
                <w:szCs w:val="20"/>
                <w:lang w:val="en-GB"/>
              </w:rPr>
              <w:t>Survey initiated by BBS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MoA; MoST</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MoInd;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9.5.2 Researchers (in full-time equivalent) per million inhabitants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MoST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MoA (NARS)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UGC</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 BIDS</w:t>
            </w:r>
          </w:p>
        </w:tc>
        <w:tc>
          <w:tcPr>
            <w:tcW w:w="2340" w:type="dxa"/>
          </w:tcPr>
          <w:p w:rsidR="002E29BF" w:rsidRPr="00272035" w:rsidRDefault="002E29BF" w:rsidP="00F474E8">
            <w:pPr>
              <w:spacing w:after="0" w:line="264" w:lineRule="auto"/>
              <w:jc w:val="center"/>
              <w:rPr>
                <w:rFonts w:ascii="Times New Roman" w:hAnsi="Times New Roman"/>
                <w:strike/>
                <w:sz w:val="20"/>
                <w:szCs w:val="20"/>
                <w:lang w:val="en-GB"/>
              </w:rPr>
            </w:pPr>
            <w:r w:rsidRPr="00272035">
              <w:rPr>
                <w:rFonts w:ascii="Times New Roman" w:hAnsi="Times New Roman"/>
                <w:sz w:val="20"/>
                <w:szCs w:val="20"/>
                <w:lang w:val="en-GB"/>
              </w:rPr>
              <w:t>MoST may compile the data from other agencies and ministries to generate data for this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9.a Facilitate sustainable and resilient infrastructure development in developing </w:t>
            </w:r>
            <w:r w:rsidRPr="00272035">
              <w:rPr>
                <w:color w:val="auto"/>
                <w:sz w:val="20"/>
                <w:szCs w:val="20"/>
              </w:rPr>
              <w:lastRenderedPageBreak/>
              <w:t xml:space="preserve">countries through enhanced financial, technological and technical support to African countries, least developed countries, landlocked developing countries and small island developing States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lastRenderedPageBreak/>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BD; LGD; MoHPW; MoR; MoS; PID; </w:t>
            </w:r>
            <w:r w:rsidRPr="00272035">
              <w:rPr>
                <w:rFonts w:ascii="Times New Roman" w:hAnsi="Times New Roman"/>
                <w:sz w:val="20"/>
                <w:szCs w:val="20"/>
                <w:lang w:val="en-GB"/>
              </w:rPr>
              <w:lastRenderedPageBreak/>
              <w:t xml:space="preserve">RTHD; </w:t>
            </w:r>
          </w:p>
        </w:tc>
        <w:tc>
          <w:tcPr>
            <w:tcW w:w="2795" w:type="dxa"/>
          </w:tcPr>
          <w:p w:rsidR="002E29BF" w:rsidRPr="00272035" w:rsidRDefault="002E29BF" w:rsidP="00F474E8">
            <w:pPr>
              <w:pStyle w:val="Default"/>
              <w:rPr>
                <w:color w:val="auto"/>
                <w:sz w:val="20"/>
                <w:szCs w:val="20"/>
              </w:rPr>
            </w:pPr>
            <w:r w:rsidRPr="00272035">
              <w:rPr>
                <w:color w:val="auto"/>
                <w:sz w:val="20"/>
                <w:szCs w:val="20"/>
              </w:rPr>
              <w:lastRenderedPageBreak/>
              <w:t xml:space="preserve">9.a.1 Total official international support (official development assistance plus other official flows) to infrastructure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external resource flows data as per </w:t>
            </w:r>
            <w:r w:rsidRPr="00272035">
              <w:rPr>
                <w:rFonts w:ascii="Times New Roman" w:hAnsi="Times New Roman"/>
                <w:sz w:val="20"/>
                <w:szCs w:val="20"/>
                <w:lang w:val="en-GB"/>
              </w:rPr>
              <w:lastRenderedPageBreak/>
              <w:t xml:space="preserve">the SDG indicators  </w:t>
            </w:r>
          </w:p>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9.b Support domestic technology development, research and innovation in developing countries, including by ensuring a conducive policy environment for, inter alia, industrial diversification and value addition to commodities </w:t>
            </w: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MoST</w:t>
            </w: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ICTD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BD; ERD; LGD; MoA; MoHPW; MoInd; MoR; MoS; PID; RTHD; MoInd (DPDT);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9.b.1 Proportion of medium and high-tech industry value added in total value added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9.c Significantly increase access to information and communications technology and strive to provide universal and affordable access to the Internet in least developed countries by 2020 </w:t>
            </w:r>
          </w:p>
        </w:tc>
        <w:tc>
          <w:tcPr>
            <w:tcW w:w="1260" w:type="dxa"/>
          </w:tcPr>
          <w:p w:rsidR="002E29BF" w:rsidRPr="00272035" w:rsidRDefault="002E29BF" w:rsidP="00F474E8">
            <w:pPr>
              <w:spacing w:after="0" w:line="264" w:lineRule="auto"/>
              <w:jc w:val="both"/>
              <w:rPr>
                <w:rFonts w:ascii="Times New Roman" w:hAnsi="Times New Roman"/>
                <w:strike/>
                <w:sz w:val="20"/>
                <w:szCs w:val="20"/>
                <w:lang w:val="en-GB"/>
              </w:rPr>
            </w:pPr>
            <w:r w:rsidRPr="00272035">
              <w:rPr>
                <w:rFonts w:ascii="Times New Roman" w:hAnsi="Times New Roman"/>
                <w:sz w:val="20"/>
                <w:szCs w:val="20"/>
                <w:lang w:val="en-GB"/>
              </w:rPr>
              <w:t xml:space="preserve">ICTD; PTD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MoST; InfCom; MoR</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9.c.1 Proportion of population covered by a mobile network, by technology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BTRC, PTD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Related data is available to calculate the indicator</w:t>
            </w:r>
          </w:p>
        </w:tc>
      </w:tr>
      <w:tr w:rsidR="002E29BF" w:rsidRPr="00272035" w:rsidTr="00200702">
        <w:trPr>
          <w:trHeight w:val="71"/>
        </w:trPr>
        <w:tc>
          <w:tcPr>
            <w:tcW w:w="14873" w:type="dxa"/>
            <w:gridSpan w:val="7"/>
          </w:tcPr>
          <w:p w:rsidR="002E29BF" w:rsidRPr="00D75301" w:rsidRDefault="002E29BF" w:rsidP="00D3064A">
            <w:pPr>
              <w:spacing w:after="0" w:line="264" w:lineRule="auto"/>
              <w:rPr>
                <w:rFonts w:ascii="Times New Roman" w:hAnsi="Times New Roman"/>
                <w:sz w:val="20"/>
                <w:szCs w:val="20"/>
                <w:lang w:val="en-GB"/>
              </w:rPr>
            </w:pPr>
            <w:r w:rsidRPr="00092477">
              <w:rPr>
                <w:rFonts w:ascii="Times New Roman" w:hAnsi="Times New Roman"/>
                <w:b/>
                <w:bCs/>
                <w:sz w:val="26"/>
                <w:szCs w:val="20"/>
                <w:lang w:val="en-GB"/>
              </w:rPr>
              <w:t>Goal 10. Reduce inequality within and among countries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10.1 By 2030, progressively achieve and sustain income growth of the bottom 40 percent of the population at a rate higher than the national </w:t>
            </w:r>
            <w:r w:rsidRPr="00272035">
              <w:rPr>
                <w:color w:val="auto"/>
                <w:sz w:val="20"/>
                <w:szCs w:val="20"/>
              </w:rPr>
              <w:lastRenderedPageBreak/>
              <w:t xml:space="preserve">average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GED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FD;LGD; MoA; MoCHTA; MoCA; MoFL; MoHFW; MoLE; </w:t>
            </w:r>
            <w:r w:rsidRPr="00272035">
              <w:rPr>
                <w:rFonts w:ascii="Times New Roman" w:hAnsi="Times New Roman"/>
                <w:sz w:val="20"/>
                <w:szCs w:val="20"/>
                <w:lang w:val="en-GB"/>
              </w:rPr>
              <w:lastRenderedPageBreak/>
              <w:t xml:space="preserve">MoLWA;MoSW: MoWCA; PD; SID; </w:t>
            </w:r>
          </w:p>
        </w:tc>
        <w:tc>
          <w:tcPr>
            <w:tcW w:w="2795" w:type="dxa"/>
          </w:tcPr>
          <w:p w:rsidR="002E29BF" w:rsidRPr="00272035" w:rsidRDefault="002E29BF" w:rsidP="00F474E8">
            <w:pPr>
              <w:pStyle w:val="Default"/>
              <w:rPr>
                <w:color w:val="auto"/>
                <w:sz w:val="20"/>
                <w:szCs w:val="20"/>
              </w:rPr>
            </w:pPr>
            <w:r w:rsidRPr="00272035">
              <w:rPr>
                <w:color w:val="auto"/>
                <w:sz w:val="20"/>
                <w:szCs w:val="20"/>
              </w:rPr>
              <w:lastRenderedPageBreak/>
              <w:t xml:space="preserve">10.1.1 Growth rates of household expenditure or income per capita among the bottom 40 per cent of the population and the total </w:t>
            </w:r>
            <w:r w:rsidRPr="00272035">
              <w:rPr>
                <w:color w:val="auto"/>
                <w:sz w:val="20"/>
                <w:szCs w:val="20"/>
              </w:rPr>
              <w:lastRenderedPageBreak/>
              <w:t xml:space="preserve">population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BBS (HIES) </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10.2 By 2030, empower and promote the social, economic and political inclusion of all, irrespective of age, sex, disability, race, ethnicity, origin, religion or economic or other status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LGD; MoA; MoCHTA; MoCA; MoFL; MoHFW; MoLE; MoLWA; MoPA; MoRA; MoSW; MoWCA; PD; SID; MoInd (BITAC);MoFA;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10.2.1 Proportion of people living below 50 per cent of median income, by age, sex and persons with disabilities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(HIES)</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Modification of HIES is required to cope with the indicator, especially for data segregation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10.3 Ensure equal opportunity and reduce inequalities of outcome, including by eliminating discriminatory laws, policies and practices and promoting appropriate legislation, policies and action in this regard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LJD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CD; LPAD; MoPA; MoWCA; SID;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10.3.1 Proportion of the population reporting having personally felt discriminated against or harassed within the previous 12 months on the basis of a ground of discrimination prohibited under international human rights law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MoFA (UPR)</w:t>
            </w:r>
          </w:p>
        </w:tc>
        <w:tc>
          <w:tcPr>
            <w:tcW w:w="2340" w:type="dxa"/>
          </w:tcPr>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New Survey by BBS will be required regarding security and human rights</w:t>
            </w:r>
          </w:p>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10.3.1 and 16.b.1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10.4 Adopt policies, especially fiscal, wage and social protection policies, and progressively achieve greater equality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CD; FD; MoLE; MoSW; PD; IRD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10.4.1 Labour share of GDP, comprising wages and social protection transfers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NAW, BBS</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10.5 Improve the regulation and monitoring of global financial markets and </w:t>
            </w:r>
            <w:r w:rsidRPr="00272035">
              <w:rPr>
                <w:color w:val="auto"/>
                <w:sz w:val="20"/>
                <w:szCs w:val="20"/>
              </w:rPr>
              <w:lastRenderedPageBreak/>
              <w:t xml:space="preserve">institutions and strengthen the implementation of such regulations </w:t>
            </w:r>
          </w:p>
        </w:tc>
        <w:tc>
          <w:tcPr>
            <w:tcW w:w="1260" w:type="dxa"/>
          </w:tcPr>
          <w:p w:rsidR="002E29BF" w:rsidRPr="00272035" w:rsidRDefault="002E29BF" w:rsidP="00F474E8">
            <w:pPr>
              <w:spacing w:after="0" w:line="264" w:lineRule="auto"/>
              <w:rPr>
                <w:rFonts w:ascii="Times New Roman" w:hAnsi="Times New Roman"/>
                <w:b/>
                <w:sz w:val="20"/>
                <w:szCs w:val="20"/>
                <w:lang w:val="en-GB"/>
              </w:rPr>
            </w:pPr>
            <w:r w:rsidRPr="00272035">
              <w:rPr>
                <w:rFonts w:ascii="Times New Roman" w:hAnsi="Times New Roman"/>
                <w:sz w:val="20"/>
                <w:szCs w:val="20"/>
                <w:lang w:val="en-GB"/>
              </w:rPr>
              <w:lastRenderedPageBreak/>
              <w:t>FD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MoFA; BFID; BB</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10.5.1 Financial Soundness Indicators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BB</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Specification of Financial soundness indicators data (IMF etc.) is required, </w:t>
            </w:r>
            <w:r w:rsidRPr="00272035">
              <w:rPr>
                <w:rFonts w:ascii="Times New Roman" w:hAnsi="Times New Roman"/>
                <w:sz w:val="20"/>
                <w:szCs w:val="20"/>
                <w:lang w:val="en-GB"/>
              </w:rPr>
              <w:lastRenderedPageBreak/>
              <w:t>which can be suggested by FD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10.6 Ensure enhanced representation and voice for developing countries in decision-making in global international economic and financial institutions in order to deliver more effective, credible, accountable and legitimate institutions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 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 MoFA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10.6.1 Proportion of members and voting rights of developing countries in international organizations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ERD</w:t>
            </w:r>
          </w:p>
        </w:tc>
        <w:tc>
          <w:tcPr>
            <w:tcW w:w="2340" w:type="dxa"/>
          </w:tcPr>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Global indicators for international comparison, to be calculated by UN.</w:t>
            </w:r>
          </w:p>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10.6.1 and 16.8.1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10.7 Facilitate orderly, safe, regular and responsible migration and mobility of people, including through the implementation of planned and well-managed migration policies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MoEWOE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MoFA; MoE; MoHA; MoInf; MoPA;MoCAT</w:t>
            </w:r>
          </w:p>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10.7.1 Recruitment cost borne by employee as a proportion of yearly income earned in country of destination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BMET, MoEWOE</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MoEWOE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MoFA;  </w:t>
            </w:r>
          </w:p>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10.7.2 Number of countries that have implemented well-managed migration policies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MoEWOE</w:t>
            </w:r>
          </w:p>
        </w:tc>
        <w:tc>
          <w:tcPr>
            <w:tcW w:w="2340" w:type="dxa"/>
          </w:tcPr>
          <w:p w:rsidR="002E29BF" w:rsidRPr="00272035" w:rsidRDefault="002E29BF" w:rsidP="00C26140">
            <w:pPr>
              <w:pStyle w:val="Default"/>
              <w:numPr>
                <w:ilvl w:val="0"/>
                <w:numId w:val="1"/>
              </w:numPr>
              <w:ind w:left="162" w:hanging="162"/>
              <w:rPr>
                <w:color w:val="auto"/>
                <w:sz w:val="20"/>
                <w:szCs w:val="20"/>
              </w:rPr>
            </w:pPr>
            <w:r w:rsidRPr="00272035">
              <w:rPr>
                <w:bCs/>
                <w:color w:val="auto"/>
                <w:sz w:val="20"/>
                <w:szCs w:val="20"/>
              </w:rPr>
              <w:t xml:space="preserve">International Migration Policy Index is required to measure this indicator. </w:t>
            </w:r>
          </w:p>
          <w:p w:rsidR="002E29BF" w:rsidRPr="00272035" w:rsidRDefault="002E29BF" w:rsidP="00C26140">
            <w:pPr>
              <w:pStyle w:val="ListParagraph"/>
              <w:numPr>
                <w:ilvl w:val="0"/>
                <w:numId w:val="1"/>
              </w:numPr>
              <w:spacing w:after="0" w:line="264" w:lineRule="auto"/>
              <w:ind w:left="162" w:hanging="162"/>
              <w:rPr>
                <w:rFonts w:ascii="Times New Roman" w:hAnsi="Times New Roman"/>
                <w:sz w:val="20"/>
                <w:szCs w:val="20"/>
                <w:lang w:val="en-GB"/>
              </w:rPr>
            </w:pPr>
            <w:r w:rsidRPr="00272035">
              <w:rPr>
                <w:rFonts w:ascii="Times New Roman" w:hAnsi="Times New Roman"/>
                <w:sz w:val="20"/>
                <w:szCs w:val="20"/>
                <w:lang w:val="en-GB"/>
              </w:rPr>
              <w:t>Absence of Migration policies(both immigration and emigration) in Bangladesh</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10.a Implement the principle of special and differential treatment for developing </w:t>
            </w:r>
            <w:r w:rsidRPr="00272035">
              <w:rPr>
                <w:color w:val="auto"/>
                <w:sz w:val="20"/>
                <w:szCs w:val="20"/>
              </w:rPr>
              <w:lastRenderedPageBreak/>
              <w:t xml:space="preserve">countries, in particular least developed countries, in accordance with World Trade Organization agreements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MoC</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MoFA; </w:t>
            </w:r>
          </w:p>
        </w:tc>
        <w:tc>
          <w:tcPr>
            <w:tcW w:w="2795" w:type="dxa"/>
          </w:tcPr>
          <w:p w:rsidR="002E29BF" w:rsidRPr="00272035" w:rsidRDefault="002E29BF" w:rsidP="00F474E8">
            <w:pPr>
              <w:pStyle w:val="Default"/>
              <w:rPr>
                <w:color w:val="auto"/>
                <w:sz w:val="20"/>
                <w:szCs w:val="20"/>
              </w:rPr>
            </w:pPr>
            <w:r w:rsidRPr="00272035">
              <w:rPr>
                <w:color w:val="auto"/>
                <w:sz w:val="20"/>
                <w:szCs w:val="20"/>
              </w:rPr>
              <w:t>10.a.1 Proportion of tariff lines applied to imports from least developed countries and developing countries with zero-</w:t>
            </w:r>
            <w:r w:rsidRPr="00272035">
              <w:rPr>
                <w:color w:val="auto"/>
                <w:sz w:val="20"/>
                <w:szCs w:val="20"/>
              </w:rPr>
              <w:lastRenderedPageBreak/>
              <w:t xml:space="preserve">tariff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WTO Cell, MoC</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10.b Encourage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GED; PMO;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10.b.1 Total resource flows for development, by recipient and donor countries and type of flow (e.g. official development assistance, foreign direct investment and other flows)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BOI</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10.c By 2030, reduce to less than 3 per cent the transaction costs of migrant remittances and eliminate remittance corridors with costs higher than 5 per cent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BFID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MoFA; MoEWOE;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10.c.1 Remittance costs as a proportion of the amount remitted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164A1C">
        <w:trPr>
          <w:trHeight w:val="71"/>
        </w:trPr>
        <w:tc>
          <w:tcPr>
            <w:tcW w:w="14873" w:type="dxa"/>
            <w:gridSpan w:val="7"/>
          </w:tcPr>
          <w:p w:rsidR="002E29BF" w:rsidRPr="002E29BF" w:rsidRDefault="002E29BF" w:rsidP="00D3064A">
            <w:pPr>
              <w:spacing w:after="0" w:line="264" w:lineRule="auto"/>
              <w:rPr>
                <w:rFonts w:ascii="Times New Roman" w:hAnsi="Times New Roman"/>
                <w:sz w:val="20"/>
                <w:szCs w:val="20"/>
                <w:lang w:val="en-GB"/>
              </w:rPr>
            </w:pPr>
            <w:r w:rsidRPr="002E29BF">
              <w:rPr>
                <w:rFonts w:ascii="Times New Roman" w:hAnsi="Times New Roman"/>
                <w:b/>
                <w:bCs/>
                <w:sz w:val="26"/>
                <w:szCs w:val="20"/>
              </w:rPr>
              <w:t xml:space="preserve">Goal 11. </w:t>
            </w:r>
            <w:r w:rsidRPr="002E29BF">
              <w:rPr>
                <w:rFonts w:ascii="Times New Roman" w:hAnsi="Times New Roman"/>
                <w:b/>
                <w:sz w:val="26"/>
                <w:szCs w:val="20"/>
              </w:rPr>
              <w:t>Make cities and human settlements inclusive, safe, resilient and sustainable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11.1 By 2030, ensure access for all to adequate, safe and affordable housing and basic services and upgrade slums</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MoHPW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LJD; LPAD; LGD;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11.1.1 Proportion of urban population living in slums, informal settlements or inadequate housing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(Slum Census)</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 xml:space="preserve">Regular Survey will be Required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11.2 By 2030, provide access to safe, affordable, accessible </w:t>
            </w:r>
            <w:r w:rsidRPr="00272035">
              <w:rPr>
                <w:color w:val="auto"/>
                <w:sz w:val="20"/>
                <w:szCs w:val="20"/>
              </w:rPr>
              <w:lastRenderedPageBreak/>
              <w:t xml:space="preserve">and sustainable transport systems for all, improving road safety, notably by expanding public transport, with special attention to the needs of those in vulnerable situations, women, children, persons with disabilities and older persons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RTHD,  MoR</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 MoHA; BD; MoS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11.2.1 Proportion of population that has convenient access to </w:t>
            </w:r>
            <w:r w:rsidRPr="00272035">
              <w:rPr>
                <w:color w:val="auto"/>
                <w:sz w:val="20"/>
                <w:szCs w:val="20"/>
              </w:rPr>
              <w:lastRenderedPageBreak/>
              <w:t xml:space="preserve">public transport, by sex, age and persons with disabilities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BRTA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BRTC</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 xml:space="preserve">c) BIWTA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d) BIWTC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 BR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 CAAB</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C26140">
            <w:pPr>
              <w:pStyle w:val="ListParagraph"/>
              <w:numPr>
                <w:ilvl w:val="0"/>
                <w:numId w:val="13"/>
              </w:numPr>
              <w:spacing w:after="0" w:line="264" w:lineRule="auto"/>
              <w:ind w:left="331" w:hanging="180"/>
              <w:rPr>
                <w:rFonts w:ascii="Times New Roman" w:hAnsi="Times New Roman"/>
                <w:sz w:val="20"/>
                <w:szCs w:val="20"/>
                <w:lang w:val="en-GB"/>
              </w:rPr>
            </w:pPr>
            <w:r w:rsidRPr="00272035">
              <w:rPr>
                <w:rFonts w:ascii="Times New Roman" w:hAnsi="Times New Roman"/>
                <w:sz w:val="20"/>
                <w:szCs w:val="20"/>
                <w:lang w:val="en-GB"/>
              </w:rPr>
              <w:lastRenderedPageBreak/>
              <w:t>Proxy Indicator may be required</w:t>
            </w:r>
          </w:p>
          <w:p w:rsidR="002E29BF" w:rsidRPr="00272035" w:rsidRDefault="002E29BF" w:rsidP="00C26140">
            <w:pPr>
              <w:pStyle w:val="ListParagraph"/>
              <w:numPr>
                <w:ilvl w:val="0"/>
                <w:numId w:val="13"/>
              </w:numPr>
              <w:spacing w:after="0" w:line="264" w:lineRule="auto"/>
              <w:ind w:left="331" w:hanging="180"/>
              <w:rPr>
                <w:rFonts w:ascii="Times New Roman" w:hAnsi="Times New Roman"/>
                <w:sz w:val="20"/>
                <w:szCs w:val="20"/>
                <w:lang w:val="en-GB"/>
              </w:rPr>
            </w:pPr>
            <w:r w:rsidRPr="00272035">
              <w:rPr>
                <w:rFonts w:ascii="Times New Roman" w:hAnsi="Times New Roman"/>
                <w:sz w:val="20"/>
                <w:szCs w:val="20"/>
                <w:lang w:val="en-GB"/>
              </w:rPr>
              <w:lastRenderedPageBreak/>
              <w:t xml:space="preserve">RTHD may do the Data consolidation </w:t>
            </w:r>
          </w:p>
          <w:p w:rsidR="002E29BF" w:rsidRPr="00272035" w:rsidRDefault="002E29BF" w:rsidP="00F474E8">
            <w:pPr>
              <w:spacing w:after="0" w:line="264" w:lineRule="auto"/>
              <w:ind w:left="331" w:hanging="180"/>
              <w:jc w:val="center"/>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11.3 By 2030, enhance inclusive and sustainable urbanization and capacity for participatory, integrated and sustainable human settlement planning and management in all countries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MoHPW</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LGD; MoL;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11.3.1 Ratio of land consumption rate to population growth rate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MoL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MoHPW</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MoHPW can calculate from existing data available with the Development Authorities, i.e. RAJUK, CDA, KDA etc.</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11.3.2 Proportion of cities with a direct participation structure of civil society in urban planning and management that operate regularly and democratically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 xml:space="preserve">Proxy Indicator may be required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11.4 Strengthen efforts to protect and safeguard the world’s cultural and natural heritage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 MoPME; MoRA; MoYS; MoFA;  MoCAT</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11.4.1 Total expenditure (public and private) per capita spent on the preservation, protection and conservation of all cultural and natural heritage, by type of heritage (cultural, natural, mixed and World Heritage Centre designation), level of government (national, regional and local/municipal), type of expenditure (operating </w:t>
            </w:r>
            <w:r w:rsidRPr="00272035">
              <w:rPr>
                <w:color w:val="auto"/>
                <w:sz w:val="20"/>
                <w:szCs w:val="20"/>
              </w:rPr>
              <w:lastRenderedPageBreak/>
              <w:t xml:space="preserve">expenditure/investment) and type of private funding (donations in kind, private non-profit sector and sponsorship)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 MoCA</w:t>
            </w:r>
          </w:p>
        </w:tc>
        <w:tc>
          <w:tcPr>
            <w:tcW w:w="2340" w:type="dxa"/>
          </w:tcPr>
          <w:p w:rsidR="002E29BF" w:rsidRPr="00272035" w:rsidRDefault="002E29BF" w:rsidP="00F474E8">
            <w:pPr>
              <w:spacing w:after="0" w:line="264" w:lineRule="auto"/>
              <w:jc w:val="center"/>
              <w:rPr>
                <w:rFonts w:ascii="Times New Roman" w:hAnsi="Times New Roman"/>
                <w:sz w:val="20"/>
                <w:szCs w:val="20"/>
                <w:lang w:val="en-GB"/>
              </w:rPr>
            </w:pPr>
            <w:r w:rsidRPr="00272035">
              <w:rPr>
                <w:rFonts w:ascii="Times New Roman" w:hAnsi="Times New Roman"/>
                <w:sz w:val="20"/>
                <w:szCs w:val="20"/>
                <w:lang w:val="en-GB"/>
              </w:rPr>
              <w:t>FD can calculate as the meta data formula suggests from the budget/expenditure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11.5 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MoDMR</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MoHA; MoS; MoWR, MoD</w:t>
            </w:r>
          </w:p>
        </w:tc>
        <w:tc>
          <w:tcPr>
            <w:tcW w:w="2795" w:type="dxa"/>
          </w:tcPr>
          <w:p w:rsidR="002E29BF" w:rsidRPr="00272035" w:rsidRDefault="002E29BF" w:rsidP="00F474E8">
            <w:pPr>
              <w:pStyle w:val="Default"/>
              <w:rPr>
                <w:color w:val="auto"/>
                <w:sz w:val="20"/>
                <w:szCs w:val="20"/>
              </w:rPr>
            </w:pPr>
            <w:r w:rsidRPr="00272035">
              <w:rPr>
                <w:color w:val="auto"/>
                <w:sz w:val="20"/>
                <w:szCs w:val="20"/>
              </w:rPr>
              <w:t>11.5.1 Number of deaths, missing persons and persons affected by disaster per 100,000 people</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DDM, MoDMR</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 (ICCHL)</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MIS, DGHS</w:t>
            </w:r>
          </w:p>
        </w:tc>
        <w:tc>
          <w:tcPr>
            <w:tcW w:w="2340" w:type="dxa"/>
          </w:tcPr>
          <w:p w:rsidR="002E29BF" w:rsidRPr="00272035" w:rsidRDefault="002E29BF"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 xml:space="preserve">Proxy may come from DDM </w:t>
            </w:r>
          </w:p>
          <w:p w:rsidR="002E29BF" w:rsidRPr="00272035" w:rsidRDefault="002E29BF"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13.1.2, 1.5.1 and 11.5.1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Default"/>
              <w:spacing w:line="264" w:lineRule="auto"/>
              <w:rPr>
                <w:color w:val="auto"/>
                <w:sz w:val="20"/>
                <w:szCs w:val="20"/>
              </w:rPr>
            </w:pPr>
          </w:p>
        </w:tc>
        <w:tc>
          <w:tcPr>
            <w:tcW w:w="1615" w:type="dxa"/>
          </w:tcPr>
          <w:p w:rsidR="002E29BF" w:rsidRPr="00272035" w:rsidRDefault="002E29BF" w:rsidP="00F474E8">
            <w:pPr>
              <w:pStyle w:val="Default"/>
              <w:spacing w:line="264" w:lineRule="auto"/>
              <w:rPr>
                <w:color w:val="auto"/>
                <w:sz w:val="20"/>
                <w:szCs w:val="20"/>
              </w:rPr>
            </w:pPr>
          </w:p>
        </w:tc>
        <w:tc>
          <w:tcPr>
            <w:tcW w:w="2795" w:type="dxa"/>
          </w:tcPr>
          <w:p w:rsidR="002E29BF" w:rsidRPr="00272035" w:rsidRDefault="002E29BF" w:rsidP="00F474E8">
            <w:pPr>
              <w:pStyle w:val="Default"/>
              <w:rPr>
                <w:color w:val="auto"/>
                <w:sz w:val="20"/>
                <w:szCs w:val="20"/>
              </w:rPr>
            </w:pPr>
            <w:r w:rsidRPr="00272035">
              <w:rPr>
                <w:color w:val="auto"/>
                <w:sz w:val="20"/>
                <w:szCs w:val="20"/>
              </w:rPr>
              <w:t>11.5.2 Direct disaster economic loss in relation to global GDP, including disaster damage to critical infrastructure and disruption of basic services</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SID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DDM, MoDMR</w:t>
            </w:r>
          </w:p>
        </w:tc>
        <w:tc>
          <w:tcPr>
            <w:tcW w:w="2340" w:type="dxa"/>
          </w:tcPr>
          <w:p w:rsidR="002E29BF" w:rsidRPr="00272035" w:rsidRDefault="002E29BF"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BBS, SID will have to calculate the indicator on available data</w:t>
            </w:r>
          </w:p>
          <w:p w:rsidR="002E29BF" w:rsidRPr="00272035" w:rsidRDefault="002E29BF" w:rsidP="00C26140">
            <w:pPr>
              <w:pStyle w:val="ListParagraph"/>
              <w:numPr>
                <w:ilvl w:val="0"/>
                <w:numId w:val="5"/>
              </w:numPr>
              <w:spacing w:after="0" w:line="264" w:lineRule="auto"/>
              <w:ind w:left="260" w:hanging="180"/>
              <w:rPr>
                <w:rFonts w:ascii="Times New Roman" w:hAnsi="Times New Roman"/>
                <w:sz w:val="20"/>
                <w:szCs w:val="20"/>
                <w:lang w:val="en-GB"/>
              </w:rPr>
            </w:pPr>
            <w:r w:rsidRPr="00272035">
              <w:rPr>
                <w:rFonts w:ascii="Times New Roman" w:hAnsi="Times New Roman"/>
                <w:sz w:val="20"/>
                <w:szCs w:val="20"/>
                <w:lang w:val="en-GB"/>
              </w:rPr>
              <w:t xml:space="preserve">11.5.2 </w:t>
            </w:r>
            <w:r w:rsidRPr="00272035">
              <w:rPr>
                <w:rFonts w:ascii="Times New Roman" w:hAnsi="Times New Roman"/>
                <w:sz w:val="20"/>
                <w:szCs w:val="20"/>
                <w:lang w:val="en-GB"/>
              </w:rPr>
              <w:t xml:space="preserve">and 1.5.2 </w:t>
            </w:r>
            <w:r w:rsidRPr="00272035">
              <w:rPr>
                <w:rFonts w:ascii="Times New Roman" w:hAnsi="Times New Roman"/>
                <w:sz w:val="20"/>
                <w:szCs w:val="20"/>
                <w:lang w:val="en-GB"/>
              </w:rPr>
              <w:t>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11.6 By 2030, reduce the adverse per capita environmental impact of cities, including by paying special attention to air quality and municipal and other waste management </w:t>
            </w:r>
          </w:p>
        </w:tc>
        <w:tc>
          <w:tcPr>
            <w:tcW w:w="1260" w:type="dxa"/>
          </w:tcPr>
          <w:p w:rsidR="002E29BF" w:rsidRPr="00272035" w:rsidRDefault="002E29BF" w:rsidP="00F474E8">
            <w:pPr>
              <w:pStyle w:val="Default"/>
              <w:spacing w:line="264" w:lineRule="auto"/>
              <w:rPr>
                <w:color w:val="auto"/>
                <w:sz w:val="20"/>
                <w:szCs w:val="20"/>
              </w:rPr>
            </w:pPr>
            <w:r w:rsidRPr="00272035">
              <w:rPr>
                <w:color w:val="auto"/>
                <w:sz w:val="20"/>
                <w:szCs w:val="20"/>
              </w:rPr>
              <w:t>LGD</w:t>
            </w:r>
          </w:p>
        </w:tc>
        <w:tc>
          <w:tcPr>
            <w:tcW w:w="1615" w:type="dxa"/>
          </w:tcPr>
          <w:p w:rsidR="002E29BF" w:rsidRPr="00272035" w:rsidRDefault="002E29BF" w:rsidP="00F474E8">
            <w:pPr>
              <w:pStyle w:val="Default"/>
              <w:spacing w:line="264" w:lineRule="auto"/>
              <w:rPr>
                <w:color w:val="auto"/>
                <w:sz w:val="20"/>
                <w:szCs w:val="20"/>
              </w:rPr>
            </w:pPr>
            <w:r w:rsidRPr="00272035">
              <w:rPr>
                <w:color w:val="auto"/>
                <w:sz w:val="20"/>
                <w:szCs w:val="20"/>
              </w:rPr>
              <w:t>MoEF; MoInd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11.6.1 Proportion of urban solid waste regularly collected and with adequate final discharge out of total urban solid waste generated, by cities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 (City Corporations)</w:t>
            </w:r>
          </w:p>
        </w:tc>
        <w:tc>
          <w:tcPr>
            <w:tcW w:w="2340" w:type="dxa"/>
          </w:tcPr>
          <w:p w:rsidR="002E29BF" w:rsidRPr="00272035" w:rsidRDefault="002E29BF" w:rsidP="00C26140">
            <w:pPr>
              <w:pStyle w:val="Default"/>
              <w:numPr>
                <w:ilvl w:val="0"/>
                <w:numId w:val="5"/>
              </w:numPr>
              <w:ind w:left="286" w:hanging="180"/>
              <w:rPr>
                <w:color w:val="auto"/>
                <w:sz w:val="20"/>
                <w:szCs w:val="20"/>
              </w:rPr>
            </w:pPr>
            <w:r w:rsidRPr="00272035">
              <w:rPr>
                <w:color w:val="auto"/>
                <w:sz w:val="20"/>
                <w:szCs w:val="20"/>
              </w:rPr>
              <w:t xml:space="preserve">Data is available with City Corporations, need to calculated as meta data suggested formula </w:t>
            </w:r>
          </w:p>
          <w:p w:rsidR="002E29BF" w:rsidRPr="00272035" w:rsidRDefault="002E29BF" w:rsidP="00C26140">
            <w:pPr>
              <w:pStyle w:val="Default"/>
              <w:numPr>
                <w:ilvl w:val="0"/>
                <w:numId w:val="5"/>
              </w:numPr>
              <w:ind w:left="286" w:hanging="180"/>
              <w:rPr>
                <w:color w:val="auto"/>
                <w:sz w:val="20"/>
                <w:szCs w:val="20"/>
              </w:rPr>
            </w:pPr>
            <w:r w:rsidRPr="00272035">
              <w:rPr>
                <w:color w:val="auto"/>
                <w:sz w:val="20"/>
                <w:szCs w:val="20"/>
              </w:rPr>
              <w:t xml:space="preserve">Data disaggregated by E-waste and non-E-waste will be required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11.6.2 Annual mean levels of fine particulate matter (e.g. PM2.5 and PM10) in cities </w:t>
            </w:r>
            <w:r w:rsidRPr="00272035">
              <w:rPr>
                <w:color w:val="auto"/>
                <w:sz w:val="20"/>
                <w:szCs w:val="20"/>
              </w:rPr>
              <w:lastRenderedPageBreak/>
              <w:t xml:space="preserve">(population weighted)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F474E8">
            <w:pPr>
              <w:pStyle w:val="Default"/>
              <w:rPr>
                <w:color w:val="auto"/>
                <w:sz w:val="20"/>
                <w:szCs w:val="20"/>
              </w:rPr>
            </w:pPr>
            <w:r w:rsidRPr="00272035">
              <w:rPr>
                <w:color w:val="auto"/>
                <w:sz w:val="20"/>
                <w:szCs w:val="20"/>
              </w:rPr>
              <w:t>DoE has to calculate PM10 or PM2.5</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11.7 By 2030, provide universal access to safe, inclusive and accessible, green and public spaces, in particular for women and children, older persons and persons with disabilities </w:t>
            </w:r>
          </w:p>
        </w:tc>
        <w:tc>
          <w:tcPr>
            <w:tcW w:w="1260"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LGD</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MoEF; MoHPW; MoL; MoSW; MoWCA;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11.7.1 Average share of the built-up area of cities that is open space for public use for all, by sex, age and persons with disabilities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LGD (City Corporations),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MoHPW (Development Authorities, i.e. RAJUK, CDA, KDA etc.)</w:t>
            </w:r>
          </w:p>
        </w:tc>
        <w:tc>
          <w:tcPr>
            <w:tcW w:w="2340" w:type="dxa"/>
          </w:tcPr>
          <w:p w:rsidR="002E29BF" w:rsidRPr="00272035" w:rsidRDefault="002E29BF" w:rsidP="00C26140">
            <w:pPr>
              <w:pStyle w:val="Default"/>
              <w:numPr>
                <w:ilvl w:val="0"/>
                <w:numId w:val="5"/>
              </w:numPr>
              <w:ind w:left="286" w:hanging="180"/>
              <w:rPr>
                <w:color w:val="auto"/>
                <w:sz w:val="20"/>
                <w:szCs w:val="20"/>
              </w:rPr>
            </w:pPr>
            <w:r w:rsidRPr="00272035">
              <w:rPr>
                <w:color w:val="auto"/>
                <w:sz w:val="20"/>
                <w:szCs w:val="20"/>
              </w:rPr>
              <w:t xml:space="preserve">LGD can take the lead and collect data from City Corporations and calculate this indicator centrally </w:t>
            </w:r>
          </w:p>
          <w:p w:rsidR="002E29BF" w:rsidRPr="00272035" w:rsidRDefault="002E29BF" w:rsidP="00C26140">
            <w:pPr>
              <w:pStyle w:val="Default"/>
              <w:numPr>
                <w:ilvl w:val="0"/>
                <w:numId w:val="5"/>
              </w:numPr>
              <w:ind w:left="286" w:hanging="180"/>
              <w:rPr>
                <w:color w:val="auto"/>
                <w:sz w:val="20"/>
                <w:szCs w:val="20"/>
              </w:rPr>
            </w:pPr>
            <w:r w:rsidRPr="00272035">
              <w:rPr>
                <w:color w:val="auto"/>
                <w:sz w:val="20"/>
                <w:szCs w:val="20"/>
              </w:rPr>
              <w:t>Data segregation will also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MoHA;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11.7.2 Proportion of persons victim of physical or sexual harassment, by sex, age, disability status and place of occurrence, in the previous 12 months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VAW, 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Data segregation by sex, age, disability status and place of occurrence will also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11.a Support positive economic, social and environmental links between urban, peri-urban and rural areas by strengthening national and regional development planning </w:t>
            </w:r>
          </w:p>
        </w:tc>
        <w:tc>
          <w:tcPr>
            <w:tcW w:w="1260" w:type="dxa"/>
          </w:tcPr>
          <w:p w:rsidR="002E29BF" w:rsidRPr="00272035" w:rsidRDefault="002E29BF" w:rsidP="00F474E8">
            <w:pPr>
              <w:pStyle w:val="Default"/>
              <w:spacing w:line="264" w:lineRule="auto"/>
              <w:rPr>
                <w:color w:val="auto"/>
                <w:sz w:val="20"/>
                <w:szCs w:val="20"/>
              </w:rPr>
            </w:pPr>
            <w:r w:rsidRPr="00272035">
              <w:rPr>
                <w:color w:val="auto"/>
                <w:sz w:val="20"/>
                <w:szCs w:val="20"/>
              </w:rPr>
              <w:t>MoHPW</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AWRRID; GED; IED; MoEF; PID; PD; SEID;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11.a.1 Proportion of population living in cities that implement urban and regional development plans integrating population projections and resource needs, by size of city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 (City Corporations)</w:t>
            </w:r>
            <w:r w:rsidRPr="00272035">
              <w:rPr>
                <w:rFonts w:ascii="Times New Roman" w:hAnsi="Times New Roman"/>
                <w:sz w:val="20"/>
                <w:szCs w:val="20"/>
              </w:rPr>
              <w:t xml:space="preserve"> MoHPW (Development Authorities)</w:t>
            </w:r>
          </w:p>
        </w:tc>
        <w:tc>
          <w:tcPr>
            <w:tcW w:w="2340" w:type="dxa"/>
          </w:tcPr>
          <w:p w:rsidR="002E29BF" w:rsidRPr="00272035" w:rsidRDefault="002E29BF" w:rsidP="00C26140">
            <w:pPr>
              <w:pStyle w:val="Default"/>
              <w:numPr>
                <w:ilvl w:val="0"/>
                <w:numId w:val="5"/>
              </w:numPr>
              <w:ind w:left="286" w:hanging="180"/>
              <w:rPr>
                <w:color w:val="auto"/>
                <w:sz w:val="20"/>
                <w:szCs w:val="20"/>
              </w:rPr>
            </w:pPr>
            <w:r w:rsidRPr="00272035">
              <w:rPr>
                <w:color w:val="auto"/>
                <w:sz w:val="20"/>
                <w:szCs w:val="20"/>
              </w:rPr>
              <w:t>Indicator for Global Comparison, which will be calculated by UN as meta data suggests</w:t>
            </w:r>
          </w:p>
          <w:p w:rsidR="002E29BF" w:rsidRPr="00272035" w:rsidRDefault="002E29BF" w:rsidP="00C26140">
            <w:pPr>
              <w:pStyle w:val="Default"/>
              <w:numPr>
                <w:ilvl w:val="0"/>
                <w:numId w:val="5"/>
              </w:numPr>
              <w:ind w:left="286" w:hanging="180"/>
              <w:rPr>
                <w:color w:val="auto"/>
                <w:sz w:val="20"/>
                <w:szCs w:val="20"/>
              </w:rPr>
            </w:pPr>
            <w:r w:rsidRPr="00272035">
              <w:rPr>
                <w:color w:val="auto"/>
                <w:sz w:val="20"/>
                <w:szCs w:val="20"/>
              </w:rPr>
              <w:t>LGD and MoHPW can calculate the same for sub-national level</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11.b By 2020, substantially increase the number of cities and human settlements adopting and implementing integrated policies and plans towards inclusion, resource efficiency, mitigation and adaptation to climate change, resilience to disasters, and develop and implement, in </w:t>
            </w:r>
            <w:r w:rsidRPr="00272035">
              <w:rPr>
                <w:color w:val="auto"/>
                <w:sz w:val="20"/>
                <w:szCs w:val="20"/>
              </w:rPr>
              <w:lastRenderedPageBreak/>
              <w:t>line with the Sendai Framework for Disaster Risk Reduction 2015–2030, holistic disaster risk management at all levels</w:t>
            </w:r>
          </w:p>
        </w:tc>
        <w:tc>
          <w:tcPr>
            <w:tcW w:w="1260"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MoHPW</w:t>
            </w:r>
          </w:p>
        </w:tc>
        <w:tc>
          <w:tcPr>
            <w:tcW w:w="1615" w:type="dxa"/>
          </w:tcPr>
          <w:p w:rsidR="002E29BF" w:rsidRPr="00272035" w:rsidRDefault="002E29BF" w:rsidP="00F474E8">
            <w:pPr>
              <w:spacing w:after="0" w:line="264" w:lineRule="auto"/>
              <w:rPr>
                <w:rFonts w:ascii="Times New Roman" w:hAnsi="Times New Roman"/>
                <w:sz w:val="20"/>
                <w:szCs w:val="20"/>
                <w:lang w:val="en-GB"/>
              </w:rPr>
            </w:pPr>
            <w:hyperlink r:id="rId9" w:history="1">
              <w:r w:rsidRPr="00272035">
                <w:rPr>
                  <w:rFonts w:ascii="Times New Roman" w:hAnsi="Times New Roman"/>
                  <w:sz w:val="20"/>
                  <w:szCs w:val="20"/>
                  <w:lang w:val="en-GB"/>
                </w:rPr>
                <w:t>AWRRI</w:t>
              </w:r>
            </w:hyperlink>
            <w:r w:rsidRPr="00272035">
              <w:rPr>
                <w:rFonts w:ascii="Times New Roman" w:hAnsi="Times New Roman"/>
                <w:sz w:val="20"/>
                <w:szCs w:val="20"/>
                <w:lang w:val="en-GB"/>
              </w:rPr>
              <w:t xml:space="preserve">D; MoDMR; MoEF; MoHA;  MoFA;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LGD </w:t>
            </w:r>
          </w:p>
        </w:tc>
        <w:tc>
          <w:tcPr>
            <w:tcW w:w="2795" w:type="dxa"/>
          </w:tcPr>
          <w:p w:rsidR="002E29BF" w:rsidRPr="00272035" w:rsidRDefault="002E29BF" w:rsidP="00F474E8">
            <w:pPr>
              <w:pStyle w:val="Default"/>
              <w:rPr>
                <w:color w:val="auto"/>
                <w:sz w:val="20"/>
                <w:szCs w:val="20"/>
              </w:rPr>
            </w:pPr>
            <w:r w:rsidRPr="00272035">
              <w:rPr>
                <w:color w:val="auto"/>
                <w:sz w:val="20"/>
                <w:szCs w:val="20"/>
              </w:rPr>
              <w:t>11.b.1 Proportion of local governments that adopt and implement local disaster risk reduction strategies in line with the Sendai Framework for Disaster Risk Reduction 2015-2030</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DDM, MoDMR</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pStyle w:val="Default"/>
              <w:rPr>
                <w:color w:val="auto"/>
                <w:sz w:val="20"/>
                <w:szCs w:val="20"/>
              </w:rPr>
            </w:pPr>
            <w:r w:rsidRPr="00272035">
              <w:rPr>
                <w:color w:val="auto"/>
                <w:sz w:val="20"/>
                <w:szCs w:val="20"/>
              </w:rPr>
              <w:t>Summation of data from National Progress Report of the Sendai Monitor will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11.b.2 Number of countries with national and local disaster risk reduction strategies</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MoDMR</w:t>
            </w:r>
          </w:p>
        </w:tc>
        <w:tc>
          <w:tcPr>
            <w:tcW w:w="2340" w:type="dxa"/>
          </w:tcPr>
          <w:p w:rsidR="002E29BF" w:rsidRPr="00272035" w:rsidRDefault="002E29BF" w:rsidP="00247C71">
            <w:pPr>
              <w:spacing w:after="0" w:line="264" w:lineRule="auto"/>
              <w:rPr>
                <w:rFonts w:ascii="Times New Roman" w:hAnsi="Times New Roman"/>
                <w:sz w:val="20"/>
                <w:szCs w:val="20"/>
                <w:lang w:val="en-GB"/>
              </w:rPr>
            </w:pPr>
            <w:r w:rsidRPr="00272035">
              <w:rPr>
                <w:rFonts w:ascii="Times New Roman" w:hAnsi="Times New Roman"/>
                <w:sz w:val="20"/>
                <w:szCs w:val="20"/>
                <w:lang w:val="en-GB"/>
              </w:rPr>
              <w:t>Yes/No Indicator for Global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11.c Support least developed countries, including through financial and technical assistance, in building sustainable and resilient buildings utilizing local materials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MoEF; MoFA;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MoHPW</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11.c.1 Proportion of financial support to the least developed countries that is allocated to the construction and retrofitting of sustainable, resilient and resource-efficient buildings utilizing local materials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external resource flows as per the SDG indicators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12.1 Implement the 10 Year Framework of Programmes on Sustainable Consumption and Production Patterns, all countries taking action, with developed countries taking the lead, taking into account the development and capabilities of developing countries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t>MoFA;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 MoInd; FD; MoA; MoFL; MoF</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12.1.1 Number of countries with sustainable consumption and production (SCP) national action plans or SCP mainstreamed as a priority or a target into national policies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C26140">
            <w:pPr>
              <w:pStyle w:val="ListParagraph"/>
              <w:numPr>
                <w:ilvl w:val="0"/>
                <w:numId w:val="19"/>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Indicator for Global Comparison</w:t>
            </w:r>
          </w:p>
          <w:p w:rsidR="002E29BF" w:rsidRPr="00272035" w:rsidRDefault="002E29BF" w:rsidP="00C26140">
            <w:pPr>
              <w:pStyle w:val="ListParagraph"/>
              <w:numPr>
                <w:ilvl w:val="0"/>
                <w:numId w:val="19"/>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 xml:space="preserve">MoEF need to adopt the targets of SDG 12 for </w:t>
            </w:r>
            <w:r w:rsidRPr="00272035">
              <w:rPr>
                <w:rFonts w:ascii="Times New Roman" w:hAnsi="Times New Roman"/>
                <w:sz w:val="20"/>
                <w:szCs w:val="20"/>
              </w:rPr>
              <w:t xml:space="preserve">sustainable consumption and </w:t>
            </w:r>
            <w:r w:rsidRPr="00272035">
              <w:rPr>
                <w:rFonts w:ascii="Times New Roman" w:hAnsi="Times New Roman"/>
                <w:sz w:val="20"/>
                <w:szCs w:val="20"/>
                <w:lang w:val="en-GB"/>
              </w:rPr>
              <w:t>production</w:t>
            </w:r>
            <w:r w:rsidRPr="00272035">
              <w:rPr>
                <w:rFonts w:ascii="Times New Roman" w:hAnsi="Times New Roman"/>
                <w:sz w:val="20"/>
                <w:szCs w:val="20"/>
              </w:rPr>
              <w:t xml:space="preserve"> (SCP)</w:t>
            </w:r>
          </w:p>
          <w:p w:rsidR="002E29BF" w:rsidRPr="00272035" w:rsidRDefault="002E29BF" w:rsidP="00202054">
            <w:pPr>
              <w:spacing w:after="0" w:line="264" w:lineRule="auto"/>
              <w:ind w:left="252" w:hanging="180"/>
              <w:rPr>
                <w:rFonts w:ascii="Times New Roman" w:hAnsi="Times New Roman"/>
                <w:sz w:val="20"/>
                <w:szCs w:val="20"/>
                <w:lang w:val="en-GB"/>
              </w:rPr>
            </w:pPr>
          </w:p>
          <w:p w:rsidR="002E29BF" w:rsidRPr="00272035" w:rsidRDefault="002E29BF" w:rsidP="00202054">
            <w:pPr>
              <w:spacing w:after="0" w:line="264" w:lineRule="auto"/>
              <w:ind w:left="252" w:hanging="180"/>
              <w:rPr>
                <w:rFonts w:ascii="Times New Roman" w:hAnsi="Times New Roman"/>
                <w:sz w:val="20"/>
                <w:szCs w:val="20"/>
                <w:lang w:val="en-GB"/>
              </w:rPr>
            </w:pPr>
          </w:p>
        </w:tc>
      </w:tr>
      <w:tr w:rsidR="002E29BF" w:rsidRPr="00272035" w:rsidTr="003357C6">
        <w:trPr>
          <w:trHeight w:val="71"/>
        </w:trPr>
        <w:tc>
          <w:tcPr>
            <w:tcW w:w="14873" w:type="dxa"/>
            <w:gridSpan w:val="7"/>
          </w:tcPr>
          <w:p w:rsidR="002E29BF" w:rsidRPr="00D75301" w:rsidRDefault="002E29BF" w:rsidP="00D3064A">
            <w:pPr>
              <w:spacing w:after="0" w:line="264" w:lineRule="auto"/>
              <w:jc w:val="both"/>
              <w:rPr>
                <w:rFonts w:ascii="Times New Roman" w:hAnsi="Times New Roman"/>
                <w:sz w:val="20"/>
                <w:szCs w:val="20"/>
                <w:lang w:val="en-GB"/>
              </w:rPr>
            </w:pPr>
            <w:r w:rsidRPr="00616EBD">
              <w:rPr>
                <w:rFonts w:ascii="Times New Roman" w:hAnsi="Times New Roman"/>
                <w:b/>
                <w:bCs/>
                <w:sz w:val="26"/>
                <w:szCs w:val="20"/>
                <w:lang w:val="en-GB"/>
              </w:rPr>
              <w:t>Goal 12. Ensure sustainable consumption and production patterns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12.2 By 2030, achieve the sustainable management and efficient use of natural resources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EMRD; MoWR; MoInd; MoL</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12.2.1 Material footprint, material footprint per capita, and material footprint per GDP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C26140">
            <w:pPr>
              <w:pStyle w:val="ListParagraph"/>
              <w:numPr>
                <w:ilvl w:val="0"/>
                <w:numId w:val="19"/>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 xml:space="preserve">At present GHGs emission is calculated only, though that are 3/4 years old </w:t>
            </w:r>
          </w:p>
          <w:p w:rsidR="002E29BF" w:rsidRPr="00272035" w:rsidRDefault="002E29BF" w:rsidP="00C26140">
            <w:pPr>
              <w:pStyle w:val="ListParagraph"/>
              <w:numPr>
                <w:ilvl w:val="0"/>
                <w:numId w:val="19"/>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lastRenderedPageBreak/>
              <w:t>8.4.1 and 12.2.1 are same indicators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12.2.2 Domestic material consumption, domestic material consumption per capita, and domestic material consumption per GDP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C26140">
            <w:pPr>
              <w:pStyle w:val="ListParagraph"/>
              <w:numPr>
                <w:ilvl w:val="0"/>
                <w:numId w:val="19"/>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New Survey may require to be conducted by DoE with support from BBS</w:t>
            </w:r>
          </w:p>
          <w:p w:rsidR="002E29BF" w:rsidRPr="00272035" w:rsidRDefault="002E29BF" w:rsidP="00C26140">
            <w:pPr>
              <w:pStyle w:val="ListParagraph"/>
              <w:numPr>
                <w:ilvl w:val="0"/>
                <w:numId w:val="19"/>
              </w:numPr>
              <w:spacing w:after="0" w:line="264" w:lineRule="auto"/>
              <w:ind w:left="252" w:hanging="180"/>
              <w:rPr>
                <w:rFonts w:ascii="Times New Roman" w:hAnsi="Times New Roman"/>
                <w:sz w:val="20"/>
                <w:szCs w:val="20"/>
                <w:lang w:val="en-GB"/>
              </w:rPr>
            </w:pPr>
            <w:r w:rsidRPr="00272035">
              <w:rPr>
                <w:rFonts w:ascii="Times New Roman" w:hAnsi="Times New Roman"/>
                <w:sz w:val="20"/>
                <w:szCs w:val="20"/>
                <w:lang w:val="en-GB"/>
              </w:rPr>
              <w:t>8.4.2 and 12.2.2 are same indicators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12.3 By 2030, halve per capita global food waste at the retail and consumer levels and reduce food losses along production and supply chains, including post-harvest losses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 MoA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MoInf; MoC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12.3.1 Global food loss index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C26140">
            <w:pPr>
              <w:pStyle w:val="ListParagraph"/>
              <w:numPr>
                <w:ilvl w:val="0"/>
                <w:numId w:val="14"/>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New Survey may require by BBS with concerned ministries</w:t>
            </w:r>
          </w:p>
          <w:p w:rsidR="002E29BF" w:rsidRPr="00272035" w:rsidRDefault="002E29BF" w:rsidP="00C26140">
            <w:pPr>
              <w:pStyle w:val="ListParagraph"/>
              <w:numPr>
                <w:ilvl w:val="0"/>
                <w:numId w:val="14"/>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DAE may provide partial information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12.4 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 MoA; MoInd;  MoHFW</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12.4.1 Number of parties to international multilateral environmental agreements on hazardous waste, and other chemicals that meet their commitments and obligations in transmitting information as required by each relevant agreement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 should ensure whether DoE can provide it or not.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MoEF </w:t>
            </w:r>
          </w:p>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MoInd; MoST</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12.4.2 Hazardous waste generated per capita and proportion of hazardous waste treated, by type of treatment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LGD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MoST</w:t>
            </w:r>
          </w:p>
        </w:tc>
        <w:tc>
          <w:tcPr>
            <w:tcW w:w="2340" w:type="dxa"/>
          </w:tcPr>
          <w:p w:rsidR="002E29BF" w:rsidRDefault="002E29BF" w:rsidP="00C26140">
            <w:pPr>
              <w:pStyle w:val="ListParagraph"/>
              <w:numPr>
                <w:ilvl w:val="0"/>
                <w:numId w:val="14"/>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Nuclear waste, urban solid waste, other solid waste</w:t>
            </w:r>
          </w:p>
          <w:p w:rsidR="00E9130D" w:rsidRPr="00272035" w:rsidRDefault="00E9130D" w:rsidP="00E9130D">
            <w:pPr>
              <w:pStyle w:val="ListParagraph"/>
              <w:spacing w:after="0" w:line="264" w:lineRule="auto"/>
              <w:ind w:left="375"/>
              <w:rPr>
                <w:rFonts w:ascii="Times New Roman" w:hAnsi="Times New Roman"/>
                <w:sz w:val="20"/>
                <w:szCs w:val="20"/>
                <w:lang w:val="en-GB"/>
              </w:rPr>
            </w:pPr>
          </w:p>
          <w:p w:rsidR="002E29BF" w:rsidRPr="00272035" w:rsidRDefault="002E29BF" w:rsidP="00C26140">
            <w:pPr>
              <w:pStyle w:val="ListParagraph"/>
              <w:numPr>
                <w:ilvl w:val="0"/>
                <w:numId w:val="14"/>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lastRenderedPageBreak/>
              <w:t>BAEC (Bangladesh Atomic Energy Commission), MoST may give partial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12.5 By 2030, substantially reduce waste generation through prevention, reduction, recycling and reuse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MoEF; MoInd;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12.5.1 National recycling rate, tons of material recycled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t>a) LGD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w:t>
            </w:r>
          </w:p>
        </w:tc>
        <w:tc>
          <w:tcPr>
            <w:tcW w:w="2340" w:type="dxa"/>
          </w:tcPr>
          <w:p w:rsidR="002E29BF" w:rsidRPr="00272035" w:rsidRDefault="002E29BF" w:rsidP="00C26140">
            <w:pPr>
              <w:pStyle w:val="ListParagraph"/>
              <w:numPr>
                <w:ilvl w:val="0"/>
                <w:numId w:val="14"/>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 xml:space="preserve">LGD can calculate from the recycle data </w:t>
            </w:r>
          </w:p>
          <w:p w:rsidR="002E29BF" w:rsidRPr="00272035" w:rsidRDefault="002E29BF" w:rsidP="00C26140">
            <w:pPr>
              <w:pStyle w:val="ListParagraph"/>
              <w:numPr>
                <w:ilvl w:val="0"/>
                <w:numId w:val="14"/>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BBS can deal a survey regarding similar indicators like this one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12.6 Encourage companies, especially large and transnational companies, to adopt sustainable practices and to integrate sustainability information into their reporting cycle </w:t>
            </w:r>
          </w:p>
        </w:tc>
        <w:tc>
          <w:tcPr>
            <w:tcW w:w="1260"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MoInd; </w:t>
            </w:r>
          </w:p>
        </w:tc>
        <w:tc>
          <w:tcPr>
            <w:tcW w:w="1615" w:type="dxa"/>
          </w:tcPr>
          <w:p w:rsidR="002E29BF" w:rsidRPr="00272035" w:rsidRDefault="002E29BF" w:rsidP="00F474E8">
            <w:pPr>
              <w:pStyle w:val="Default"/>
              <w:spacing w:line="264" w:lineRule="auto"/>
              <w:rPr>
                <w:color w:val="auto"/>
                <w:sz w:val="20"/>
                <w:szCs w:val="20"/>
              </w:rPr>
            </w:pPr>
            <w:r w:rsidRPr="00272035">
              <w:rPr>
                <w:color w:val="auto"/>
                <w:sz w:val="20"/>
                <w:szCs w:val="20"/>
              </w:rPr>
              <w:t>MoEF; MoC</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12.6.1 Number of companies publishing sustainability reports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MoInd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DoE</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MoInd and/or DoE can ask for sustainability reports from companies as national definition defined by environment Act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12.7 Promote public procurement practices that are sustainable, in accordance with national policies and priorities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IMED (CPTU)</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BD; LGD; MoHPW; MoWR; PoD; RTHD; MoInd;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MoR, MoPWH</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12.7.1 Number of countries implementing sustainable public procurement policies and action plans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CPTU, IMED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Yes/No Indicator for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Global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12.8 By 2030, ensure that people everywhere have the relevant information and awareness for sustainable development and lifestyles in harmony with nature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 MoPME</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 MoEF; PMO; MoInd (BIM); MoInf</w:t>
            </w:r>
          </w:p>
        </w:tc>
        <w:tc>
          <w:tcPr>
            <w:tcW w:w="2795" w:type="dxa"/>
          </w:tcPr>
          <w:p w:rsidR="002E29BF" w:rsidRPr="00272035" w:rsidRDefault="002E29BF" w:rsidP="00202054">
            <w:pPr>
              <w:pStyle w:val="Default"/>
              <w:rPr>
                <w:color w:val="auto"/>
                <w:sz w:val="20"/>
                <w:szCs w:val="20"/>
              </w:rPr>
            </w:pPr>
            <w:r w:rsidRPr="00272035">
              <w:rPr>
                <w:color w:val="auto"/>
                <w:sz w:val="20"/>
                <w:szCs w:val="20"/>
              </w:rPr>
              <w:t xml:space="preserve">12.8.1 Extent to which (i) global citizenship education and (ii) education for sustainable development (including climate change education) are mainstreamed in (a) national education policies; (b) curricula; (c) teacher education; and (d) student assessment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MoPME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BANBEIS, MoE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DPE may give partial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12.a Support developing countries to strengthen their scientific and technological capacity to move towards more sustainable patterns of consumption and production </w:t>
            </w:r>
          </w:p>
        </w:tc>
        <w:tc>
          <w:tcPr>
            <w:tcW w:w="1260" w:type="dxa"/>
          </w:tcPr>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t xml:space="preserve">MoFA; ERD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  MoInd; MoC</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12.a.1 Amount of support to developing countries on research and development for sustainable consumption and production and environmentally sound technologies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b/>
                <w:sz w:val="20"/>
                <w:szCs w:val="20"/>
                <w:lang w:val="en-GB"/>
              </w:rPr>
            </w:pPr>
            <w:r w:rsidRPr="00272035">
              <w:rPr>
                <w:rFonts w:ascii="Times New Roman" w:hAnsi="Times New Roman"/>
                <w:sz w:val="20"/>
                <w:szCs w:val="20"/>
                <w:lang w:val="en-GB"/>
              </w:rPr>
              <w:t>a) Patent Design &amp; Trade Marks Department, MoInd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can calculate amount of support regarding this indicators  </w:t>
            </w:r>
          </w:p>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12.b Develop and implement tools to monitor sustainable development impacts for sustainable tourism that creates jobs and promotes local culture and products</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MoCAT</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MoCA;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12.b.1 Number of sustainable tourism strategies or policies and implemented action plans with agreed monitoring and evaluation tools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MoCAT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 MoCA </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MoCAT can generate data for this indicator by collecting information from BFD and MoCA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12.c 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IRD; EMRD; PoD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12.c.1 Amount of fossil-fuel subsidies per unit of GDP (production and consumption) and as a proportion of total national expenditure on fossil fuels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EMRD</w:t>
            </w: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Fossil-fuel subsidies per unit of GDP can be calculated by FD</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Fossil-fuel subsidies as a proportion of total national expenditure on fossil fuels will require data from EMRD and calculated by FD</w:t>
            </w:r>
          </w:p>
        </w:tc>
      </w:tr>
      <w:tr w:rsidR="002E29BF" w:rsidRPr="00272035" w:rsidTr="002662B7">
        <w:trPr>
          <w:trHeight w:val="71"/>
        </w:trPr>
        <w:tc>
          <w:tcPr>
            <w:tcW w:w="14873" w:type="dxa"/>
            <w:gridSpan w:val="7"/>
          </w:tcPr>
          <w:p w:rsidR="002E29BF" w:rsidRPr="00927AF3" w:rsidRDefault="002E29BF" w:rsidP="00D3064A">
            <w:pPr>
              <w:spacing w:after="0" w:line="264" w:lineRule="auto"/>
              <w:rPr>
                <w:rFonts w:ascii="Times New Roman" w:hAnsi="Times New Roman"/>
                <w:sz w:val="20"/>
                <w:szCs w:val="20"/>
                <w:lang w:val="en-GB"/>
              </w:rPr>
            </w:pPr>
            <w:r w:rsidRPr="00616EBD">
              <w:rPr>
                <w:rFonts w:ascii="Times New Roman" w:hAnsi="Times New Roman"/>
                <w:b/>
                <w:bCs/>
                <w:sz w:val="26"/>
                <w:szCs w:val="20"/>
                <w:lang w:val="en-GB"/>
              </w:rPr>
              <w:lastRenderedPageBreak/>
              <w:t xml:space="preserve">Goal 13. </w:t>
            </w:r>
            <w:r w:rsidRPr="00616EBD">
              <w:rPr>
                <w:rFonts w:ascii="Times New Roman" w:hAnsi="Times New Roman"/>
                <w:b/>
                <w:sz w:val="26"/>
                <w:szCs w:val="20"/>
                <w:lang w:val="en-GB"/>
              </w:rPr>
              <w:t>Take urgent action to combat climate change and its impacts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13.1 Strengthen resilience and adaptive capacity to climate-related hazards and natural disasters in all countries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MoDMR</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 MoHA (FSCD); LGD, MoPA, MoD</w:t>
            </w:r>
          </w:p>
        </w:tc>
        <w:tc>
          <w:tcPr>
            <w:tcW w:w="2795" w:type="dxa"/>
          </w:tcPr>
          <w:p w:rsidR="002E29BF" w:rsidRPr="00272035" w:rsidRDefault="002E29BF" w:rsidP="00F474E8">
            <w:pPr>
              <w:pStyle w:val="Default"/>
              <w:rPr>
                <w:color w:val="auto"/>
                <w:sz w:val="20"/>
                <w:szCs w:val="20"/>
              </w:rPr>
            </w:pPr>
            <w:r w:rsidRPr="00272035">
              <w:rPr>
                <w:color w:val="auto"/>
                <w:sz w:val="20"/>
                <w:szCs w:val="20"/>
              </w:rPr>
              <w:t>13.1.1 Number of countries with national and local disaster risk reduction strategies</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DDM, MoDMR</w:t>
            </w: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Yes/No Indicator for Global Comparison</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Local indicators will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13.1.2 Number of deaths, missing persons and persons affected by disaster per 100,000 people</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DDM, MoDMR</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BBS (ICCHL)</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MIS, DGHS</w:t>
            </w: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 xml:space="preserve">Proxy may come from DDM </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13.1.2, 1.5.1 and 11.5.1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13.2 Integrate climate change measures into national policies, strategies and planning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MoEF; Planning Commission; MoDMR;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MoEF</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MoDMR</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Yes/No Indicator for Global Comparison</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Local indicators will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13.3 Improve education, awareness-raising and human and institutional capacity on climate change mitigation, </w:t>
            </w:r>
            <w:r w:rsidRPr="00272035">
              <w:rPr>
                <w:color w:val="auto"/>
                <w:sz w:val="20"/>
                <w:szCs w:val="20"/>
              </w:rPr>
              <w:lastRenderedPageBreak/>
              <w:t xml:space="preserve">adaptation, impact reduction and early warning </w:t>
            </w:r>
          </w:p>
        </w:tc>
        <w:tc>
          <w:tcPr>
            <w:tcW w:w="1260" w:type="dxa"/>
          </w:tcPr>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lastRenderedPageBreak/>
              <w:t>MoEF,</w:t>
            </w:r>
            <w:r w:rsidRPr="00272035">
              <w:rPr>
                <w:rFonts w:ascii="Times New Roman" w:hAnsi="Times New Roman"/>
                <w:strike/>
                <w:sz w:val="20"/>
                <w:szCs w:val="20"/>
                <w:lang w:val="en-GB"/>
              </w:rPr>
              <w:t xml:space="preserve"> </w:t>
            </w:r>
            <w:r w:rsidRPr="00272035">
              <w:rPr>
                <w:rFonts w:ascii="Times New Roman" w:hAnsi="Times New Roman"/>
                <w:sz w:val="20"/>
                <w:szCs w:val="20"/>
                <w:lang w:val="en-GB"/>
              </w:rPr>
              <w:t>MoDMR</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 MoPME; MoHA; MoInf; MoInd (BIM)</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13.3.1 Number of countries that have integrated mitigation, adaptation, impact reduction and early warning into primary, secondary and tertiary curricula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MoDMR</w:t>
            </w: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Indicator for Global Comparison</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 xml:space="preserve">MoE and MoPME can provide data for </w:t>
            </w:r>
            <w:r w:rsidRPr="00272035">
              <w:rPr>
                <w:rFonts w:ascii="Times New Roman" w:hAnsi="Times New Roman"/>
                <w:sz w:val="20"/>
                <w:szCs w:val="20"/>
                <w:lang w:val="en-GB"/>
              </w:rPr>
              <w:lastRenderedPageBreak/>
              <w:t xml:space="preserve">this indicator </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Local indicators will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13.3.2 Number of countries that have communicated the strengthening of institutional, systemic and individual capacity-building to implement adaptation, mitigation and technology transfer, and development actions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MoDMR</w:t>
            </w: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Composite Indicator for Global Comparison</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Local indicators will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13.a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13.a.1 Mobilized amount of United States dollars per year starting in 2020 accountable towards the $100 billion commitment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rPr>
            </w:pPr>
            <w:r w:rsidRPr="00272035">
              <w:rPr>
                <w:rFonts w:ascii="Times New Roman" w:hAnsi="Times New Roman"/>
                <w:sz w:val="20"/>
                <w:szCs w:val="20"/>
              </w:rPr>
              <w:t>b) MoEF</w:t>
            </w: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Data will be required after 2020</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ERD has to track the $100 billion commitment as per this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13.b Promote mechanisms for raising capacity for effective climate change-related </w:t>
            </w:r>
            <w:r w:rsidRPr="00272035">
              <w:rPr>
                <w:color w:val="auto"/>
                <w:sz w:val="20"/>
                <w:szCs w:val="20"/>
              </w:rPr>
              <w:lastRenderedPageBreak/>
              <w:t xml:space="preserve">planning and management in least developed countries and small island developing States, including focusing on women, youth and local and marginalized communities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GED; MoInd;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13.b.1 Number of least developed countries and small island developing States that </w:t>
            </w:r>
            <w:r w:rsidRPr="00272035">
              <w:rPr>
                <w:color w:val="auto"/>
                <w:sz w:val="20"/>
                <w:szCs w:val="20"/>
              </w:rPr>
              <w:lastRenderedPageBreak/>
              <w:t xml:space="preserve">are receiving specialized support, and amount of support, including finance, technology and capacity-building, for mechanisms for raising capacities for effective climate change-related planning and management, including focusing on women, youth and local and marginalized communities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Indicator for Global Comparison</w:t>
            </w:r>
          </w:p>
          <w:p w:rsidR="002E29BF" w:rsidRPr="00272035" w:rsidRDefault="002E29BF" w:rsidP="00C26140">
            <w:pPr>
              <w:pStyle w:val="ListParagraph"/>
              <w:numPr>
                <w:ilvl w:val="0"/>
                <w:numId w:val="15"/>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 xml:space="preserve">Local indicators will </w:t>
            </w:r>
            <w:r w:rsidRPr="00272035">
              <w:rPr>
                <w:rFonts w:ascii="Times New Roman" w:hAnsi="Times New Roman"/>
                <w:sz w:val="20"/>
                <w:szCs w:val="20"/>
                <w:lang w:val="en-GB"/>
              </w:rPr>
              <w:lastRenderedPageBreak/>
              <w:t>be required to track the specialized support as suggested in this indicator</w:t>
            </w:r>
          </w:p>
        </w:tc>
      </w:tr>
      <w:tr w:rsidR="002E29BF" w:rsidRPr="00272035" w:rsidTr="00FF39CF">
        <w:trPr>
          <w:trHeight w:val="71"/>
        </w:trPr>
        <w:tc>
          <w:tcPr>
            <w:tcW w:w="14873" w:type="dxa"/>
            <w:gridSpan w:val="7"/>
          </w:tcPr>
          <w:p w:rsidR="002E29BF" w:rsidRPr="00927AF3" w:rsidRDefault="002E29BF" w:rsidP="00D3064A">
            <w:pPr>
              <w:spacing w:after="0" w:line="264" w:lineRule="auto"/>
              <w:rPr>
                <w:rFonts w:ascii="Times New Roman" w:hAnsi="Times New Roman"/>
                <w:sz w:val="20"/>
                <w:szCs w:val="20"/>
                <w:lang w:val="en-GB"/>
              </w:rPr>
            </w:pPr>
            <w:r w:rsidRPr="00616EBD">
              <w:rPr>
                <w:rFonts w:ascii="Times New Roman" w:hAnsi="Times New Roman"/>
                <w:b/>
                <w:bCs/>
                <w:sz w:val="26"/>
                <w:szCs w:val="20"/>
                <w:lang w:val="en-GB"/>
              </w:rPr>
              <w:lastRenderedPageBreak/>
              <w:t xml:space="preserve">Goal 14. </w:t>
            </w:r>
            <w:r w:rsidRPr="00616EBD">
              <w:rPr>
                <w:rFonts w:ascii="Times New Roman" w:hAnsi="Times New Roman"/>
                <w:b/>
                <w:sz w:val="26"/>
                <w:szCs w:val="20"/>
                <w:lang w:val="en-GB"/>
              </w:rPr>
              <w:t xml:space="preserve">Conserve and sustainably use the oceans, seas and marine resources for sustainable </w:t>
            </w:r>
            <w:r w:rsidRPr="00616EBD">
              <w:rPr>
                <w:rFonts w:ascii="Times New Roman" w:hAnsi="Times New Roman"/>
                <w:b/>
                <w:bCs/>
                <w:sz w:val="26"/>
                <w:szCs w:val="20"/>
                <w:lang w:val="en-GB"/>
              </w:rPr>
              <w:t>development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14.1 By 2025, prevent and significantly reduce marine pollution of all kinds, in particular from land-based activities, including marine debris and nutrient pollution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MoWR</w:t>
            </w:r>
          </w:p>
        </w:tc>
        <w:tc>
          <w:tcPr>
            <w:tcW w:w="1615" w:type="dxa"/>
          </w:tcPr>
          <w:p w:rsidR="002E29BF" w:rsidRPr="00272035" w:rsidRDefault="002E29BF" w:rsidP="00A9270C">
            <w:pPr>
              <w:spacing w:after="0" w:line="264" w:lineRule="auto"/>
              <w:rPr>
                <w:rFonts w:ascii="Times New Roman" w:hAnsi="Times New Roman"/>
                <w:sz w:val="20"/>
                <w:szCs w:val="20"/>
                <w:lang w:val="en-GB"/>
              </w:rPr>
            </w:pPr>
            <w:r w:rsidRPr="00272035">
              <w:rPr>
                <w:rFonts w:ascii="Times New Roman" w:hAnsi="Times New Roman"/>
                <w:sz w:val="20"/>
                <w:szCs w:val="20"/>
                <w:lang w:val="en-GB"/>
              </w:rPr>
              <w:t>MoD (BN); MoEF; MoFA; MoST; MoS; MoD; MoHA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14.1.1 Index of coastal eutrophication and floating plastic debris density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BN, MoD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 MoS, BN will require capacity building to deal survey in the marine areas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14.2 By 2020, sustainably manage and protect marine and coastal ecosystems to avoid significant adverse impacts, including by strengthening their resilience, and take action for their restoration in order to achieve healthy and productive oceans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MoWR; MoS</w:t>
            </w:r>
          </w:p>
          <w:p w:rsidR="002E29BF" w:rsidRPr="00272035" w:rsidRDefault="002E29BF" w:rsidP="00F474E8">
            <w:pPr>
              <w:spacing w:after="0" w:line="264" w:lineRule="auto"/>
              <w:rPr>
                <w:rFonts w:ascii="Times New Roman" w:hAnsi="Times New Roman"/>
                <w:strike/>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 MoST; MoD; MoHA (Coast Guard); MoFL; MoFA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14.2.1 Proportion of national exclusive economic zones managed using ecosystem-based approaches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 will have to enhance its capacity to do survey in regards of relevant SDGs indicators and targets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14.3 Minimize and address the impacts of ocean acidification, including through enhanced scientific </w:t>
            </w:r>
            <w:r w:rsidRPr="00272035">
              <w:rPr>
                <w:color w:val="auto"/>
                <w:sz w:val="20"/>
                <w:szCs w:val="20"/>
              </w:rPr>
              <w:lastRenderedPageBreak/>
              <w:t xml:space="preserve">cooperation at all levels </w:t>
            </w:r>
          </w:p>
        </w:tc>
        <w:tc>
          <w:tcPr>
            <w:tcW w:w="1260"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MoST</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MoEF;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14.3.1 Average marine acidity (pH) measured at agreed suite of representative sampling stations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14.4 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MoFL</w:t>
            </w:r>
          </w:p>
        </w:tc>
        <w:tc>
          <w:tcPr>
            <w:tcW w:w="1615" w:type="dxa"/>
          </w:tcPr>
          <w:p w:rsidR="002E29BF" w:rsidRPr="00272035" w:rsidRDefault="002E29BF" w:rsidP="00A9270C">
            <w:pPr>
              <w:spacing w:after="0" w:line="264" w:lineRule="auto"/>
              <w:rPr>
                <w:rFonts w:ascii="Times New Roman" w:hAnsi="Times New Roman"/>
                <w:sz w:val="20"/>
                <w:szCs w:val="20"/>
                <w:lang w:val="en-GB"/>
              </w:rPr>
            </w:pPr>
            <w:r w:rsidRPr="00272035">
              <w:rPr>
                <w:rFonts w:ascii="Times New Roman" w:hAnsi="Times New Roman"/>
                <w:sz w:val="20"/>
                <w:szCs w:val="20"/>
                <w:lang w:val="en-GB"/>
              </w:rPr>
              <w:t>MoD (BN); MoHA; MoS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14.4.1 Proportion of fish stocks within biologically sustainable levels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DoF, MoFL</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After 2018 (Fisheries Census) BBS may provide proxy data on it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14.5 By 2020, conserve at least 10 per cent of coastal and marine areas, consistent with national and international law and based on the best available scientific information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A9270C">
            <w:pPr>
              <w:spacing w:after="0" w:line="264" w:lineRule="auto"/>
              <w:rPr>
                <w:rFonts w:ascii="Times New Roman" w:hAnsi="Times New Roman"/>
                <w:sz w:val="20"/>
                <w:szCs w:val="20"/>
                <w:lang w:val="en-GB"/>
              </w:rPr>
            </w:pPr>
            <w:r w:rsidRPr="00272035">
              <w:rPr>
                <w:rFonts w:ascii="Times New Roman" w:hAnsi="Times New Roman"/>
                <w:sz w:val="20"/>
                <w:szCs w:val="20"/>
                <w:lang w:val="en-GB"/>
              </w:rPr>
              <w:t>MoD (BN); MoFA; MoHA; MoFL, MoS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14.5.1 Coverage of protected areas in relation to marine areas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DoF</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Joint approach with a lead from MoEF will be require to measure the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14.6 By 2020, prohibit certain forms of fisheries subsidies which contribute to overcapacity and overfishing, eliminate subsidies that contribute to illegal, unreported and unregulated fishing and refrain from introducing new such </w:t>
            </w:r>
            <w:r w:rsidRPr="00272035">
              <w:rPr>
                <w:color w:val="auto"/>
                <w:sz w:val="20"/>
                <w:szCs w:val="20"/>
              </w:rPr>
              <w:lastRenderedPageBreak/>
              <w:t xml:space="preserve">subsidies, recognizing that appropriate and effective special and differential treatment for developing and least developed countries should be an integral part of the World Trade Organization fisheries subsidies negotiation (Taking into account on going World Trade Organization negotiations, the Doha Development Agenda and the Hong Kong ministerial mandate).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MoFL</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MoC;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14.6.1 Progress by countries in the degree of implementation of international instruments aiming to combat illegal, unreported and unregulated fishing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DoF</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BN, MoD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Code of Conduct for Responsible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Fisheries (CCRF) survey will be required by DoF will to provide data in near future</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14.7 By 2030, increase the economic benefits to small island developing States and least developed countries from the sustainable use of marine resources, including through sustainable management of fisheries, aquaculture and tourism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MoFL</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LGD; MoCAT;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14.7.1 Sustainable fisheries as a percentage of GDP in small island developing States, least developed countries and all countries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NAW, BBS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DoF</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DoF will have to cope with the measurement of “Sustainable Fisheries” for NAW, BBS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14.a Increase scientific knowledge, develop research capacity and transfer marine technology, taking into account the Intergovernmental Oceanographic Commission Criteria and Guidelines on the </w:t>
            </w:r>
            <w:r w:rsidRPr="00272035">
              <w:rPr>
                <w:color w:val="auto"/>
                <w:sz w:val="20"/>
                <w:szCs w:val="20"/>
              </w:rPr>
              <w:lastRenderedPageBreak/>
              <w:t>Transfer of Marine Technology, in order to improve ocean health and to enhance the contribution of marine biodiversity to the development of developing countries, in particular small island developing States and least developed countries</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MoST; MoS</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MoD; MoE; MoFL; MoFA; MoHA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14.a.1 Proportion of total research budget allocated to research in the field of marine technology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p w:rsidR="002E29BF" w:rsidRPr="00272035" w:rsidRDefault="002E29BF" w:rsidP="00F474E8">
            <w:pPr>
              <w:spacing w:after="0" w:line="264" w:lineRule="auto"/>
              <w:rPr>
                <w:rFonts w:ascii="Times New Roman" w:hAnsi="Times New Roman"/>
                <w:sz w:val="20"/>
                <w:szCs w:val="20"/>
                <w:lang w:val="en-GB"/>
              </w:rPr>
            </w:pP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has compile the budget data as suggested by MoST, MoS, MoFL and MoE who are having marine researches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14.b Provide access for small-scale artisanal fishers to marine resources and markets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MoFL</w:t>
            </w:r>
          </w:p>
        </w:tc>
        <w:tc>
          <w:tcPr>
            <w:tcW w:w="1615" w:type="dxa"/>
          </w:tcPr>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t>MoD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14.b.1 Progress by countries in the degree of application of a legal/regulatory/policy/institutional framework which recognizes and protects access rights for small-scale fisheries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DoF, MoFL</w:t>
            </w:r>
          </w:p>
        </w:tc>
        <w:tc>
          <w:tcPr>
            <w:tcW w:w="2340" w:type="dxa"/>
          </w:tcPr>
          <w:p w:rsidR="002E29BF" w:rsidRPr="00272035" w:rsidRDefault="002E29BF" w:rsidP="00C26140">
            <w:pPr>
              <w:pStyle w:val="ListParagraph"/>
              <w:numPr>
                <w:ilvl w:val="0"/>
                <w:numId w:val="16"/>
              </w:numPr>
              <w:autoSpaceDE w:val="0"/>
              <w:autoSpaceDN w:val="0"/>
              <w:adjustRightInd w:val="0"/>
              <w:spacing w:after="0" w:line="240" w:lineRule="auto"/>
              <w:ind w:left="375" w:hanging="180"/>
              <w:rPr>
                <w:rFonts w:ascii="Times New Roman" w:eastAsiaTheme="minorHAnsi" w:hAnsi="Times New Roman"/>
                <w:sz w:val="20"/>
                <w:szCs w:val="20"/>
              </w:rPr>
            </w:pPr>
            <w:r w:rsidRPr="00272035">
              <w:rPr>
                <w:rFonts w:ascii="Times New Roman" w:eastAsiaTheme="minorHAnsi" w:hAnsi="Times New Roman"/>
                <w:sz w:val="20"/>
                <w:szCs w:val="20"/>
              </w:rPr>
              <w:t>Voluntary Guidelines for Securing Sustainable Small-Scale Fisheries in the Context of Food Security and Poverty Eradication (SSF Guidelines) will be required to be followed by DoF for dealing fisheries related survey</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Indicator for Global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14.c Enhance the conservation and sustainable use of oceans and their resources by implementing international law as reflected in the United Nations Convention on the Law of the Sea, which provides the legal framework for the </w:t>
            </w:r>
            <w:r w:rsidRPr="00272035">
              <w:rPr>
                <w:color w:val="auto"/>
                <w:sz w:val="20"/>
                <w:szCs w:val="20"/>
              </w:rPr>
              <w:lastRenderedPageBreak/>
              <w:t xml:space="preserve">conservation and sustainable use of oceans and their resources, as recalled in paragraph 158 of “The future we want”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 xml:space="preserve">MoFA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 MoFA; MoHA; MoS; MoFL</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14.c.1 Number of countries making progress in ratifying, accepting and implementing through legal, policy and institutional frameworks, ocean-related instruments that implement international law, as reflected in the United Nation Convention on the Law of the Sea, for the conservation and </w:t>
            </w:r>
            <w:r w:rsidRPr="00272035">
              <w:rPr>
                <w:color w:val="auto"/>
                <w:sz w:val="20"/>
                <w:szCs w:val="20"/>
              </w:rPr>
              <w:lastRenderedPageBreak/>
              <w:t xml:space="preserve">sustainable use of the oceans and their resources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MoFA</w:t>
            </w:r>
          </w:p>
        </w:tc>
        <w:tc>
          <w:tcPr>
            <w:tcW w:w="2340" w:type="dxa"/>
          </w:tcPr>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Indicator for Global Comparison</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 xml:space="preserve">MoFA and MoLE will have to ensure implementation of branches of ILO Maritime Labour Convention of 2006 as ratified in 2014 by </w:t>
            </w:r>
            <w:r w:rsidRPr="00272035">
              <w:rPr>
                <w:rFonts w:ascii="Times New Roman" w:hAnsi="Times New Roman"/>
                <w:sz w:val="20"/>
                <w:szCs w:val="20"/>
                <w:lang w:val="en-GB"/>
              </w:rPr>
              <w:lastRenderedPageBreak/>
              <w:t>Bangladesh</w:t>
            </w:r>
          </w:p>
        </w:tc>
      </w:tr>
      <w:tr w:rsidR="002E29BF" w:rsidRPr="00272035" w:rsidTr="007113B0">
        <w:trPr>
          <w:trHeight w:val="71"/>
        </w:trPr>
        <w:tc>
          <w:tcPr>
            <w:tcW w:w="14873" w:type="dxa"/>
            <w:gridSpan w:val="7"/>
          </w:tcPr>
          <w:p w:rsidR="002E29BF" w:rsidRPr="00927AF3" w:rsidRDefault="002E29BF" w:rsidP="00D3064A">
            <w:pPr>
              <w:spacing w:after="0" w:line="264" w:lineRule="auto"/>
              <w:rPr>
                <w:rFonts w:ascii="Times New Roman" w:hAnsi="Times New Roman"/>
                <w:sz w:val="20"/>
                <w:szCs w:val="20"/>
                <w:lang w:val="en-GB"/>
              </w:rPr>
            </w:pPr>
            <w:r w:rsidRPr="00FB4891">
              <w:rPr>
                <w:rFonts w:ascii="Times New Roman" w:hAnsi="Times New Roman"/>
                <w:b/>
                <w:bCs/>
                <w:sz w:val="26"/>
                <w:szCs w:val="20"/>
                <w:lang w:val="en-GB"/>
              </w:rPr>
              <w:lastRenderedPageBreak/>
              <w:t>Goal 15. Protect, restore and promote sustainable use of terrestrial ecosystems, sustainably manage forests, combat desertification, and halt and reverse land degradation and halt biodiversity loss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15.1 By 2020, ensure the conservation, restoration and sustainable use of terrestrial and inland freshwater ecosystems and their services, in particular forests, wetlands, mountains and drylands, in line with obligations under international agreements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MoA; MoCHTA; MoL; MoWR;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MoFL; MoS</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15.1.1 Forest area as a proportion of total land area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BFD, MoEF</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15.1.2 Proportion of important sites for terrestrial and freshwater biodiversity that are covered by protected areas, by ecosystem type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DoE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DoF</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 and DoF will have to do survey in regards of similar SDGs indicators and targets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15.2 By 2020, promote the implementation of sustainable management of all types of forests, halt deforestation, restore degraded forests and substantially increase afforestation and reforestation globally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MoL; LGD; CD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15.2.1 Progress towards sustainable forest management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BFD, MoEF</w:t>
            </w:r>
          </w:p>
        </w:tc>
        <w:tc>
          <w:tcPr>
            <w:tcW w:w="2340" w:type="dxa"/>
          </w:tcPr>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An “index of sustainable forest management” with four sub-indicators can be used as suggested in Metadata</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 xml:space="preserve">Capacity Building for measuring such </w:t>
            </w:r>
            <w:r w:rsidRPr="00272035">
              <w:rPr>
                <w:rFonts w:ascii="Times New Roman" w:hAnsi="Times New Roman"/>
                <w:sz w:val="20"/>
                <w:szCs w:val="20"/>
                <w:lang w:val="en-GB"/>
              </w:rPr>
              <w:lastRenderedPageBreak/>
              <w:t>indicators will be required for Forest Department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15.3 By 2030, combat desertification, restore degraded land and soil, including land affected by desertification, drought and floods, and strive to achieve a land degradation-neutral world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MoA; MoWR; MoL; LGD, MoDMR</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15.3.1 Proportion of land that is degraded over total land area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DoE</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MoL</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MoA</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DoE/MoL/MoA can provide the data on this indicator from existing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15.4 By 2030, ensure the conservation of mountain ecosystems, including their biodiversity, in order to enhance their capacity to provide benefits that are essential for sustainable development</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MoA; MoCHTA; MoCAT; MoL, LGD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15.4.1 Coverage by protected areas of important sites for mountain biodiversity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BFD,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 MoCHT </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BFD can suggest a proxy indicator for the hilly region of Bangladesh</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MoCHTA; </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t>15.4.2 Mountain Green Cover Index</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MoCHT</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Can be measured by BFD.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15.5 Take urgent and significant action to reduce the degradation of natural habitats, halt the loss of biodiversity and, by 2020, protect and prevent the extinction of threatened species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MoFL; MoA</w:t>
            </w:r>
          </w:p>
        </w:tc>
        <w:tc>
          <w:tcPr>
            <w:tcW w:w="279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15.5.1 Red List Index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15.6 Promote fair and equitable sharing of the </w:t>
            </w:r>
            <w:r w:rsidRPr="00272035">
              <w:rPr>
                <w:color w:val="auto"/>
                <w:sz w:val="20"/>
                <w:szCs w:val="20"/>
              </w:rPr>
              <w:lastRenderedPageBreak/>
              <w:t xml:space="preserve">benefits arising from the utilization of genetic resources and promote appropriate access to such resources, as internationally agreed </w:t>
            </w:r>
          </w:p>
        </w:tc>
        <w:tc>
          <w:tcPr>
            <w:tcW w:w="1260" w:type="dxa"/>
          </w:tcPr>
          <w:p w:rsidR="002E29BF" w:rsidRPr="00272035" w:rsidRDefault="002E29BF" w:rsidP="00F474E8">
            <w:pPr>
              <w:pStyle w:val="Default"/>
              <w:spacing w:line="264" w:lineRule="auto"/>
              <w:rPr>
                <w:strike/>
                <w:color w:val="auto"/>
                <w:sz w:val="20"/>
                <w:szCs w:val="20"/>
              </w:rPr>
            </w:pPr>
            <w:r w:rsidRPr="00272035">
              <w:rPr>
                <w:color w:val="auto"/>
                <w:sz w:val="20"/>
                <w:szCs w:val="20"/>
              </w:rPr>
              <w:lastRenderedPageBreak/>
              <w:t xml:space="preserve">MoEF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MoA; MoFL</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MoST</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15.6.1 Number of countries that have adopted legislative, </w:t>
            </w:r>
            <w:r w:rsidRPr="00272035">
              <w:rPr>
                <w:color w:val="auto"/>
                <w:sz w:val="20"/>
                <w:szCs w:val="20"/>
              </w:rPr>
              <w:lastRenderedPageBreak/>
              <w:t xml:space="preserve">administrative and policy frameworks to ensure fair and equitable sharing of benefits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Indicator for Global Comparison</w:t>
            </w:r>
          </w:p>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15.7 Take urgent action to end poaching and trafficking of protected species of flora and fauna and address both demand and supply of illegal wildlife products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LJD; MoFL; MoHA;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15.7.1 Proportion of traded wildlife that was poached or illicitly trafficked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DoE</w:t>
            </w:r>
          </w:p>
        </w:tc>
        <w:tc>
          <w:tcPr>
            <w:tcW w:w="2340" w:type="dxa"/>
          </w:tcPr>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BFD can measure the PIT as suggested in Metadata from the available data</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15.7.1  and 15.c.1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15.8 By 2020, introduce measures to prevent the introduction and significantly reduce the impact of invasive alien species on land and water ecosystems and control or eradicate the priority species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MoA; MoFL;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15.8.1 Proportion of countries adopting relevant national legislation and adequately resourcing the prevention or control of invasive alien species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2340" w:type="dxa"/>
          </w:tcPr>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Indicator for Global Comparison</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Proxy indicator may require for the target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15.9 By 2020, integrate ecosystem and biodiversity values into national and local planning, development processes, poverty reduction strategies and accounts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p w:rsidR="002E29BF" w:rsidRPr="00272035" w:rsidRDefault="002E29BF" w:rsidP="00F474E8">
            <w:pPr>
              <w:spacing w:after="0" w:line="264" w:lineRule="auto"/>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GED; LGD;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15.9.1 Progress towards national targets established in accordance with Aichi Biodiversity Target 2 of the Strategic Plan for Biodiversity 2011-2020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Proxy indicator is required for measuring the achievement of the target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15.a Mobilize and significantly increase financial resources from all sources to conserve and sustainably use biodiversity </w:t>
            </w:r>
            <w:r w:rsidRPr="00272035">
              <w:rPr>
                <w:color w:val="auto"/>
                <w:sz w:val="20"/>
                <w:szCs w:val="20"/>
              </w:rPr>
              <w:lastRenderedPageBreak/>
              <w:t xml:space="preserve">and ecosystems </w:t>
            </w:r>
          </w:p>
        </w:tc>
        <w:tc>
          <w:tcPr>
            <w:tcW w:w="1260" w:type="dxa"/>
          </w:tcPr>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lastRenderedPageBreak/>
              <w:t>ERD; FD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MoFA; MoEF</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15.a.1 Official development assistance and public expenditure on conservation and sustainable use of biodiversity and ecosystems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FD</w:t>
            </w:r>
          </w:p>
        </w:tc>
        <w:tc>
          <w:tcPr>
            <w:tcW w:w="2340" w:type="dxa"/>
          </w:tcPr>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ERD has to track the ODA, segregated as per the SDG indicators</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lastRenderedPageBreak/>
              <w:t>15.a.1  and 15.b.1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15.b Mobilize significant resources from all sources and at all levels to finance sustainable forest management and provide adequate incentives to developing countries to advance such management, including for conservation and reforestation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MoEF;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15.b.1 Official development assistance and public expenditure on conservation and sustainable use of biodiversity and ecosystems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FD</w:t>
            </w:r>
          </w:p>
        </w:tc>
        <w:tc>
          <w:tcPr>
            <w:tcW w:w="2340" w:type="dxa"/>
          </w:tcPr>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ERD has to track the ODA, segregated as per the SDG indicators</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15.a.1  and 15.b.1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15.c Enhance global support for efforts to combat poaching and trafficking of protected species, including by increasing the capacity of local communities to pursue sustainable livelihood opportunities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MoEF; MoFA;  </w:t>
            </w:r>
          </w:p>
        </w:tc>
        <w:tc>
          <w:tcPr>
            <w:tcW w:w="1615"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LGD; MoHA; MoD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15.c.1 Proportion of traded wildlife that was poached or illicitly trafficked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DoE</w:t>
            </w:r>
          </w:p>
        </w:tc>
        <w:tc>
          <w:tcPr>
            <w:tcW w:w="2340" w:type="dxa"/>
          </w:tcPr>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BFD can measure the PIT as suggested in Metadata from the available data</w:t>
            </w:r>
          </w:p>
          <w:p w:rsidR="002E29BF" w:rsidRPr="00272035" w:rsidRDefault="002E29BF" w:rsidP="00C26140">
            <w:pPr>
              <w:pStyle w:val="ListParagraph"/>
              <w:numPr>
                <w:ilvl w:val="0"/>
                <w:numId w:val="16"/>
              </w:numPr>
              <w:spacing w:after="0" w:line="264" w:lineRule="auto"/>
              <w:ind w:left="375" w:hanging="180"/>
              <w:rPr>
                <w:rFonts w:ascii="Times New Roman" w:hAnsi="Times New Roman"/>
                <w:sz w:val="20"/>
                <w:szCs w:val="20"/>
                <w:lang w:val="en-GB"/>
              </w:rPr>
            </w:pPr>
            <w:r w:rsidRPr="00272035">
              <w:rPr>
                <w:rFonts w:ascii="Times New Roman" w:hAnsi="Times New Roman"/>
                <w:sz w:val="20"/>
                <w:szCs w:val="20"/>
                <w:lang w:val="en-GB"/>
              </w:rPr>
              <w:t>15.7.1  and 15.c.1 are same indicator</w:t>
            </w:r>
          </w:p>
        </w:tc>
      </w:tr>
      <w:tr w:rsidR="002E29BF" w:rsidRPr="00272035" w:rsidTr="00562B0C">
        <w:trPr>
          <w:trHeight w:val="71"/>
        </w:trPr>
        <w:tc>
          <w:tcPr>
            <w:tcW w:w="14873" w:type="dxa"/>
            <w:gridSpan w:val="7"/>
          </w:tcPr>
          <w:p w:rsidR="002E29BF" w:rsidRPr="00927AF3" w:rsidRDefault="002E29BF" w:rsidP="00D3064A">
            <w:pPr>
              <w:spacing w:after="0" w:line="264" w:lineRule="auto"/>
              <w:rPr>
                <w:rFonts w:ascii="Times New Roman" w:hAnsi="Times New Roman"/>
                <w:sz w:val="20"/>
                <w:szCs w:val="20"/>
                <w:lang w:val="en-GB"/>
              </w:rPr>
            </w:pPr>
            <w:r w:rsidRPr="00FB4891">
              <w:rPr>
                <w:rFonts w:ascii="Times New Roman" w:hAnsi="Times New Roman"/>
                <w:b/>
                <w:bCs/>
                <w:sz w:val="26"/>
                <w:szCs w:val="20"/>
                <w:lang w:val="en-GB"/>
              </w:rPr>
              <w:t xml:space="preserve">Goal 16. Promote peaceful and inclusive societies for sustainable development, provide access to justice for all and build effective, accountable and inclusive institutions at all levels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16.1 Significantly reduce all forms of violence and related death rates everywhere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NHRC; LJD;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LPAD;: CD; MoWCA, MoSW</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16.1.1 Number of victims of intentional homicide per 100,000 population, by sex and age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BP, MoHA</w:t>
            </w:r>
          </w:p>
        </w:tc>
        <w:tc>
          <w:tcPr>
            <w:tcW w:w="2340" w:type="dxa"/>
          </w:tcPr>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BP can generate this data from existing information available at Police Stations</w:t>
            </w:r>
          </w:p>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 xml:space="preserve">Need to disaggregate by sex and age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MoHA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NHRC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16.1.2 Conflict-related deaths per 100,000 population, by sex, age and cause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BP, MoHA</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MoHA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MoWCA; LJD; MoWCA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16.1.3 Proportion of population subjected to physical, psychological or sexual violence in the previous 12 months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(VAW)</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can adjust this indicator into its existing VAW survey</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MoHA,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16.1.4 Proportion of population that feel safe walking alone around the area they live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New Survey by BBS will be required regarding security and human rights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16.2 End abuse, exploitation, trafficking and all forms of violence against and torture of children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MoHA; MoWCA; MoFA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NHRC; LJD; MoSW; MoWCA; MoFA; MoPME; MoE; MoInf</w:t>
            </w:r>
          </w:p>
        </w:tc>
        <w:tc>
          <w:tcPr>
            <w:tcW w:w="2795" w:type="dxa"/>
          </w:tcPr>
          <w:p w:rsidR="002E29BF" w:rsidRDefault="002E29BF" w:rsidP="00202054">
            <w:pPr>
              <w:pStyle w:val="Default"/>
              <w:rPr>
                <w:color w:val="auto"/>
                <w:sz w:val="20"/>
                <w:szCs w:val="20"/>
              </w:rPr>
            </w:pPr>
            <w:r w:rsidRPr="00272035">
              <w:rPr>
                <w:color w:val="auto"/>
                <w:sz w:val="20"/>
                <w:szCs w:val="20"/>
              </w:rPr>
              <w:t xml:space="preserve">16.2.1 Proportion of children aged 1-17 years who experienced any physical punishment and/or psychological aggression by caregivers in the past month </w:t>
            </w:r>
          </w:p>
          <w:p w:rsidR="00E9130D" w:rsidRPr="00272035" w:rsidRDefault="00E9130D" w:rsidP="00202054">
            <w:pPr>
              <w:pStyle w:val="Default"/>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MoHA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MoHA; MoFA; MoWCA, MoSW; MoDMR</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16.2.2 Number of victims of human trafficking per 100,000 population, by sex, age and form of exploitation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BGB,</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 BP </w:t>
            </w:r>
          </w:p>
        </w:tc>
        <w:tc>
          <w:tcPr>
            <w:tcW w:w="2340" w:type="dxa"/>
          </w:tcPr>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BP and BGB can generate this data from existing information available Need to</w:t>
            </w:r>
          </w:p>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Disaggregated data will be required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MoWCA &amp; MoHA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16.2.3 Proportion of young women and men aged 18-29 years who experienced sexual violence by age 18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 (VAW)</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16.3 Promote the rule of law at the national and international levels and ensure equal access to justice for all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LJD; LPAD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NHRC; LPAD; LGD; MoFA; MoHA; MoPA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16.3.1 Proportion of victims of violence in the previous 12 months who reported their victimization to competent authorities or other officially recognized conflict resolution mechanisms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BBS </w:t>
            </w:r>
          </w:p>
          <w:p w:rsidR="002E29BF" w:rsidRPr="00272035" w:rsidRDefault="002E29BF" w:rsidP="00F474E8">
            <w:pPr>
              <w:spacing w:after="0" w:line="264" w:lineRule="auto"/>
              <w:rPr>
                <w:rFonts w:ascii="Times New Roman" w:hAnsi="Times New Roman"/>
                <w:strike/>
                <w:sz w:val="20"/>
                <w:szCs w:val="20"/>
                <w:lang w:val="en-GB"/>
              </w:rPr>
            </w:pPr>
            <w:r w:rsidRPr="00272035">
              <w:rPr>
                <w:rFonts w:ascii="Times New Roman" w:hAnsi="Times New Roman"/>
                <w:sz w:val="20"/>
                <w:szCs w:val="20"/>
                <w:lang w:val="en-GB"/>
              </w:rPr>
              <w:t>b) BP</w:t>
            </w:r>
          </w:p>
        </w:tc>
        <w:tc>
          <w:tcPr>
            <w:tcW w:w="2340" w:type="dxa"/>
          </w:tcPr>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 xml:space="preserve">New Survey by BBS will be required regarding security and human rights </w:t>
            </w:r>
          </w:p>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 xml:space="preserve">Need to establish an MIS for similar indicators of SDGs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MoHA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LJD; LPAD</w:t>
            </w:r>
          </w:p>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16.3.2 Unsentenced detainees as a proportion of overall prison population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Department of Prison, MoHA</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16.4 By 2030, significantly reduce illicit financial and arms flows, strengthen the recovery and return of stolen assets and combat all forms of organized crime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 MoHA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BFID; IRD; MoFA; ACC</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16.4.1 Total value of inward and outward illicit financial flows (in current United States dollars)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 can provide data for this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MoHA </w:t>
            </w: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16.4.2 Proportion of seized small arms and light weapons that are recorded and traced, in accordance with international standards and legal instruments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MoHA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MoD</w:t>
            </w:r>
          </w:p>
        </w:tc>
        <w:tc>
          <w:tcPr>
            <w:tcW w:w="2340" w:type="dxa"/>
          </w:tcPr>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MoHA and MoD can produce the data</w:t>
            </w:r>
          </w:p>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 xml:space="preserve">Proxy data can be advised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16.5 Substantially reduce corruption and bribery in all their forms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ACC;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InfCom; MoInf; MoPA; MoFA; </w:t>
            </w:r>
          </w:p>
        </w:tc>
        <w:tc>
          <w:tcPr>
            <w:tcW w:w="2795" w:type="dxa"/>
          </w:tcPr>
          <w:p w:rsidR="002E29BF" w:rsidRDefault="002E29BF" w:rsidP="00F474E8">
            <w:pPr>
              <w:pStyle w:val="Default"/>
              <w:rPr>
                <w:color w:val="auto"/>
                <w:sz w:val="20"/>
                <w:szCs w:val="20"/>
              </w:rPr>
            </w:pPr>
            <w:r w:rsidRPr="00272035">
              <w:rPr>
                <w:color w:val="auto"/>
                <w:sz w:val="20"/>
                <w:szCs w:val="20"/>
              </w:rPr>
              <w:t xml:space="preserve">16.5.1 Proportion of persons who had at least one contact with a public official and who paid a bribe to a public official, or were asked for a bribe by those public officials, during the previous 12 months </w:t>
            </w:r>
          </w:p>
          <w:p w:rsidR="00E9130D" w:rsidRPr="00272035" w:rsidRDefault="00E9130D" w:rsidP="00F474E8">
            <w:pPr>
              <w:pStyle w:val="Default"/>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National Integrity Strategy based survey may be done by BBS regarding relevant SDG indicators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16.5.2 Proportion of businesses that had at least one contact with a public official and that paid a bribe to a public official, or were asked for a bribe by those public officials during the previous 12 months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16.6 Develop effective, accountable and transparent institutions at all levels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CAG; EC; LPAD; PMO; InfCom; MoFA; MoPA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16.6.1 Primary government expenditures as a proportion of original approved budget, by sector (or by budget codes or similar)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16.6.2 Proportion of the population satisfied with their last experience of public services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National Integrity Strategy based survey may be done by BBS regarding relevant SDG indicators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16.7 Ensure responsive, inclusive, participatory and representative decision-making at all levels </w:t>
            </w:r>
          </w:p>
        </w:tc>
        <w:tc>
          <w:tcPr>
            <w:tcW w:w="1260" w:type="dxa"/>
          </w:tcPr>
          <w:p w:rsidR="002E29BF" w:rsidRPr="00272035" w:rsidRDefault="002E29BF" w:rsidP="00F474E8">
            <w:pPr>
              <w:pStyle w:val="Default"/>
              <w:spacing w:line="264" w:lineRule="auto"/>
              <w:rPr>
                <w:color w:val="auto"/>
                <w:sz w:val="20"/>
                <w:szCs w:val="20"/>
              </w:rPr>
            </w:pPr>
            <w:r w:rsidRPr="00272035">
              <w:rPr>
                <w:color w:val="auto"/>
                <w:sz w:val="20"/>
                <w:szCs w:val="20"/>
              </w:rPr>
              <w:t>MoPA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CD, EC; InfCom; LPAD; LGD; MoFA; MoSW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16.7.1 Proportions of positions (by sex, age, persons with disabilities and population groups) in public institutions (national and local legislatures, public service, and judiciary) compared to national distributions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MoPA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LGD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LPAD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 LJD</w:t>
            </w:r>
          </w:p>
        </w:tc>
        <w:tc>
          <w:tcPr>
            <w:tcW w:w="2340" w:type="dxa"/>
          </w:tcPr>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Need to establish MIS system in LGD, LPAD and LJD for providing segregated data</w:t>
            </w:r>
          </w:p>
          <w:p w:rsidR="002E29BF" w:rsidRPr="00272035" w:rsidRDefault="002E29BF" w:rsidP="00C26140">
            <w:pPr>
              <w:pStyle w:val="ListParagraph"/>
              <w:numPr>
                <w:ilvl w:val="0"/>
                <w:numId w:val="17"/>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MoPA can take lead to provide compiled data for this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GED </w:t>
            </w: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16.7.2 Proportion of population who believe decision-making is inclusive and responsive, by sex, age, disability and population group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National Integrity Strategy based survey may be done by BBS regarding relevant SDG indicators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16.8 Broaden and strengthen the participation of developing countries in the institutions of global governance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16.8.1 Proportion of members and voting rights of developing countries in international organizations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ERD</w:t>
            </w:r>
          </w:p>
        </w:tc>
        <w:tc>
          <w:tcPr>
            <w:tcW w:w="2340" w:type="dxa"/>
          </w:tcPr>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Global indicators for international comparison, to be calculated by UN.</w:t>
            </w:r>
          </w:p>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10.6.1 and 16.8.1 are same indicator</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16.9 By 2030, provide legal identity for all, including birth registration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EC; MoHA;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16.9.1 Proportion of children under 5 years of age whose births have been registered with a civil authority, by age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LGD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Need to establish MIS system in LGD for providing segregated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16.10 Ensure public access to information and protect fundamental freedoms, in accordance with national </w:t>
            </w:r>
            <w:r w:rsidRPr="00272035">
              <w:rPr>
                <w:color w:val="auto"/>
                <w:sz w:val="20"/>
                <w:szCs w:val="20"/>
              </w:rPr>
              <w:lastRenderedPageBreak/>
              <w:t xml:space="preserve">legislation and international agreement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MoInf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NHRC; MoFA; InfCom; MoHA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16.10.1 Number of verified cases of killing, kidnapping, enforced disappearance, arbitrary detention and torture of journalists, associated media </w:t>
            </w:r>
            <w:r w:rsidRPr="00272035">
              <w:rPr>
                <w:color w:val="auto"/>
                <w:sz w:val="20"/>
                <w:szCs w:val="20"/>
              </w:rPr>
              <w:lastRenderedPageBreak/>
              <w:t xml:space="preserve">personnel, trade unionists and human rights advocates in the previous 12 months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BP</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Registrar, Supreme Court</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NHRC</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NHRC can take lead to provide data for this indicator by compiling information available at </w:t>
            </w:r>
            <w:r w:rsidRPr="00272035">
              <w:rPr>
                <w:rFonts w:ascii="Times New Roman" w:hAnsi="Times New Roman"/>
                <w:sz w:val="20"/>
                <w:szCs w:val="20"/>
                <w:lang w:val="en-GB"/>
              </w:rPr>
              <w:lastRenderedPageBreak/>
              <w:t>BP</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and Registrar, Supreme Court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MoInf</w:t>
            </w: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16.10.2 Number of countries that adopt and implement constitutional, statutory and/or policy guarantees for public access to information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MoFA (UPR)</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Global indicator for country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16.a Strengthen relevant national institutions, including through international cooperation, for building capacity at all levels, in particular in developing countries, to prevent violence and combat terrorism and crime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MoHA; MoPA</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MoFA;  MoInd (BIM);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16.a.1 Existence of independent national human rights institutions in compliance with the Paris Principles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MoFA (UPR)</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NHRC</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Global indicator for country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16.b Promote and enforce non-discriminatory laws and policies for sustainable development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LPAD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CD; GED; LJD; PMO;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16.b.1 Proportion of population reporting having personally felt discriminated against or harassed in the previous 12 months on the basis of a ground of discrimination prohibited under international human rights law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MoFA (UPR)</w:t>
            </w:r>
          </w:p>
        </w:tc>
        <w:tc>
          <w:tcPr>
            <w:tcW w:w="2340" w:type="dxa"/>
          </w:tcPr>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New Survey by BBS will be required regarding security and human rights</w:t>
            </w:r>
          </w:p>
          <w:p w:rsidR="002E29BF" w:rsidRPr="00272035" w:rsidRDefault="002E29BF" w:rsidP="00C26140">
            <w:pPr>
              <w:pStyle w:val="Default"/>
              <w:numPr>
                <w:ilvl w:val="0"/>
                <w:numId w:val="1"/>
              </w:numPr>
              <w:ind w:left="162" w:hanging="162"/>
              <w:rPr>
                <w:bCs/>
                <w:color w:val="auto"/>
                <w:sz w:val="20"/>
                <w:szCs w:val="20"/>
              </w:rPr>
            </w:pPr>
            <w:r w:rsidRPr="00272035">
              <w:rPr>
                <w:bCs/>
                <w:color w:val="auto"/>
                <w:sz w:val="20"/>
                <w:szCs w:val="20"/>
              </w:rPr>
              <w:t>10.3.1 and 16.b.1 are same indicator</w:t>
            </w:r>
          </w:p>
        </w:tc>
      </w:tr>
      <w:tr w:rsidR="002E29BF" w:rsidRPr="00272035" w:rsidTr="00F4335A">
        <w:trPr>
          <w:trHeight w:val="71"/>
        </w:trPr>
        <w:tc>
          <w:tcPr>
            <w:tcW w:w="14873" w:type="dxa"/>
            <w:gridSpan w:val="7"/>
          </w:tcPr>
          <w:p w:rsidR="002E29BF" w:rsidRPr="00927AF3" w:rsidRDefault="002E29BF" w:rsidP="00D3064A">
            <w:pPr>
              <w:spacing w:after="0" w:line="264" w:lineRule="auto"/>
              <w:rPr>
                <w:rFonts w:ascii="Times New Roman" w:hAnsi="Times New Roman"/>
                <w:sz w:val="20"/>
                <w:szCs w:val="20"/>
                <w:lang w:val="en-GB"/>
              </w:rPr>
            </w:pPr>
            <w:r w:rsidRPr="00376CDD">
              <w:rPr>
                <w:rFonts w:ascii="Times New Roman" w:hAnsi="Times New Roman"/>
                <w:b/>
                <w:bCs/>
                <w:sz w:val="26"/>
                <w:szCs w:val="20"/>
                <w:lang w:val="en-GB"/>
              </w:rPr>
              <w:t>Goal 17. Strengthen the means of implementation and revitalize the Global Partnership for Sustainable Development</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b/>
                <w:bCs/>
                <w:color w:val="auto"/>
                <w:sz w:val="20"/>
                <w:szCs w:val="20"/>
              </w:rPr>
              <w:t xml:space="preserve">Finance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17.1 Strengthen domestic resource mobilization, including through international support to developing countries, to </w:t>
            </w:r>
            <w:r w:rsidRPr="00272035">
              <w:rPr>
                <w:color w:val="auto"/>
                <w:sz w:val="20"/>
                <w:szCs w:val="20"/>
              </w:rPr>
              <w:lastRenderedPageBreak/>
              <w:t xml:space="preserve">improve domestic capacity for tax and other revenue collection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IRD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FD; GED,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17.1.1 Total government revenue as a proportion of GDP, by source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NBR</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b/>
                <w:bCs/>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FD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IRD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17.1.2 Proportion of domestic budget funded by domestic taxes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Default="002E29BF" w:rsidP="00F474E8">
            <w:pPr>
              <w:pStyle w:val="Default"/>
              <w:spacing w:line="264" w:lineRule="auto"/>
              <w:rPr>
                <w:color w:val="auto"/>
                <w:sz w:val="20"/>
                <w:szCs w:val="20"/>
              </w:rPr>
            </w:pPr>
            <w:r w:rsidRPr="00272035">
              <w:rPr>
                <w:color w:val="auto"/>
                <w:sz w:val="20"/>
                <w:szCs w:val="20"/>
              </w:rPr>
              <w:t xml:space="preserve">17.2 Developed countries to implement fully their official development assistance commitments, including the commitment by many developed countries to achieve the target of 0.7 per cent of gross national income for official development assistance (ODA/GNI) to developing countries and 0.15 to 0.20 per cent of ODA/GNI to least developed countries; ODA providers are encouraged to consider setting a target to provide at least 0.20 per cent of ODA/GNI to least developed countries </w:t>
            </w:r>
          </w:p>
          <w:p w:rsidR="00E9130D" w:rsidRPr="00272035" w:rsidRDefault="00E9130D"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17.2.1 Net official development assistance, total and to least developed countries, as a proportion of the Organization for Economic Cooperation and Development (OECD) Development Assistance Committee donors’ gross national income (GNI)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Global data should also be provided by ERD from UN Sources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17.3 Mobilize additional financial resources for developing countries from multiple sources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PMO (BOI)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BB; PMO (BEPZA, BEZA); MoEWOE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17.3.1 Foreign direct investments (FDI), official development assistance and South-South Cooperation as a proportion of total domestic budget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BOI</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BOI and ERD will have to calculate this indicator from readily available data</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BB</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BFID; MoEWOE; MoFA</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17.3.2 Volume of remittances (in United States dollars) as a proportion of total GDP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17.4 Assist developing countries in attaining long-term debt sustainability through coordinated policies aimed at fostering debt financing, debt relief and debt restructuring, as appropriate, and address the external debt of highly indebted poor countries to reduce debt distress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 ERD;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17.4.1 Debt service as a proportion of exports of goods and services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FD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17.5 Adopt and implement investment promotion regimes for least developed countries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PMO (BOI)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FD; MoC; IRD; PMO (BEPZA, BEAZ, PPPA); GED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17.5.1 Number of countries that adopt and implement investment promotion regimes for least developed countries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BOI</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Yes/No Indicator for Global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b/>
                <w:color w:val="auto"/>
                <w:sz w:val="20"/>
                <w:szCs w:val="20"/>
              </w:rPr>
            </w:pPr>
            <w:r w:rsidRPr="00272035">
              <w:rPr>
                <w:b/>
                <w:color w:val="auto"/>
                <w:sz w:val="20"/>
                <w:szCs w:val="20"/>
              </w:rPr>
              <w:t xml:space="preserve">Technology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17.6 Enhance North-South, South-South and triangular regional and international cooperation on and access to science, technology and innovation and enhance knowledge sharing on mutually agreed terms, including through improved coordination among existing mechanisms, in particular at the United Nations level, and </w:t>
            </w:r>
            <w:r w:rsidRPr="00272035">
              <w:rPr>
                <w:color w:val="auto"/>
                <w:sz w:val="20"/>
                <w:szCs w:val="20"/>
              </w:rPr>
              <w:lastRenderedPageBreak/>
              <w:t xml:space="preserve">through a global technology facilitation mechanism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MoST</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 ICTD; MoFA; MoInd; MoC</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17.6.1 Number of science and/or technology cooperation agreements and programmes between countries, by type of cooperation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MoST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MoFA</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c) ERD,  </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MoST may take the lead to provide the data for Number of science and/or technology cooperation agreements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PTD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ICTD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17.6.2 Fixed Internet broadband subscriptions per 100 inhabitants, by speed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BTRC, PTD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17.7 Promote the development, transfer, dissemination and diffusion of environmentally sound technologies to developing countries on favourable terms, including on concessional and preferential terms, as mutually agreed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MoEF</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 MoFA; MoST; MoInd; PMO (BOI); MoDMR; MoHA (FSCD)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17.7.1 Total amount of approved funding for developing countries to promote the development, transfer, dissemination and diffusion of environmentally sound technologies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Along with the Bangladesh Part ERD can also collect Global data from UN Sources for reporting</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17.8 Fully operationalize the technology bank and science, technology and innovation capacity-building mechanism for least developed countries by 2017 and enhance the use of enabling technology, in particular information and communications technology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ICTD;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MoST; MoFL; ERD; MoFA; MoPA; PMO (a2i)</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17.8.1 Proportion of individuals using the Internet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Readily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BTRC, PTD</w:t>
            </w:r>
          </w:p>
        </w:tc>
        <w:tc>
          <w:tcPr>
            <w:tcW w:w="2340" w:type="dxa"/>
          </w:tcPr>
          <w:p w:rsidR="002E29BF" w:rsidRPr="00272035" w:rsidRDefault="002E29BF" w:rsidP="00F474E8">
            <w:pPr>
              <w:spacing w:after="0" w:line="264" w:lineRule="auto"/>
              <w:rPr>
                <w:rFonts w:ascii="Times New Roman" w:hAnsi="Times New Roman"/>
                <w:sz w:val="20"/>
                <w:szCs w:val="20"/>
                <w:lang w:val="en-GB"/>
              </w:rPr>
            </w:pP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b/>
                <w:bCs/>
                <w:color w:val="auto"/>
                <w:sz w:val="20"/>
                <w:szCs w:val="20"/>
              </w:rPr>
              <w:t xml:space="preserve">Capacity-building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17.9 Enhance international support for implementing effective and targeted capacity-building in developing countries to support national plans to implement all the Sustainable </w:t>
            </w:r>
            <w:r w:rsidRPr="00272035">
              <w:rPr>
                <w:color w:val="auto"/>
                <w:sz w:val="20"/>
                <w:szCs w:val="20"/>
              </w:rPr>
              <w:lastRenderedPageBreak/>
              <w:t xml:space="preserve">Development Goals, including through North-South, South-South and triangular cooperation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GED; ERD</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MoFA; PMO</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17.9.1 Dollar value of financial and technical assistance (including through North-South, South-South and triangular cooperation) committed to developing countries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 will have to calculate this indicator from the available data as the Creditor Reporting System suggested by DAC/OECD</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b/>
                <w:bCs/>
                <w:color w:val="auto"/>
                <w:sz w:val="20"/>
                <w:szCs w:val="20"/>
              </w:rPr>
              <w:lastRenderedPageBreak/>
              <w:t xml:space="preserve">Trade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17.10 Promote a universal, rules-based, open, non-discriminatory and equitable multilateral trading system under the World Trade Organization, including through the conclusion of negotiations under its Doha Development Agenda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GED; MoFA;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17.10.1 Worldwide weighted tariff-average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Tariff Commission, MoC b) WTO Cell, MoC</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MoC will have to calculate this indicator from the available data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17.11 Significantly increase the exports of developing countries, in particular with a view to doubling the least developed countries’ share of global exports by 2020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MoFA; BB; IRD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17.11.1 Developing countries’ and least developed countries’ share of global exports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MoC</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17.12 Realize timely implementation of duty-free and quota-free market access on a lasting basis for all least developed countries, consistent with World Trade Organization decisions, including by ensuring that preferential rules of origin applicable to imports from </w:t>
            </w:r>
            <w:r w:rsidRPr="00272035">
              <w:rPr>
                <w:color w:val="auto"/>
                <w:sz w:val="20"/>
                <w:szCs w:val="20"/>
              </w:rPr>
              <w:lastRenderedPageBreak/>
              <w:t xml:space="preserve">least developed countries are transparent and simple, and contribute to facilitating market access </w:t>
            </w:r>
          </w:p>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MoC</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MoFA, IRD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17.12.1 Average tariffs faced by developing countries, least developed countries and small island developing States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Tariff Commission, MoC</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Tariff Commission of MoC will have to calculate this indicator from the available data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b/>
                <w:bCs/>
                <w:color w:val="auto"/>
                <w:sz w:val="20"/>
                <w:szCs w:val="20"/>
              </w:rPr>
              <w:lastRenderedPageBreak/>
              <w:t xml:space="preserve">Systemic issues </w:t>
            </w:r>
          </w:p>
          <w:p w:rsidR="002E29BF" w:rsidRPr="00272035" w:rsidRDefault="002E29BF" w:rsidP="00F474E8">
            <w:pPr>
              <w:pStyle w:val="Default"/>
              <w:spacing w:line="264" w:lineRule="auto"/>
              <w:rPr>
                <w:color w:val="auto"/>
                <w:sz w:val="20"/>
                <w:szCs w:val="20"/>
              </w:rPr>
            </w:pPr>
            <w:r w:rsidRPr="00272035">
              <w:rPr>
                <w:i/>
                <w:iCs/>
                <w:color w:val="auto"/>
                <w:sz w:val="20"/>
                <w:szCs w:val="20"/>
              </w:rPr>
              <w:t xml:space="preserve">Policy and institutional coherence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17.13 Enhance global macroeconomic stability, including through policy coordination and policy coherence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BB; FD; MoFA; SID;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17.13.1 Macroeconomic Dashboard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GED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FD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c) NAW, BBS</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GED can develop a Macroeconomic Dashboard for reporting by collecting data from FD and BBS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17.14 Enhance policy coherence for sustainable development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PMO</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BB; FD; MoFA; GED; CD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17.14.1 Number of countries with mechanisms in place to enhance policy coherence of sustainable development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GED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MoEF</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Yes/No Indicator for Global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17.15 Respect each country’s policy space and leadership to establish and implement policies for poverty eradication and sustainable development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FD; MoC,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17.15.1 Extent of use of country-owned results frameworks and planning tools by providers of development cooperation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GED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GED can calculate as Meta data suggests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i/>
                <w:iCs/>
                <w:color w:val="auto"/>
                <w:sz w:val="20"/>
                <w:szCs w:val="20"/>
              </w:rPr>
              <w:t xml:space="preserve">Multi-stakeholder partnerships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17.16 Enhance the Global Partnership for Sustainable Development, complemented by multi-stakeholder partnerships that mobilize and share knowledge, expertise, technology and financial </w:t>
            </w:r>
            <w:r w:rsidRPr="00272035">
              <w:rPr>
                <w:color w:val="auto"/>
                <w:sz w:val="20"/>
                <w:szCs w:val="20"/>
              </w:rPr>
              <w:lastRenderedPageBreak/>
              <w:t xml:space="preserve">resources, to support the achievement of the Sustainable Development Goals in all countries, in particular developing countries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ERD</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GED; ICTD; MoE; MoFA; MoST; MoC</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17.16.1 Number of countries reporting progress in multi-stakeholder development effectiveness monitoring frameworks that support the achievement of the sustainable development goals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has to comply with development effectiveness monitoring frameworks and reporting for this Indicator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lastRenderedPageBreak/>
              <w:t xml:space="preserve">17.17 Encourage and promote effective public, public-private and civil society partnerships, building on the experience and resourcing strategies of partnerships </w:t>
            </w:r>
          </w:p>
        </w:tc>
        <w:tc>
          <w:tcPr>
            <w:tcW w:w="1260" w:type="dxa"/>
          </w:tcPr>
          <w:p w:rsidR="002E29BF" w:rsidRPr="00272035" w:rsidRDefault="002E29BF" w:rsidP="007D178C">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PMO </w:t>
            </w:r>
          </w:p>
        </w:tc>
        <w:tc>
          <w:tcPr>
            <w:tcW w:w="1615"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FD; GED; PID; MoFA; BB; PMO (BOI) </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17.17.1 Amount of United States dollars committed to public-private and civil society partnerships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NGO Affairs Bureau</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ERD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ERD can collect the data available in NGOAB regarding public-private and civil society partnerships</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i/>
                <w:iCs/>
                <w:color w:val="auto"/>
                <w:sz w:val="20"/>
                <w:szCs w:val="20"/>
              </w:rPr>
              <w:t xml:space="preserve">Data, monitoring and accountability </w:t>
            </w:r>
          </w:p>
          <w:p w:rsidR="002E29BF" w:rsidRPr="00272035" w:rsidRDefault="002E29BF" w:rsidP="00F474E8">
            <w:pPr>
              <w:pStyle w:val="Default"/>
              <w:spacing w:line="264" w:lineRule="auto"/>
              <w:rPr>
                <w:color w:val="auto"/>
                <w:sz w:val="20"/>
                <w:szCs w:val="20"/>
              </w:rPr>
            </w:pPr>
            <w:r w:rsidRPr="00272035">
              <w:rPr>
                <w:color w:val="auto"/>
                <w:sz w:val="20"/>
                <w:szCs w:val="20"/>
              </w:rPr>
              <w:t xml:space="preserve">17.18 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 </w:t>
            </w:r>
          </w:p>
        </w:tc>
        <w:tc>
          <w:tcPr>
            <w:tcW w:w="126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SID (BBS)</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BB; ERD; FD; IRD; MoE; MoPME; MoEF; MoHFW; EMRD; ICTD; PTD; LGD; MoA; MoF; MoCHTA; MoHA; MoPA; MoWCA; MoEWOE; MoHPW; MoFA; GED;</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17.18.1 Proportion of sustainable development indicators produced at the national level with full disaggregation when relevant to the target, in accordance with the Fundamental Principles of Official Statistics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Not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a) GED </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b) SID  </w:t>
            </w:r>
          </w:p>
        </w:tc>
        <w:tc>
          <w:tcPr>
            <w:tcW w:w="2340" w:type="dxa"/>
          </w:tcPr>
          <w:p w:rsidR="002E29BF" w:rsidRPr="00272035" w:rsidRDefault="002E29BF" w:rsidP="00C26140">
            <w:pPr>
              <w:pStyle w:val="ListParagraph"/>
              <w:numPr>
                <w:ilvl w:val="0"/>
                <w:numId w:val="18"/>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GED will have to have the capacity to report on SDG implementation</w:t>
            </w:r>
          </w:p>
          <w:p w:rsidR="002E29BF" w:rsidRPr="00272035" w:rsidRDefault="002E29BF" w:rsidP="00C26140">
            <w:pPr>
              <w:pStyle w:val="ListParagraph"/>
              <w:numPr>
                <w:ilvl w:val="0"/>
                <w:numId w:val="18"/>
              </w:numPr>
              <w:spacing w:after="0" w:line="264" w:lineRule="auto"/>
              <w:ind w:left="275" w:hanging="180"/>
              <w:rPr>
                <w:rFonts w:ascii="Times New Roman" w:hAnsi="Times New Roman"/>
                <w:sz w:val="20"/>
                <w:szCs w:val="20"/>
                <w:lang w:val="en-GB"/>
              </w:rPr>
            </w:pPr>
            <w:r w:rsidRPr="00272035">
              <w:rPr>
                <w:rFonts w:ascii="Times New Roman" w:hAnsi="Times New Roman"/>
                <w:sz w:val="20"/>
                <w:szCs w:val="20"/>
                <w:lang w:val="en-GB"/>
              </w:rPr>
              <w:t>SID will have to report the indicators available to measure in Bangladesh from various sources</w:t>
            </w:r>
          </w:p>
        </w:tc>
      </w:tr>
      <w:tr w:rsidR="002E29BF" w:rsidRPr="00272035" w:rsidTr="00F474E8">
        <w:trPr>
          <w:trHeight w:val="71"/>
        </w:trPr>
        <w:tc>
          <w:tcPr>
            <w:tcW w:w="2633" w:type="dxa"/>
          </w:tcPr>
          <w:p w:rsidR="002E29BF" w:rsidRPr="00272035" w:rsidRDefault="002E29BF" w:rsidP="00F474E8">
            <w:pPr>
              <w:pStyle w:val="Default"/>
              <w:spacing w:line="264" w:lineRule="auto"/>
              <w:rPr>
                <w:i/>
                <w:iCs/>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SID </w:t>
            </w: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17.18.2 Number of countries that have national statistical </w:t>
            </w:r>
            <w:r w:rsidRPr="00272035">
              <w:rPr>
                <w:color w:val="auto"/>
                <w:sz w:val="20"/>
                <w:szCs w:val="20"/>
              </w:rPr>
              <w:lastRenderedPageBreak/>
              <w:t xml:space="preserve">legislation that complies with the Fundamental Principles of Official Statistics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lastRenderedPageBreak/>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SID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Qualitative Indicator for Global Comparison</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pStyle w:val="NoSpacing"/>
              <w:spacing w:line="264" w:lineRule="auto"/>
              <w:rPr>
                <w:rFonts w:ascii="Times New Roman" w:hAnsi="Times New Roman" w:cs="Times New Roman"/>
                <w:sz w:val="20"/>
                <w:szCs w:val="20"/>
                <w:lang w:val="en-GB"/>
              </w:rPr>
            </w:pP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17.18.3 Number of countries with a national statistical plan that is fully funded and under implementation, by source of funding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SID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Ditto</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r w:rsidRPr="00272035">
              <w:rPr>
                <w:color w:val="auto"/>
                <w:sz w:val="20"/>
                <w:szCs w:val="20"/>
              </w:rPr>
              <w:t xml:space="preserve">17.19 By 2030, build on existing initiatives to develop measurements of progress on sustainable development that complement gross domestic product, and support statistical capacity-building in developing countries </w:t>
            </w:r>
          </w:p>
        </w:tc>
        <w:tc>
          <w:tcPr>
            <w:tcW w:w="1260"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 xml:space="preserve">SID, </w:t>
            </w:r>
          </w:p>
        </w:tc>
        <w:tc>
          <w:tcPr>
            <w:tcW w:w="1615" w:type="dxa"/>
          </w:tcPr>
          <w:p w:rsidR="002E29BF" w:rsidRPr="00272035" w:rsidRDefault="002E29BF" w:rsidP="00F474E8">
            <w:pPr>
              <w:pStyle w:val="NoSpacing"/>
              <w:spacing w:line="264" w:lineRule="auto"/>
              <w:rPr>
                <w:rFonts w:ascii="Times New Roman" w:hAnsi="Times New Roman" w:cs="Times New Roman"/>
                <w:sz w:val="20"/>
                <w:szCs w:val="20"/>
                <w:lang w:val="en-GB"/>
              </w:rPr>
            </w:pPr>
            <w:r w:rsidRPr="00272035">
              <w:rPr>
                <w:rFonts w:ascii="Times New Roman" w:hAnsi="Times New Roman" w:cs="Times New Roman"/>
                <w:sz w:val="20"/>
                <w:szCs w:val="20"/>
                <w:lang w:val="en-GB"/>
              </w:rPr>
              <w:t>GED; FD; ERD; BB</w:t>
            </w: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17.19.1 Dollar value of all resources made available to strengthen statistical capacity in developing countries </w:t>
            </w:r>
          </w:p>
          <w:p w:rsidR="002E29BF" w:rsidRPr="00272035" w:rsidRDefault="002E29BF" w:rsidP="00F474E8">
            <w:pPr>
              <w:pStyle w:val="Default"/>
              <w:spacing w:line="264" w:lineRule="auto"/>
              <w:rPr>
                <w:color w:val="auto"/>
                <w:sz w:val="20"/>
                <w:szCs w:val="20"/>
              </w:rPr>
            </w:pP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ERD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SID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 xml:space="preserve">ERD has to segregate the ODA and other external resource flows as per the SDG indicators  </w:t>
            </w:r>
          </w:p>
        </w:tc>
      </w:tr>
      <w:tr w:rsidR="002E29BF" w:rsidRPr="00272035" w:rsidTr="00F474E8">
        <w:trPr>
          <w:trHeight w:val="71"/>
        </w:trPr>
        <w:tc>
          <w:tcPr>
            <w:tcW w:w="2633" w:type="dxa"/>
          </w:tcPr>
          <w:p w:rsidR="002E29BF" w:rsidRPr="00272035" w:rsidRDefault="002E29BF" w:rsidP="00F474E8">
            <w:pPr>
              <w:pStyle w:val="Default"/>
              <w:spacing w:line="264" w:lineRule="auto"/>
              <w:rPr>
                <w:color w:val="auto"/>
                <w:sz w:val="20"/>
                <w:szCs w:val="20"/>
              </w:rPr>
            </w:pPr>
          </w:p>
        </w:tc>
        <w:tc>
          <w:tcPr>
            <w:tcW w:w="1260" w:type="dxa"/>
          </w:tcPr>
          <w:p w:rsidR="002E29BF" w:rsidRPr="00272035" w:rsidRDefault="002E29BF" w:rsidP="00F474E8">
            <w:pPr>
              <w:spacing w:after="0" w:line="264" w:lineRule="auto"/>
              <w:jc w:val="both"/>
              <w:rPr>
                <w:rFonts w:ascii="Times New Roman" w:hAnsi="Times New Roman"/>
                <w:sz w:val="20"/>
                <w:szCs w:val="20"/>
                <w:lang w:val="en-GB"/>
              </w:rPr>
            </w:pPr>
            <w:r w:rsidRPr="00272035">
              <w:rPr>
                <w:rFonts w:ascii="Times New Roman" w:hAnsi="Times New Roman"/>
                <w:sz w:val="20"/>
                <w:szCs w:val="20"/>
                <w:lang w:val="en-GB"/>
              </w:rPr>
              <w:t xml:space="preserve">SID </w:t>
            </w:r>
          </w:p>
        </w:tc>
        <w:tc>
          <w:tcPr>
            <w:tcW w:w="1615" w:type="dxa"/>
          </w:tcPr>
          <w:p w:rsidR="002E29BF" w:rsidRPr="00272035" w:rsidRDefault="002E29BF" w:rsidP="00F474E8">
            <w:pPr>
              <w:spacing w:after="0" w:line="264" w:lineRule="auto"/>
              <w:rPr>
                <w:rFonts w:ascii="Times New Roman" w:hAnsi="Times New Roman"/>
                <w:sz w:val="20"/>
                <w:szCs w:val="20"/>
                <w:lang w:val="en-GB"/>
              </w:rPr>
            </w:pPr>
          </w:p>
        </w:tc>
        <w:tc>
          <w:tcPr>
            <w:tcW w:w="2795" w:type="dxa"/>
          </w:tcPr>
          <w:p w:rsidR="002E29BF" w:rsidRPr="00272035" w:rsidRDefault="002E29BF" w:rsidP="00F474E8">
            <w:pPr>
              <w:pStyle w:val="Default"/>
              <w:rPr>
                <w:color w:val="auto"/>
                <w:sz w:val="20"/>
                <w:szCs w:val="20"/>
              </w:rPr>
            </w:pPr>
            <w:r w:rsidRPr="00272035">
              <w:rPr>
                <w:color w:val="auto"/>
                <w:sz w:val="20"/>
                <w:szCs w:val="20"/>
              </w:rPr>
              <w:t xml:space="preserve">17.19.2 Proportion of countries that (a) have conducted at least one population and housing census in the last 10 years; and (b) have achieved 100 per cent birth registration and 80 per cent death registration </w:t>
            </w:r>
          </w:p>
        </w:tc>
        <w:tc>
          <w:tcPr>
            <w:tcW w:w="180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Partially Available</w:t>
            </w:r>
          </w:p>
        </w:tc>
        <w:tc>
          <w:tcPr>
            <w:tcW w:w="243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a) BBS, SID</w:t>
            </w:r>
          </w:p>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b) LGD</w:t>
            </w:r>
          </w:p>
        </w:tc>
        <w:tc>
          <w:tcPr>
            <w:tcW w:w="2340" w:type="dxa"/>
          </w:tcPr>
          <w:p w:rsidR="002E29BF" w:rsidRPr="00272035" w:rsidRDefault="002E29BF" w:rsidP="00F474E8">
            <w:pPr>
              <w:spacing w:after="0" w:line="264" w:lineRule="auto"/>
              <w:rPr>
                <w:rFonts w:ascii="Times New Roman" w:hAnsi="Times New Roman"/>
                <w:sz w:val="20"/>
                <w:szCs w:val="20"/>
                <w:lang w:val="en-GB"/>
              </w:rPr>
            </w:pPr>
            <w:r w:rsidRPr="00272035">
              <w:rPr>
                <w:rFonts w:ascii="Times New Roman" w:hAnsi="Times New Roman"/>
                <w:sz w:val="20"/>
                <w:szCs w:val="20"/>
                <w:lang w:val="en-GB"/>
              </w:rPr>
              <w:t>Indicator for Global Comparison</w:t>
            </w:r>
          </w:p>
        </w:tc>
      </w:tr>
    </w:tbl>
    <w:p w:rsidR="00F474E8" w:rsidRDefault="00F474E8">
      <w:pPr>
        <w:spacing w:after="160" w:line="259" w:lineRule="auto"/>
        <w:rPr>
          <w:rFonts w:ascii="Times New Roman" w:eastAsia="Calibri" w:hAnsi="Times New Roman"/>
          <w:b/>
          <w:sz w:val="24"/>
          <w:szCs w:val="20"/>
          <w:lang w:val="en-GB"/>
        </w:rPr>
      </w:pPr>
    </w:p>
    <w:p w:rsidR="00A06D16" w:rsidRPr="00BD106C" w:rsidRDefault="00B21551" w:rsidP="00A06D16">
      <w:pPr>
        <w:pStyle w:val="NoSpacing"/>
        <w:spacing w:line="264" w:lineRule="auto"/>
        <w:jc w:val="both"/>
        <w:rPr>
          <w:rFonts w:ascii="Times New Roman" w:hAnsi="Times New Roman" w:cs="Times New Roman"/>
          <w:sz w:val="24"/>
          <w:szCs w:val="20"/>
          <w:lang w:val="en-GB"/>
        </w:rPr>
      </w:pPr>
      <w:r>
        <w:rPr>
          <w:rFonts w:ascii="Times New Roman" w:hAnsi="Times New Roman" w:cs="Times New Roman"/>
          <w:b/>
          <w:sz w:val="24"/>
          <w:szCs w:val="20"/>
          <w:lang w:val="en-GB"/>
        </w:rPr>
        <w:t>A</w:t>
      </w:r>
      <w:r w:rsidR="00A06D16" w:rsidRPr="00BD106C">
        <w:rPr>
          <w:rFonts w:ascii="Times New Roman" w:hAnsi="Times New Roman" w:cs="Times New Roman"/>
          <w:b/>
          <w:sz w:val="24"/>
          <w:szCs w:val="20"/>
          <w:lang w:val="en-GB"/>
        </w:rPr>
        <w:t xml:space="preserve">cronyms: </w:t>
      </w:r>
    </w:p>
    <w:p w:rsidR="00A06D16" w:rsidRDefault="00A06D16" w:rsidP="00A06D16">
      <w:pPr>
        <w:spacing w:after="0" w:line="264" w:lineRule="auto"/>
        <w:jc w:val="both"/>
        <w:rPr>
          <w:rFonts w:ascii="Times New Roman" w:hAnsi="Times New Roman"/>
          <w:sz w:val="20"/>
          <w:szCs w:val="20"/>
          <w:lang w:val="en-GB"/>
        </w:rPr>
      </w:pP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ACC</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Anti-Corruption Commission </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AWRRID</w:t>
      </w:r>
      <w:r w:rsidRPr="003E1EAD">
        <w:rPr>
          <w:rFonts w:ascii="Times New Roman" w:hAnsi="Times New Roman"/>
          <w:sz w:val="20"/>
          <w:szCs w:val="20"/>
          <w:lang w:val="en-GB"/>
        </w:rPr>
        <w:tab/>
        <w:t xml:space="preserve">: </w:t>
      </w:r>
      <w:hyperlink r:id="rId10" w:history="1">
        <w:r w:rsidRPr="003E1EAD">
          <w:rPr>
            <w:rFonts w:ascii="Times New Roman" w:hAnsi="Times New Roman"/>
            <w:sz w:val="20"/>
            <w:szCs w:val="20"/>
            <w:lang w:val="en-GB"/>
          </w:rPr>
          <w:t>Agriculture, Water Resources &amp; Rural Institution</w:t>
        </w:r>
      </w:hyperlink>
      <w:r w:rsidRPr="003E1EAD">
        <w:rPr>
          <w:rFonts w:ascii="Times New Roman" w:hAnsi="Times New Roman"/>
          <w:sz w:val="20"/>
          <w:szCs w:val="20"/>
          <w:lang w:val="en-GB"/>
        </w:rPr>
        <w:t xml:space="preserve"> Division, Planning Commission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BAB</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Bangladesh Accreditation Board </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BADC</w:t>
      </w:r>
      <w:r w:rsidRPr="003E1EAD">
        <w:rPr>
          <w:rFonts w:ascii="Times New Roman" w:hAnsi="Times New Roman"/>
          <w:sz w:val="20"/>
          <w:szCs w:val="20"/>
          <w:lang w:val="en-GB"/>
        </w:rPr>
        <w:tab/>
      </w:r>
      <w:r w:rsidRPr="003E1EAD">
        <w:rPr>
          <w:rFonts w:ascii="Times New Roman" w:hAnsi="Times New Roman"/>
          <w:sz w:val="20"/>
          <w:szCs w:val="20"/>
          <w:lang w:val="en-GB"/>
        </w:rPr>
        <w:tab/>
        <w:t>: Bangladesh Agricultural Development Corporation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BAEC</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Bangladesh Atomic Energy Commission </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lastRenderedPageBreak/>
        <w:t>BANBEIS</w:t>
      </w:r>
      <w:r w:rsidRPr="003E1EAD">
        <w:rPr>
          <w:rFonts w:ascii="Times New Roman" w:hAnsi="Times New Roman"/>
          <w:sz w:val="20"/>
          <w:szCs w:val="20"/>
          <w:lang w:val="en-GB"/>
        </w:rPr>
        <w:tab/>
        <w:t xml:space="preserve">: </w:t>
      </w:r>
      <w:r w:rsidRPr="003E1EAD">
        <w:rPr>
          <w:rFonts w:ascii="Times New Roman" w:hAnsi="Times New Roman"/>
          <w:bCs/>
          <w:sz w:val="20"/>
          <w:szCs w:val="20"/>
          <w:lang w:val="en-GB"/>
        </w:rPr>
        <w:t>Bangladesh Bureau of Educational Information &amp; Statistics</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rPr>
        <w:t>BARI</w:t>
      </w:r>
      <w:r w:rsidRPr="003E1EAD">
        <w:rPr>
          <w:rFonts w:ascii="Times New Roman" w:hAnsi="Times New Roman"/>
          <w:sz w:val="20"/>
          <w:szCs w:val="20"/>
        </w:rPr>
        <w:tab/>
      </w:r>
      <w:r w:rsidRPr="003E1EAD">
        <w:rPr>
          <w:rFonts w:ascii="Times New Roman" w:hAnsi="Times New Roman"/>
          <w:sz w:val="20"/>
          <w:szCs w:val="20"/>
        </w:rPr>
        <w:tab/>
        <w:t>: Bangladesh Agriculture Research Institute</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BB</w:t>
      </w:r>
      <w:r w:rsidRPr="003E1EAD">
        <w:rPr>
          <w:rFonts w:ascii="Times New Roman" w:hAnsi="Times New Roman"/>
          <w:sz w:val="20"/>
          <w:szCs w:val="20"/>
          <w:lang w:val="en-GB"/>
        </w:rPr>
        <w:tab/>
      </w:r>
      <w:r w:rsidRPr="003E1EAD">
        <w:rPr>
          <w:rFonts w:ascii="Times New Roman" w:hAnsi="Times New Roman"/>
          <w:sz w:val="20"/>
          <w:szCs w:val="20"/>
          <w:lang w:val="en-GB"/>
        </w:rPr>
        <w:tab/>
        <w:t>: Bangladesh Bank</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BD</w:t>
      </w:r>
      <w:r w:rsidRPr="003E1EAD">
        <w:rPr>
          <w:rFonts w:ascii="Times New Roman" w:hAnsi="Times New Roman"/>
          <w:sz w:val="20"/>
          <w:szCs w:val="20"/>
          <w:lang w:val="en-GB"/>
        </w:rPr>
        <w:tab/>
      </w:r>
      <w:r w:rsidRPr="003E1EAD">
        <w:rPr>
          <w:rFonts w:ascii="Times New Roman" w:hAnsi="Times New Roman"/>
          <w:sz w:val="20"/>
          <w:szCs w:val="20"/>
          <w:lang w:val="en-GB"/>
        </w:rPr>
        <w:tab/>
        <w:t>: Bridges Division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BERC</w:t>
      </w:r>
      <w:r w:rsidRPr="003E1EAD">
        <w:rPr>
          <w:rFonts w:ascii="Times New Roman" w:hAnsi="Times New Roman"/>
          <w:sz w:val="20"/>
          <w:szCs w:val="20"/>
          <w:lang w:val="en-GB"/>
        </w:rPr>
        <w:tab/>
      </w:r>
      <w:r w:rsidRPr="003E1EAD">
        <w:rPr>
          <w:rFonts w:ascii="Times New Roman" w:hAnsi="Times New Roman"/>
          <w:sz w:val="20"/>
          <w:szCs w:val="20"/>
          <w:lang w:val="en-GB"/>
        </w:rPr>
        <w:tab/>
        <w:t>: Bangladesh Energy Regulatory Commission</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BFD</w:t>
      </w:r>
      <w:r w:rsidRPr="003E1EAD">
        <w:rPr>
          <w:rFonts w:ascii="Times New Roman" w:hAnsi="Times New Roman"/>
          <w:sz w:val="20"/>
          <w:szCs w:val="20"/>
          <w:lang w:val="en-GB"/>
        </w:rPr>
        <w:tab/>
      </w:r>
      <w:r w:rsidRPr="003E1EAD">
        <w:rPr>
          <w:rFonts w:ascii="Times New Roman" w:hAnsi="Times New Roman"/>
          <w:sz w:val="20"/>
          <w:szCs w:val="20"/>
          <w:lang w:val="en-GB"/>
        </w:rPr>
        <w:tab/>
        <w:t>: Bangladesh Forest Department</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BFID</w:t>
      </w:r>
      <w:r w:rsidRPr="003E1EAD">
        <w:rPr>
          <w:rFonts w:ascii="Times New Roman" w:hAnsi="Times New Roman"/>
          <w:sz w:val="20"/>
          <w:szCs w:val="20"/>
          <w:lang w:val="en-GB"/>
        </w:rPr>
        <w:tab/>
      </w:r>
      <w:r w:rsidRPr="003E1EAD">
        <w:rPr>
          <w:rFonts w:ascii="Times New Roman" w:hAnsi="Times New Roman"/>
          <w:sz w:val="20"/>
          <w:szCs w:val="20"/>
          <w:lang w:val="en-GB"/>
        </w:rPr>
        <w:tab/>
        <w:t>: Bank and Financial Institutions Division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BIDS</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r w:rsidRPr="003E1EAD">
        <w:rPr>
          <w:rFonts w:ascii="Times New Roman" w:hAnsi="Times New Roman"/>
          <w:sz w:val="20"/>
          <w:szCs w:val="20"/>
          <w:lang w:val="en-GB"/>
        </w:rPr>
        <w:t>Bangladesh</w:t>
      </w:r>
      <w:r w:rsidRPr="003E1EAD">
        <w:rPr>
          <w:rFonts w:ascii="Times New Roman" w:hAnsi="Times New Roman"/>
          <w:sz w:val="20"/>
          <w:szCs w:val="20"/>
          <w:lang w:val="en-GB"/>
        </w:rPr>
        <w:t xml:space="preserve"> Institute of Development Studies</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 xml:space="preserve">BIWTA </w:t>
      </w:r>
      <w:r w:rsidRPr="003E1EAD">
        <w:rPr>
          <w:rFonts w:ascii="Times New Roman" w:hAnsi="Times New Roman"/>
          <w:sz w:val="20"/>
          <w:szCs w:val="20"/>
          <w:lang w:val="en-GB"/>
        </w:rPr>
        <w:tab/>
      </w:r>
      <w:r w:rsidRPr="003E1EAD">
        <w:rPr>
          <w:rFonts w:ascii="Times New Roman" w:hAnsi="Times New Roman"/>
          <w:sz w:val="20"/>
          <w:szCs w:val="20"/>
          <w:lang w:val="en-GB"/>
        </w:rPr>
        <w:tab/>
        <w:t>: Bangladesh Inland Water Transport Authority </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BIWTC</w:t>
      </w:r>
      <w:r w:rsidRPr="003E1EAD">
        <w:rPr>
          <w:rFonts w:ascii="Times New Roman" w:hAnsi="Times New Roman"/>
          <w:sz w:val="20"/>
          <w:szCs w:val="20"/>
          <w:lang w:val="en-GB"/>
        </w:rPr>
        <w:tab/>
      </w:r>
      <w:r w:rsidRPr="003E1EAD">
        <w:rPr>
          <w:rFonts w:ascii="Times New Roman" w:hAnsi="Times New Roman"/>
          <w:sz w:val="20"/>
          <w:szCs w:val="20"/>
          <w:lang w:val="en-GB"/>
        </w:rPr>
        <w:tab/>
        <w:t>: Bangladesh Inland Water Transport Corporation</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BMDA</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hyperlink r:id="rId11" w:history="1">
        <w:r w:rsidRPr="003E1EAD">
          <w:rPr>
            <w:rFonts w:ascii="Times New Roman" w:hAnsi="Times New Roman"/>
            <w:sz w:val="20"/>
            <w:szCs w:val="20"/>
            <w:lang w:val="en-GB"/>
          </w:rPr>
          <w:t>Barind Multipurpose Development Authority </w:t>
        </w:r>
      </w:hyperlink>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BMET</w:t>
      </w:r>
      <w:r w:rsidRPr="003E1EAD">
        <w:rPr>
          <w:rFonts w:ascii="Times New Roman" w:hAnsi="Times New Roman"/>
          <w:sz w:val="20"/>
          <w:szCs w:val="20"/>
          <w:lang w:val="en-GB"/>
        </w:rPr>
        <w:tab/>
      </w:r>
      <w:r w:rsidRPr="003E1EAD">
        <w:rPr>
          <w:rFonts w:ascii="Times New Roman" w:hAnsi="Times New Roman"/>
          <w:sz w:val="20"/>
          <w:szCs w:val="20"/>
          <w:lang w:val="en-GB"/>
        </w:rPr>
        <w:tab/>
        <w:t>: Bureau of Manpower, Employment and Training</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BN</w:t>
      </w:r>
      <w:r w:rsidRPr="003E1EAD">
        <w:rPr>
          <w:rFonts w:ascii="Times New Roman" w:hAnsi="Times New Roman"/>
          <w:sz w:val="20"/>
          <w:szCs w:val="20"/>
          <w:lang w:val="en-GB"/>
        </w:rPr>
        <w:tab/>
      </w:r>
      <w:r w:rsidRPr="003E1EAD">
        <w:rPr>
          <w:rFonts w:ascii="Times New Roman" w:hAnsi="Times New Roman"/>
          <w:sz w:val="20"/>
          <w:szCs w:val="20"/>
          <w:lang w:val="en-GB"/>
        </w:rPr>
        <w:tab/>
        <w:t>: Bangladesh Navy</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BOI</w:t>
      </w:r>
      <w:r w:rsidRPr="003E1EAD">
        <w:rPr>
          <w:rFonts w:ascii="Times New Roman" w:hAnsi="Times New Roman"/>
          <w:sz w:val="20"/>
          <w:szCs w:val="20"/>
          <w:lang w:val="en-GB"/>
        </w:rPr>
        <w:tab/>
      </w:r>
      <w:r w:rsidRPr="003E1EAD">
        <w:rPr>
          <w:rFonts w:ascii="Times New Roman" w:hAnsi="Times New Roman"/>
          <w:sz w:val="20"/>
          <w:szCs w:val="20"/>
          <w:lang w:val="en-GB"/>
        </w:rPr>
        <w:tab/>
        <w:t>: Board of Investment, PMO</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BP</w:t>
      </w:r>
      <w:r w:rsidRPr="003E1EAD">
        <w:rPr>
          <w:rFonts w:ascii="Times New Roman" w:hAnsi="Times New Roman"/>
          <w:sz w:val="20"/>
          <w:szCs w:val="20"/>
          <w:lang w:val="en-GB"/>
        </w:rPr>
        <w:tab/>
      </w:r>
      <w:r w:rsidRPr="003E1EAD">
        <w:rPr>
          <w:rFonts w:ascii="Times New Roman" w:hAnsi="Times New Roman"/>
          <w:sz w:val="20"/>
          <w:szCs w:val="20"/>
          <w:lang w:val="en-GB"/>
        </w:rPr>
        <w:tab/>
        <w:t>: Bangladesh Police</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BR</w:t>
      </w:r>
      <w:r w:rsidRPr="003E1EAD">
        <w:rPr>
          <w:rFonts w:ascii="Times New Roman" w:hAnsi="Times New Roman"/>
          <w:sz w:val="20"/>
          <w:szCs w:val="20"/>
          <w:lang w:val="en-GB"/>
        </w:rPr>
        <w:tab/>
      </w:r>
      <w:r w:rsidRPr="003E1EAD">
        <w:rPr>
          <w:rFonts w:ascii="Times New Roman" w:hAnsi="Times New Roman"/>
          <w:sz w:val="20"/>
          <w:szCs w:val="20"/>
          <w:lang w:val="en-GB"/>
        </w:rPr>
        <w:tab/>
        <w:t>: Bangladesh Railway</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BRTA</w:t>
      </w:r>
      <w:r w:rsidRPr="003E1EAD">
        <w:rPr>
          <w:rFonts w:ascii="Times New Roman" w:hAnsi="Times New Roman"/>
          <w:sz w:val="20"/>
          <w:szCs w:val="20"/>
          <w:lang w:val="en-GB"/>
        </w:rPr>
        <w:tab/>
      </w:r>
      <w:r w:rsidRPr="003E1EAD">
        <w:rPr>
          <w:rFonts w:ascii="Times New Roman" w:hAnsi="Times New Roman"/>
          <w:sz w:val="20"/>
          <w:szCs w:val="20"/>
          <w:lang w:val="en-GB"/>
        </w:rPr>
        <w:tab/>
        <w:t>: Bangladesh Road Transport Authority</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BTC</w:t>
      </w:r>
      <w:r w:rsidRPr="003E1EAD">
        <w:rPr>
          <w:rFonts w:ascii="Times New Roman" w:hAnsi="Times New Roman"/>
          <w:sz w:val="20"/>
          <w:szCs w:val="20"/>
          <w:lang w:val="en-GB"/>
        </w:rPr>
        <w:tab/>
      </w:r>
      <w:r w:rsidRPr="003E1EAD">
        <w:rPr>
          <w:rFonts w:ascii="Times New Roman" w:hAnsi="Times New Roman"/>
          <w:sz w:val="20"/>
          <w:szCs w:val="20"/>
          <w:lang w:val="en-GB"/>
        </w:rPr>
        <w:tab/>
        <w:t>: Bangladesh Tariff Commission</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BTRC</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hyperlink r:id="rId12" w:history="1">
        <w:r w:rsidRPr="003E1EAD">
          <w:rPr>
            <w:rFonts w:ascii="Times New Roman" w:hAnsi="Times New Roman"/>
            <w:sz w:val="20"/>
            <w:szCs w:val="20"/>
            <w:lang w:val="en-GB"/>
          </w:rPr>
          <w:t>Bangladesh Telecommunication Regulatory Commission </w:t>
        </w:r>
      </w:hyperlink>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CAAB</w:t>
      </w:r>
      <w:r w:rsidRPr="003E1EAD">
        <w:rPr>
          <w:rFonts w:ascii="Times New Roman" w:hAnsi="Times New Roman"/>
          <w:sz w:val="20"/>
          <w:szCs w:val="20"/>
          <w:lang w:val="en-GB"/>
        </w:rPr>
        <w:tab/>
      </w:r>
      <w:r w:rsidRPr="003E1EAD">
        <w:rPr>
          <w:rFonts w:ascii="Times New Roman" w:hAnsi="Times New Roman"/>
          <w:sz w:val="20"/>
          <w:szCs w:val="20"/>
          <w:lang w:val="en-GB"/>
        </w:rPr>
        <w:tab/>
        <w:t>: Civil Aviation Authority of Bangladesh</w:t>
      </w:r>
    </w:p>
    <w:p w:rsidR="003E1EAD" w:rsidRPr="003E1EAD" w:rsidRDefault="003E1EAD" w:rsidP="00A06D16">
      <w:pPr>
        <w:spacing w:after="0" w:line="264" w:lineRule="auto"/>
        <w:rPr>
          <w:rFonts w:ascii="Times New Roman" w:hAnsi="Times New Roman"/>
          <w:sz w:val="20"/>
          <w:szCs w:val="20"/>
          <w:lang w:val="en-GB"/>
        </w:rPr>
      </w:pPr>
      <w:r w:rsidRPr="003E1EAD">
        <w:rPr>
          <w:rFonts w:ascii="Times New Roman" w:hAnsi="Times New Roman"/>
          <w:sz w:val="20"/>
          <w:szCs w:val="20"/>
          <w:lang w:val="en-GB"/>
        </w:rPr>
        <w:t>CAG</w:t>
      </w:r>
      <w:r w:rsidRPr="003E1EAD">
        <w:rPr>
          <w:rFonts w:ascii="Times New Roman" w:hAnsi="Times New Roman"/>
          <w:sz w:val="20"/>
          <w:szCs w:val="20"/>
          <w:lang w:val="en-GB"/>
        </w:rPr>
        <w:tab/>
      </w:r>
      <w:r w:rsidRPr="003E1EAD">
        <w:rPr>
          <w:rFonts w:ascii="Times New Roman" w:hAnsi="Times New Roman"/>
          <w:sz w:val="20"/>
          <w:szCs w:val="20"/>
          <w:lang w:val="en-GB"/>
        </w:rPr>
        <w:tab/>
        <w:t>: Comptroller and Auditor General</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CD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Cabinet Division</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CDA</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Chittagong Development Authority </w:t>
      </w:r>
    </w:p>
    <w:p w:rsidR="003E1EAD" w:rsidRPr="003E1EAD" w:rsidRDefault="003E1EAD" w:rsidP="00FE06A5">
      <w:pPr>
        <w:spacing w:after="0" w:line="264" w:lineRule="auto"/>
        <w:rPr>
          <w:rFonts w:ascii="Times New Roman" w:hAnsi="Times New Roman"/>
          <w:sz w:val="20"/>
          <w:szCs w:val="20"/>
          <w:lang w:val="en-GB"/>
        </w:rPr>
      </w:pPr>
      <w:r w:rsidRPr="003E1EAD">
        <w:rPr>
          <w:rFonts w:ascii="Times New Roman" w:hAnsi="Times New Roman"/>
          <w:sz w:val="20"/>
          <w:szCs w:val="20"/>
          <w:lang w:val="en-GB"/>
        </w:rPr>
        <w:t>CDC</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r w:rsidRPr="003E1EAD">
        <w:rPr>
          <w:rFonts w:ascii="Times New Roman" w:hAnsi="Times New Roman"/>
          <w:sz w:val="20"/>
          <w:szCs w:val="20"/>
          <w:lang w:val="en-GB"/>
        </w:rPr>
        <w:t>Communicable Disease Control (</w:t>
      </w:r>
      <w:r w:rsidRPr="003E1EAD">
        <w:rPr>
          <w:rFonts w:ascii="Times New Roman" w:hAnsi="Times New Roman"/>
          <w:sz w:val="20"/>
          <w:szCs w:val="20"/>
          <w:lang w:val="en-GB"/>
        </w:rPr>
        <w:t>CDC</w:t>
      </w:r>
      <w:r w:rsidRPr="003E1EAD">
        <w:rPr>
          <w:rFonts w:ascii="Times New Roman" w:hAnsi="Times New Roman"/>
          <w:sz w:val="20"/>
          <w:szCs w:val="20"/>
          <w:lang w:val="en-GB"/>
        </w:rPr>
        <w:t>) unit</w:t>
      </w:r>
      <w:r w:rsidRPr="003E1EAD">
        <w:rPr>
          <w:rFonts w:ascii="Times New Roman" w:hAnsi="Times New Roman"/>
          <w:sz w:val="20"/>
          <w:szCs w:val="20"/>
          <w:lang w:val="en-GB"/>
        </w:rPr>
        <w:t xml:space="preserve"> of DGHS</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CLE, MoLE</w:t>
      </w:r>
      <w:r w:rsidRPr="003E1EAD">
        <w:rPr>
          <w:rFonts w:ascii="Times New Roman" w:hAnsi="Times New Roman"/>
          <w:sz w:val="20"/>
          <w:szCs w:val="20"/>
          <w:lang w:val="en-GB"/>
        </w:rPr>
        <w:tab/>
        <w:t>: Child Labour Unit, Ministry of Labour and Employment</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CPTU</w:t>
      </w:r>
      <w:r w:rsidRPr="003E1EAD">
        <w:rPr>
          <w:rFonts w:ascii="Times New Roman" w:hAnsi="Times New Roman"/>
          <w:sz w:val="20"/>
          <w:szCs w:val="20"/>
          <w:lang w:val="en-GB"/>
        </w:rPr>
        <w:tab/>
      </w:r>
      <w:r w:rsidRPr="003E1EAD">
        <w:rPr>
          <w:rFonts w:ascii="Times New Roman" w:hAnsi="Times New Roman"/>
          <w:sz w:val="20"/>
          <w:szCs w:val="20"/>
          <w:lang w:val="en-GB"/>
        </w:rPr>
        <w:tab/>
        <w:t>: Central Procurement Technical Unit</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DAE</w:t>
      </w:r>
      <w:r w:rsidRPr="003E1EAD">
        <w:rPr>
          <w:rFonts w:ascii="Times New Roman" w:hAnsi="Times New Roman"/>
          <w:sz w:val="20"/>
          <w:szCs w:val="20"/>
          <w:lang w:val="en-GB"/>
        </w:rPr>
        <w:tab/>
      </w:r>
      <w:r w:rsidRPr="003E1EAD">
        <w:rPr>
          <w:rFonts w:ascii="Times New Roman" w:hAnsi="Times New Roman"/>
          <w:sz w:val="20"/>
          <w:szCs w:val="20"/>
          <w:lang w:val="en-GB"/>
        </w:rPr>
        <w:tab/>
        <w:t>: Department of Agricultural Extension</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DDM</w:t>
      </w:r>
      <w:r w:rsidRPr="003E1EAD">
        <w:rPr>
          <w:rFonts w:ascii="Times New Roman" w:hAnsi="Times New Roman"/>
          <w:sz w:val="20"/>
          <w:szCs w:val="20"/>
          <w:lang w:val="en-GB"/>
        </w:rPr>
        <w:tab/>
      </w:r>
      <w:r w:rsidRPr="003E1EAD">
        <w:rPr>
          <w:rFonts w:ascii="Times New Roman" w:hAnsi="Times New Roman"/>
          <w:sz w:val="20"/>
          <w:szCs w:val="20"/>
          <w:lang w:val="en-GB"/>
        </w:rPr>
        <w:tab/>
        <w:t>: Department of Disaster Management</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DGFP</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r w:rsidRPr="003E1EAD">
        <w:rPr>
          <w:rFonts w:ascii="Times New Roman" w:hAnsi="Times New Roman"/>
          <w:sz w:val="20"/>
          <w:szCs w:val="20"/>
          <w:lang w:val="en-GB"/>
        </w:rPr>
        <w:t>Directorate General of</w:t>
      </w:r>
      <w:r w:rsidRPr="003E1EAD">
        <w:rPr>
          <w:rFonts w:ascii="Times New Roman" w:hAnsi="Times New Roman"/>
          <w:sz w:val="20"/>
          <w:szCs w:val="20"/>
          <w:lang w:val="en-GB"/>
        </w:rPr>
        <w:t xml:space="preserve"> Family Planning</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DGHS</w:t>
      </w:r>
      <w:r w:rsidRPr="003E1EAD">
        <w:rPr>
          <w:rFonts w:ascii="Times New Roman" w:hAnsi="Times New Roman"/>
          <w:sz w:val="20"/>
          <w:szCs w:val="20"/>
          <w:lang w:val="en-GB"/>
        </w:rPr>
        <w:tab/>
      </w:r>
      <w:r w:rsidRPr="003E1EAD">
        <w:rPr>
          <w:rFonts w:ascii="Times New Roman" w:hAnsi="Times New Roman"/>
          <w:sz w:val="20"/>
          <w:szCs w:val="20"/>
          <w:lang w:val="en-GB"/>
        </w:rPr>
        <w:tab/>
        <w:t>: Directorate General of Health Services</w:t>
      </w:r>
    </w:p>
    <w:p w:rsidR="003E1EAD" w:rsidRPr="003E1EAD" w:rsidRDefault="003E1EAD" w:rsidP="004A6603">
      <w:pPr>
        <w:autoSpaceDE w:val="0"/>
        <w:autoSpaceDN w:val="0"/>
        <w:adjustRightInd w:val="0"/>
        <w:spacing w:after="0" w:line="264" w:lineRule="auto"/>
        <w:rPr>
          <w:rFonts w:ascii="Times New Roman" w:eastAsiaTheme="minorHAnsi" w:hAnsi="Times New Roman"/>
          <w:sz w:val="20"/>
          <w:szCs w:val="20"/>
          <w:lang w:val="en-GB"/>
        </w:rPr>
      </w:pPr>
      <w:r w:rsidRPr="003E1EAD">
        <w:rPr>
          <w:rFonts w:ascii="Times New Roman" w:eastAsiaTheme="minorHAnsi" w:hAnsi="Times New Roman"/>
          <w:sz w:val="20"/>
          <w:szCs w:val="20"/>
          <w:lang w:val="en-GB"/>
        </w:rPr>
        <w:t>DIFE</w:t>
      </w:r>
      <w:r w:rsidRPr="003E1EAD">
        <w:rPr>
          <w:rFonts w:ascii="Times New Roman" w:eastAsiaTheme="minorHAnsi" w:hAnsi="Times New Roman"/>
          <w:sz w:val="20"/>
          <w:szCs w:val="20"/>
          <w:lang w:val="en-GB"/>
        </w:rPr>
        <w:tab/>
      </w:r>
      <w:r w:rsidRPr="003E1EAD">
        <w:rPr>
          <w:rFonts w:ascii="Times New Roman" w:eastAsiaTheme="minorHAnsi" w:hAnsi="Times New Roman"/>
          <w:sz w:val="20"/>
          <w:szCs w:val="20"/>
          <w:lang w:val="en-GB"/>
        </w:rPr>
        <w:tab/>
        <w:t>: Department of Inspection for Factories and Establishments, MoLE</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DNC</w:t>
      </w:r>
      <w:r w:rsidRPr="003E1EAD">
        <w:rPr>
          <w:rFonts w:ascii="Times New Roman" w:hAnsi="Times New Roman"/>
          <w:sz w:val="20"/>
          <w:szCs w:val="20"/>
          <w:lang w:val="en-GB"/>
        </w:rPr>
        <w:tab/>
      </w:r>
      <w:r w:rsidRPr="003E1EAD">
        <w:rPr>
          <w:rFonts w:ascii="Times New Roman" w:hAnsi="Times New Roman"/>
          <w:sz w:val="20"/>
          <w:szCs w:val="20"/>
          <w:lang w:val="en-GB"/>
        </w:rPr>
        <w:tab/>
        <w:t>: Department of Narcotics Control</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DoE</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Department of Environment </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DoF</w:t>
      </w:r>
      <w:r w:rsidRPr="003E1EAD">
        <w:rPr>
          <w:rFonts w:ascii="Times New Roman" w:hAnsi="Times New Roman"/>
          <w:sz w:val="20"/>
          <w:szCs w:val="20"/>
          <w:lang w:val="en-GB"/>
        </w:rPr>
        <w:tab/>
      </w:r>
      <w:r w:rsidRPr="003E1EAD">
        <w:rPr>
          <w:rFonts w:ascii="Times New Roman" w:hAnsi="Times New Roman"/>
          <w:sz w:val="20"/>
          <w:szCs w:val="20"/>
          <w:lang w:val="en-GB"/>
        </w:rPr>
        <w:tab/>
        <w:t>: Department of Fisheries</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DP, MoHA</w:t>
      </w:r>
      <w:r w:rsidRPr="003E1EAD">
        <w:rPr>
          <w:rFonts w:ascii="Times New Roman" w:hAnsi="Times New Roman"/>
          <w:sz w:val="20"/>
          <w:szCs w:val="20"/>
          <w:lang w:val="en-GB"/>
        </w:rPr>
        <w:tab/>
        <w:t>: Department of Prison, Ministry of Home Affairs</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lastRenderedPageBreak/>
        <w:t>DPDT</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Department of Patents Designs and Trademarks of Bangladesh </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DPE</w:t>
      </w:r>
      <w:r w:rsidRPr="003E1EAD">
        <w:rPr>
          <w:rFonts w:ascii="Times New Roman" w:hAnsi="Times New Roman"/>
          <w:sz w:val="20"/>
          <w:szCs w:val="20"/>
          <w:lang w:val="en-GB"/>
        </w:rPr>
        <w:tab/>
      </w:r>
      <w:r w:rsidRPr="003E1EAD">
        <w:rPr>
          <w:rFonts w:ascii="Times New Roman" w:hAnsi="Times New Roman"/>
          <w:sz w:val="20"/>
          <w:szCs w:val="20"/>
          <w:lang w:val="en-GB"/>
        </w:rPr>
        <w:tab/>
        <w:t>: Department of Primary Education</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DPHE</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hyperlink r:id="rId13" w:history="1">
        <w:r w:rsidRPr="003E1EAD">
          <w:rPr>
            <w:rFonts w:ascii="Times New Roman" w:hAnsi="Times New Roman"/>
            <w:sz w:val="20"/>
            <w:szCs w:val="20"/>
            <w:lang w:val="en-GB"/>
          </w:rPr>
          <w:t>Department of Public Health Engineering</w:t>
        </w:r>
      </w:hyperlink>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DYD</w:t>
      </w:r>
      <w:r w:rsidRPr="003E1EAD">
        <w:rPr>
          <w:rFonts w:ascii="Times New Roman" w:hAnsi="Times New Roman"/>
          <w:sz w:val="20"/>
          <w:szCs w:val="20"/>
          <w:lang w:val="en-GB"/>
        </w:rPr>
        <w:tab/>
      </w:r>
      <w:r w:rsidRPr="003E1EAD">
        <w:rPr>
          <w:rFonts w:ascii="Times New Roman" w:hAnsi="Times New Roman"/>
          <w:sz w:val="20"/>
          <w:szCs w:val="20"/>
          <w:lang w:val="en-GB"/>
        </w:rPr>
        <w:tab/>
        <w:t>: Department of Youth Development</w:t>
      </w:r>
    </w:p>
    <w:p w:rsidR="003E1EAD" w:rsidRPr="003E1EAD" w:rsidRDefault="003E1EAD" w:rsidP="00A06D16">
      <w:pPr>
        <w:spacing w:after="0" w:line="264" w:lineRule="auto"/>
        <w:rPr>
          <w:rFonts w:ascii="Times New Roman" w:hAnsi="Times New Roman"/>
          <w:sz w:val="20"/>
          <w:szCs w:val="20"/>
          <w:lang w:val="en-GB"/>
        </w:rPr>
      </w:pPr>
      <w:r w:rsidRPr="003E1EAD">
        <w:rPr>
          <w:rFonts w:ascii="Times New Roman" w:hAnsi="Times New Roman"/>
          <w:sz w:val="20"/>
          <w:szCs w:val="20"/>
          <w:lang w:val="en-GB"/>
        </w:rPr>
        <w:t>EC</w:t>
      </w:r>
      <w:r w:rsidRPr="003E1EAD">
        <w:rPr>
          <w:rFonts w:ascii="Times New Roman" w:hAnsi="Times New Roman"/>
          <w:sz w:val="20"/>
          <w:szCs w:val="20"/>
          <w:lang w:val="en-GB"/>
        </w:rPr>
        <w:tab/>
      </w:r>
      <w:r w:rsidRPr="003E1EAD">
        <w:rPr>
          <w:rFonts w:ascii="Times New Roman" w:hAnsi="Times New Roman"/>
          <w:sz w:val="20"/>
          <w:szCs w:val="20"/>
          <w:lang w:val="en-GB"/>
        </w:rPr>
        <w:tab/>
        <w:t>: Election Commission</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EMRD</w:t>
      </w:r>
      <w:r w:rsidRPr="003E1EAD">
        <w:rPr>
          <w:rFonts w:ascii="Times New Roman" w:hAnsi="Times New Roman"/>
          <w:sz w:val="20"/>
          <w:szCs w:val="20"/>
          <w:lang w:val="en-GB"/>
        </w:rPr>
        <w:tab/>
      </w:r>
      <w:r w:rsidRPr="003E1EAD">
        <w:rPr>
          <w:rFonts w:ascii="Times New Roman" w:hAnsi="Times New Roman"/>
          <w:sz w:val="20"/>
          <w:szCs w:val="20"/>
          <w:lang w:val="en-GB"/>
        </w:rPr>
        <w:tab/>
        <w:t>: Energy and Mineral Resources Division</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ERD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xml:space="preserve">: Economic Relations Division </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FD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Finance Division</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FPMU</w:t>
      </w:r>
      <w:r w:rsidRPr="003E1EAD">
        <w:rPr>
          <w:rFonts w:ascii="Times New Roman" w:hAnsi="Times New Roman"/>
          <w:sz w:val="20"/>
          <w:szCs w:val="20"/>
          <w:lang w:val="en-GB"/>
        </w:rPr>
        <w:tab/>
      </w:r>
      <w:r w:rsidRPr="003E1EAD">
        <w:rPr>
          <w:rFonts w:ascii="Times New Roman" w:hAnsi="Times New Roman"/>
          <w:sz w:val="20"/>
          <w:szCs w:val="20"/>
          <w:lang w:val="en-GB"/>
        </w:rPr>
        <w:tab/>
        <w:t>: Food Policy Monitoring Unit</w:t>
      </w:r>
    </w:p>
    <w:p w:rsidR="003E1EAD" w:rsidRPr="003E1EAD" w:rsidRDefault="003E1EAD" w:rsidP="004A6603">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FSCD</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Fire Service and Civil Defence </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GED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General Economics Division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HCU</w:t>
      </w:r>
      <w:r w:rsidRPr="003E1EAD">
        <w:rPr>
          <w:rFonts w:ascii="Times New Roman" w:hAnsi="Times New Roman"/>
          <w:sz w:val="20"/>
          <w:szCs w:val="20"/>
          <w:lang w:val="en-GB"/>
        </w:rPr>
        <w:tab/>
      </w:r>
      <w:r w:rsidRPr="003E1EAD">
        <w:rPr>
          <w:rFonts w:ascii="Times New Roman" w:hAnsi="Times New Roman"/>
          <w:sz w:val="20"/>
          <w:szCs w:val="20"/>
          <w:lang w:val="en-GB"/>
        </w:rPr>
        <w:tab/>
        <w:t>: Hydro Carbon Unit, EMRD</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HEU</w:t>
      </w:r>
      <w:r w:rsidRPr="003E1EAD">
        <w:rPr>
          <w:rFonts w:ascii="Times New Roman" w:hAnsi="Times New Roman"/>
          <w:sz w:val="20"/>
          <w:szCs w:val="20"/>
          <w:lang w:val="en-GB"/>
        </w:rPr>
        <w:tab/>
      </w:r>
      <w:r w:rsidRPr="003E1EAD">
        <w:rPr>
          <w:rFonts w:ascii="Times New Roman" w:hAnsi="Times New Roman"/>
          <w:sz w:val="20"/>
          <w:szCs w:val="20"/>
          <w:lang w:val="en-GB"/>
        </w:rPr>
        <w:tab/>
        <w:t>: Health Economics Unit, MoHFW</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ICTD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Information and Communication Technology Division</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IED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xml:space="preserve">: </w:t>
      </w:r>
      <w:hyperlink r:id="rId14" w:history="1">
        <w:r w:rsidRPr="003E1EAD">
          <w:rPr>
            <w:rFonts w:ascii="Times New Roman" w:hAnsi="Times New Roman" w:cs="Times New Roman"/>
            <w:sz w:val="20"/>
            <w:szCs w:val="20"/>
            <w:lang w:val="en-GB"/>
          </w:rPr>
          <w:t>Industry &amp; Energy Division</w:t>
        </w:r>
      </w:hyperlink>
      <w:r w:rsidRPr="003E1EAD">
        <w:rPr>
          <w:rFonts w:ascii="Times New Roman" w:hAnsi="Times New Roman" w:cs="Times New Roman"/>
          <w:sz w:val="20"/>
          <w:szCs w:val="20"/>
          <w:lang w:val="en-GB"/>
        </w:rPr>
        <w:t>, Planning Commission</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IEDCR</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hyperlink r:id="rId15" w:history="1">
        <w:r w:rsidRPr="003E1EAD">
          <w:rPr>
            <w:rFonts w:ascii="Times New Roman" w:hAnsi="Times New Roman"/>
            <w:sz w:val="20"/>
            <w:szCs w:val="20"/>
            <w:lang w:val="en-GB"/>
          </w:rPr>
          <w:t>Institute of Epidemiology, Disease Control and Research</w:t>
        </w:r>
      </w:hyperlink>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InfCom</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Information Commission </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IRD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Internal Resources Division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JRC</w:t>
      </w:r>
      <w:r w:rsidRPr="003E1EAD">
        <w:rPr>
          <w:rFonts w:ascii="Times New Roman" w:hAnsi="Times New Roman"/>
          <w:sz w:val="20"/>
          <w:szCs w:val="20"/>
          <w:lang w:val="en-GB"/>
        </w:rPr>
        <w:tab/>
      </w:r>
      <w:r w:rsidRPr="003E1EAD">
        <w:rPr>
          <w:rFonts w:ascii="Times New Roman" w:hAnsi="Times New Roman"/>
          <w:sz w:val="20"/>
          <w:szCs w:val="20"/>
          <w:lang w:val="en-GB"/>
        </w:rPr>
        <w:tab/>
        <w:t>: Joint Rivers Commission, MoWR</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KDA</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Khulna </w:t>
      </w:r>
      <w:r w:rsidRPr="003E1EAD">
        <w:rPr>
          <w:rFonts w:ascii="Times New Roman" w:hAnsi="Times New Roman"/>
          <w:sz w:val="20"/>
          <w:szCs w:val="20"/>
          <w:lang w:val="en-GB"/>
        </w:rPr>
        <w:t>Development Authority</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LGD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xml:space="preserve">: Local Government Division </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LGED</w:t>
      </w:r>
      <w:r w:rsidRPr="003E1EAD">
        <w:rPr>
          <w:rFonts w:ascii="Times New Roman" w:hAnsi="Times New Roman"/>
          <w:sz w:val="20"/>
          <w:szCs w:val="20"/>
          <w:lang w:val="en-GB"/>
        </w:rPr>
        <w:tab/>
      </w:r>
      <w:r w:rsidRPr="003E1EAD">
        <w:rPr>
          <w:rFonts w:ascii="Times New Roman" w:hAnsi="Times New Roman"/>
          <w:sz w:val="20"/>
          <w:szCs w:val="20"/>
          <w:lang w:val="en-GB"/>
        </w:rPr>
        <w:tab/>
        <w:t>: Local Government Engineering Department</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LJD</w:t>
      </w:r>
      <w:r w:rsidRPr="003E1EAD">
        <w:rPr>
          <w:rFonts w:ascii="Times New Roman" w:hAnsi="Times New Roman"/>
          <w:sz w:val="20"/>
          <w:szCs w:val="20"/>
          <w:lang w:val="en-GB"/>
        </w:rPr>
        <w:tab/>
      </w:r>
      <w:r w:rsidRPr="003E1EAD">
        <w:rPr>
          <w:rFonts w:ascii="Times New Roman" w:hAnsi="Times New Roman"/>
          <w:sz w:val="20"/>
          <w:szCs w:val="20"/>
          <w:lang w:val="en-GB"/>
        </w:rPr>
        <w:tab/>
        <w:t>: Law and Justice Division</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LPAD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Legislative and Parliamentary Affairs Division</w:t>
      </w:r>
    </w:p>
    <w:p w:rsidR="003E1EAD" w:rsidRPr="003E1EAD" w:rsidRDefault="003E1EAD" w:rsidP="004A6603">
      <w:pPr>
        <w:autoSpaceDE w:val="0"/>
        <w:autoSpaceDN w:val="0"/>
        <w:adjustRightInd w:val="0"/>
        <w:spacing w:after="0" w:line="264" w:lineRule="auto"/>
        <w:rPr>
          <w:rFonts w:ascii="Times New Roman" w:eastAsiaTheme="minorHAnsi" w:hAnsi="Times New Roman"/>
          <w:sz w:val="20"/>
          <w:szCs w:val="20"/>
          <w:lang w:val="en-GB"/>
        </w:rPr>
      </w:pPr>
      <w:r w:rsidRPr="003E1EAD">
        <w:rPr>
          <w:rFonts w:ascii="Times New Roman" w:eastAsiaTheme="minorHAnsi" w:hAnsi="Times New Roman"/>
          <w:sz w:val="20"/>
          <w:szCs w:val="20"/>
          <w:lang w:val="en-GB"/>
        </w:rPr>
        <w:t>MIS</w:t>
      </w:r>
      <w:r w:rsidRPr="003E1EAD">
        <w:rPr>
          <w:rFonts w:ascii="Times New Roman" w:eastAsiaTheme="minorHAnsi" w:hAnsi="Times New Roman"/>
          <w:sz w:val="20"/>
          <w:szCs w:val="20"/>
          <w:lang w:val="en-GB"/>
        </w:rPr>
        <w:tab/>
      </w:r>
      <w:r w:rsidRPr="003E1EAD">
        <w:rPr>
          <w:rFonts w:ascii="Times New Roman" w:eastAsiaTheme="minorHAnsi" w:hAnsi="Times New Roman"/>
          <w:sz w:val="20"/>
          <w:szCs w:val="20"/>
          <w:lang w:val="en-GB"/>
        </w:rPr>
        <w:tab/>
        <w:t xml:space="preserve">: </w:t>
      </w:r>
      <w:hyperlink r:id="rId16" w:history="1">
        <w:r w:rsidRPr="003E1EAD">
          <w:rPr>
            <w:rFonts w:ascii="Times New Roman" w:eastAsiaTheme="minorHAnsi" w:hAnsi="Times New Roman"/>
            <w:sz w:val="20"/>
            <w:szCs w:val="20"/>
            <w:lang w:val="en-GB"/>
          </w:rPr>
          <w:t>Management Information System</w:t>
        </w:r>
      </w:hyperlink>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MoA</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Agriculture</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MoC</w:t>
      </w:r>
      <w:r w:rsidRPr="003E1EAD">
        <w:rPr>
          <w:rFonts w:ascii="Times New Roman" w:hAnsi="Times New Roman"/>
          <w:sz w:val="20"/>
          <w:szCs w:val="20"/>
          <w:lang w:val="en-GB"/>
        </w:rPr>
        <w:tab/>
      </w:r>
      <w:r w:rsidRPr="003E1EAD">
        <w:rPr>
          <w:rFonts w:ascii="Times New Roman" w:hAnsi="Times New Roman"/>
          <w:sz w:val="20"/>
          <w:szCs w:val="20"/>
          <w:lang w:val="en-GB"/>
        </w:rPr>
        <w:tab/>
        <w:t>: Ministry of Commerce</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MoCA</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Cultural Affairs</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MoCAT</w:t>
      </w:r>
      <w:r w:rsidRPr="003E1EAD">
        <w:rPr>
          <w:rFonts w:ascii="Times New Roman" w:hAnsi="Times New Roman"/>
          <w:sz w:val="20"/>
          <w:szCs w:val="20"/>
          <w:lang w:val="en-GB"/>
        </w:rPr>
        <w:tab/>
      </w:r>
      <w:r>
        <w:rPr>
          <w:rFonts w:ascii="Times New Roman" w:hAnsi="Times New Roman"/>
          <w:sz w:val="20"/>
          <w:szCs w:val="20"/>
          <w:lang w:val="en-GB"/>
        </w:rPr>
        <w:tab/>
      </w:r>
      <w:r w:rsidRPr="003E1EAD">
        <w:rPr>
          <w:rFonts w:ascii="Times New Roman" w:hAnsi="Times New Roman"/>
          <w:sz w:val="20"/>
          <w:szCs w:val="20"/>
          <w:lang w:val="en-GB"/>
        </w:rPr>
        <w:t>: Ministry of Civil Aviation and Tourism</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MoCHTA</w:t>
      </w:r>
      <w:r w:rsidRPr="003E1EAD">
        <w:rPr>
          <w:rFonts w:ascii="Times New Roman" w:hAnsi="Times New Roman" w:cs="Times New Roman"/>
          <w:sz w:val="20"/>
          <w:szCs w:val="20"/>
          <w:lang w:val="en-GB"/>
        </w:rPr>
        <w:tab/>
        <w:t>: Ministry of Chittagong Hill Tracts Affairs</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MoD</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Ministry of Defence </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MoDMR</w:t>
      </w:r>
      <w:r w:rsidRPr="003E1EAD">
        <w:rPr>
          <w:rFonts w:ascii="Times New Roman" w:hAnsi="Times New Roman"/>
          <w:sz w:val="20"/>
          <w:szCs w:val="20"/>
          <w:lang w:val="en-GB"/>
        </w:rPr>
        <w:tab/>
        <w:t>: Ministry of Disaster Management and Relief</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MoE</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Education</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MoEF</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Environment and Forests</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MoEWOE</w:t>
      </w:r>
      <w:r w:rsidRPr="003E1EAD">
        <w:rPr>
          <w:rFonts w:ascii="Times New Roman" w:hAnsi="Times New Roman" w:cs="Times New Roman"/>
          <w:sz w:val="20"/>
          <w:szCs w:val="20"/>
          <w:lang w:val="en-GB"/>
        </w:rPr>
        <w:tab/>
        <w:t>: Ministry of Expatriates’ Welfare and Overseas Employment</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lastRenderedPageBreak/>
        <w:t>MoF</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Food</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MoFA</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Foreign Affairs</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MoFL</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xml:space="preserve">: Ministry of Fisheries and Livestock </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MoHA</w:t>
      </w:r>
      <w:r w:rsidRPr="003E1EAD">
        <w:rPr>
          <w:rFonts w:ascii="Times New Roman" w:hAnsi="Times New Roman"/>
          <w:sz w:val="20"/>
          <w:szCs w:val="20"/>
          <w:lang w:val="en-GB"/>
        </w:rPr>
        <w:tab/>
      </w:r>
      <w:r w:rsidRPr="003E1EAD">
        <w:rPr>
          <w:rFonts w:ascii="Times New Roman" w:hAnsi="Times New Roman"/>
          <w:sz w:val="20"/>
          <w:szCs w:val="20"/>
          <w:lang w:val="en-GB"/>
        </w:rPr>
        <w:tab/>
        <w:t>: Ministry of Home Affairs</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MoHPW</w:t>
      </w:r>
      <w:r w:rsidRPr="003E1EAD">
        <w:rPr>
          <w:rFonts w:ascii="Times New Roman" w:hAnsi="Times New Roman"/>
          <w:sz w:val="20"/>
          <w:szCs w:val="20"/>
          <w:lang w:val="en-GB"/>
        </w:rPr>
        <w:tab/>
        <w:t xml:space="preserve">: Ministry of Housing and Public Works </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MoInd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Industries</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MoInf</w:t>
      </w:r>
      <w:r w:rsidRPr="003E1EAD">
        <w:rPr>
          <w:rFonts w:ascii="Times New Roman" w:hAnsi="Times New Roman"/>
          <w:sz w:val="20"/>
          <w:szCs w:val="20"/>
          <w:lang w:val="en-GB"/>
        </w:rPr>
        <w:tab/>
      </w:r>
      <w:r w:rsidRPr="003E1EAD">
        <w:rPr>
          <w:rFonts w:ascii="Times New Roman" w:hAnsi="Times New Roman"/>
          <w:sz w:val="20"/>
          <w:szCs w:val="20"/>
          <w:lang w:val="en-GB"/>
        </w:rPr>
        <w:tab/>
        <w:t>: Ministry of Information</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MoL</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Land</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MoLE</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Labour and Employment</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MoLWA</w:t>
      </w:r>
      <w:r w:rsidRPr="003E1EAD">
        <w:rPr>
          <w:rFonts w:ascii="Times New Roman" w:hAnsi="Times New Roman" w:cs="Times New Roman"/>
          <w:sz w:val="20"/>
          <w:szCs w:val="20"/>
          <w:lang w:val="en-GB"/>
        </w:rPr>
        <w:tab/>
        <w:t>: Ministry of Liberation War Affairs</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MoPA</w:t>
      </w:r>
      <w:r w:rsidRPr="003E1EAD">
        <w:rPr>
          <w:rFonts w:ascii="Times New Roman" w:hAnsi="Times New Roman"/>
          <w:sz w:val="20"/>
          <w:szCs w:val="20"/>
          <w:lang w:val="en-GB"/>
        </w:rPr>
        <w:tab/>
      </w:r>
      <w:r w:rsidRPr="003E1EAD">
        <w:rPr>
          <w:rFonts w:ascii="Times New Roman" w:hAnsi="Times New Roman"/>
          <w:sz w:val="20"/>
          <w:szCs w:val="20"/>
          <w:lang w:val="en-GB"/>
        </w:rPr>
        <w:tab/>
        <w:t>: Ministry of Public Administration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MoPME</w:t>
      </w:r>
      <w:r w:rsidRPr="003E1EAD">
        <w:rPr>
          <w:rFonts w:ascii="Times New Roman" w:hAnsi="Times New Roman"/>
          <w:sz w:val="20"/>
          <w:szCs w:val="20"/>
          <w:lang w:val="en-GB"/>
        </w:rPr>
        <w:tab/>
      </w:r>
      <w:r>
        <w:rPr>
          <w:rFonts w:ascii="Times New Roman" w:hAnsi="Times New Roman"/>
          <w:sz w:val="20"/>
          <w:szCs w:val="20"/>
          <w:lang w:val="en-GB"/>
        </w:rPr>
        <w:tab/>
      </w:r>
      <w:r w:rsidRPr="003E1EAD">
        <w:rPr>
          <w:rFonts w:ascii="Times New Roman" w:hAnsi="Times New Roman"/>
          <w:sz w:val="20"/>
          <w:szCs w:val="20"/>
          <w:lang w:val="en-GB"/>
        </w:rPr>
        <w:t>: Ministry of Primary and Mass Education</w:t>
      </w:r>
    </w:p>
    <w:p w:rsidR="003E1EAD" w:rsidRPr="003E1EAD" w:rsidRDefault="003E1EAD" w:rsidP="00A06D16">
      <w:pPr>
        <w:spacing w:after="0" w:line="264" w:lineRule="auto"/>
        <w:jc w:val="both"/>
        <w:rPr>
          <w:rFonts w:ascii="Times New Roman" w:hAnsi="Times New Roman"/>
          <w:sz w:val="20"/>
          <w:szCs w:val="20"/>
          <w:lang w:val="en-GB"/>
        </w:rPr>
      </w:pPr>
      <w:proofErr w:type="gramStart"/>
      <w:r w:rsidRPr="003E1EAD">
        <w:rPr>
          <w:rFonts w:ascii="Times New Roman" w:hAnsi="Times New Roman"/>
          <w:sz w:val="20"/>
          <w:szCs w:val="20"/>
          <w:lang w:val="en-GB"/>
        </w:rPr>
        <w:t>MoR</w:t>
      </w:r>
      <w:proofErr w:type="gramEnd"/>
      <w:r w:rsidRPr="003E1EAD">
        <w:rPr>
          <w:rFonts w:ascii="Times New Roman" w:hAnsi="Times New Roman"/>
          <w:sz w:val="20"/>
          <w:szCs w:val="20"/>
          <w:lang w:val="en-GB"/>
        </w:rPr>
        <w:tab/>
      </w:r>
      <w:r w:rsidRPr="003E1EAD">
        <w:rPr>
          <w:rFonts w:ascii="Times New Roman" w:hAnsi="Times New Roman"/>
          <w:sz w:val="20"/>
          <w:szCs w:val="20"/>
          <w:lang w:val="en-GB"/>
        </w:rPr>
        <w:tab/>
        <w:t>: Ministry of Railways</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MoRA</w:t>
      </w:r>
      <w:r w:rsidRPr="003E1EAD">
        <w:rPr>
          <w:rFonts w:ascii="Times New Roman" w:hAnsi="Times New Roman"/>
          <w:sz w:val="20"/>
          <w:szCs w:val="20"/>
          <w:lang w:val="en-GB"/>
        </w:rPr>
        <w:tab/>
      </w:r>
      <w:r w:rsidRPr="003E1EAD">
        <w:rPr>
          <w:rFonts w:ascii="Times New Roman" w:hAnsi="Times New Roman"/>
          <w:sz w:val="20"/>
          <w:szCs w:val="20"/>
          <w:lang w:val="en-GB"/>
        </w:rPr>
        <w:tab/>
        <w:t>: Ministry of Religious Affairs</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MoS</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Ministry of Shipping </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MoST</w:t>
      </w:r>
      <w:r w:rsidRPr="003E1EAD">
        <w:rPr>
          <w:rFonts w:ascii="Times New Roman" w:hAnsi="Times New Roman"/>
          <w:sz w:val="20"/>
          <w:szCs w:val="20"/>
          <w:lang w:val="en-GB"/>
        </w:rPr>
        <w:tab/>
      </w:r>
      <w:r w:rsidRPr="003E1EAD">
        <w:rPr>
          <w:rFonts w:ascii="Times New Roman" w:hAnsi="Times New Roman"/>
          <w:sz w:val="20"/>
          <w:szCs w:val="20"/>
          <w:lang w:val="en-GB"/>
        </w:rPr>
        <w:tab/>
        <w:t>: Ministry of Science and Technology</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MoSW</w:t>
      </w:r>
      <w:r w:rsidRPr="003E1EAD">
        <w:rPr>
          <w:rFonts w:ascii="Times New Roman" w:hAnsi="Times New Roman"/>
          <w:sz w:val="20"/>
          <w:szCs w:val="20"/>
          <w:lang w:val="en-GB"/>
        </w:rPr>
        <w:tab/>
      </w:r>
      <w:r w:rsidRPr="003E1EAD">
        <w:rPr>
          <w:rFonts w:ascii="Times New Roman" w:hAnsi="Times New Roman"/>
          <w:sz w:val="20"/>
          <w:szCs w:val="20"/>
          <w:lang w:val="en-GB"/>
        </w:rPr>
        <w:tab/>
        <w:t>: Ministry of Social Welfare</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MoWCA</w:t>
      </w:r>
      <w:r w:rsidRPr="003E1EAD">
        <w:rPr>
          <w:rFonts w:ascii="Times New Roman" w:hAnsi="Times New Roman" w:cs="Times New Roman"/>
          <w:sz w:val="20"/>
          <w:szCs w:val="20"/>
          <w:lang w:val="en-GB"/>
        </w:rPr>
        <w:tab/>
        <w:t>: Ministry of Women and Children Affairs</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MoWR</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Water Resources</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MoYS</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Ministry of Youth and Sports</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MRA</w:t>
      </w:r>
      <w:r w:rsidRPr="003E1EAD">
        <w:rPr>
          <w:rFonts w:ascii="Times New Roman" w:hAnsi="Times New Roman"/>
          <w:sz w:val="20"/>
          <w:szCs w:val="20"/>
          <w:lang w:val="en-GB"/>
        </w:rPr>
        <w:tab/>
      </w:r>
      <w:r w:rsidRPr="003E1EAD">
        <w:rPr>
          <w:rFonts w:ascii="Times New Roman" w:hAnsi="Times New Roman"/>
          <w:sz w:val="20"/>
          <w:szCs w:val="20"/>
          <w:lang w:val="en-GB"/>
        </w:rPr>
        <w:tab/>
        <w:t>: Micro-Credit Regulatory Authority</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NARS</w:t>
      </w:r>
      <w:r w:rsidRPr="003E1EAD">
        <w:rPr>
          <w:rFonts w:ascii="Times New Roman" w:hAnsi="Times New Roman"/>
          <w:sz w:val="20"/>
          <w:szCs w:val="20"/>
          <w:lang w:val="en-GB"/>
        </w:rPr>
        <w:tab/>
      </w:r>
      <w:r w:rsidRPr="003E1EAD">
        <w:rPr>
          <w:rFonts w:ascii="Times New Roman" w:hAnsi="Times New Roman"/>
          <w:sz w:val="20"/>
          <w:szCs w:val="20"/>
          <w:lang w:val="en-GB"/>
        </w:rPr>
        <w:tab/>
        <w:t>: National Agriculture Research System</w:t>
      </w:r>
      <w:r w:rsidRPr="003E1EAD">
        <w:rPr>
          <w:rFonts w:ascii="Times New Roman" w:hAnsi="Times New Roman"/>
          <w:sz w:val="20"/>
          <w:szCs w:val="20"/>
          <w:lang w:val="en-GB"/>
        </w:rPr>
        <w:tab/>
      </w:r>
      <w:r w:rsidRPr="003E1EAD">
        <w:rPr>
          <w:rFonts w:ascii="Times New Roman" w:hAnsi="Times New Roman"/>
          <w:sz w:val="20"/>
          <w:szCs w:val="20"/>
          <w:lang w:val="en-GB"/>
        </w:rPr>
        <w:tab/>
      </w:r>
    </w:p>
    <w:p w:rsidR="003E1EAD" w:rsidRPr="003E1EAD" w:rsidRDefault="003E1EAD" w:rsidP="00FE06A5">
      <w:pPr>
        <w:spacing w:after="0" w:line="264" w:lineRule="auto"/>
        <w:rPr>
          <w:rFonts w:ascii="Times New Roman" w:hAnsi="Times New Roman"/>
          <w:sz w:val="20"/>
          <w:szCs w:val="20"/>
        </w:rPr>
      </w:pPr>
      <w:r w:rsidRPr="003E1EAD">
        <w:rPr>
          <w:rFonts w:ascii="Times New Roman" w:hAnsi="Times New Roman"/>
          <w:sz w:val="20"/>
          <w:szCs w:val="20"/>
          <w:lang w:val="en-GB"/>
        </w:rPr>
        <w:t>NASP</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National AIDS/STD Programme (Programme of </w:t>
      </w:r>
      <w:r w:rsidRPr="003E1EAD">
        <w:rPr>
          <w:rFonts w:ascii="Times New Roman" w:hAnsi="Times New Roman"/>
          <w:sz w:val="20"/>
          <w:szCs w:val="20"/>
          <w:lang w:val="en-GB"/>
        </w:rPr>
        <w:t>DGHS)</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NAW, BBS</w:t>
      </w:r>
      <w:r w:rsidRPr="003E1EAD">
        <w:rPr>
          <w:rFonts w:ascii="Times New Roman" w:hAnsi="Times New Roman"/>
          <w:sz w:val="20"/>
          <w:szCs w:val="20"/>
          <w:lang w:val="en-GB"/>
        </w:rPr>
        <w:tab/>
        <w:t>: National Accounts Wing, BBS</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NCDC</w:t>
      </w:r>
      <w:r w:rsidRPr="003E1EAD">
        <w:rPr>
          <w:rFonts w:ascii="Times New Roman" w:hAnsi="Times New Roman"/>
          <w:sz w:val="20"/>
          <w:szCs w:val="20"/>
          <w:lang w:val="en-GB"/>
        </w:rPr>
        <w:tab/>
      </w:r>
      <w:r w:rsidRPr="003E1EAD">
        <w:rPr>
          <w:rFonts w:ascii="Times New Roman" w:hAnsi="Times New Roman"/>
          <w:sz w:val="20"/>
          <w:szCs w:val="20"/>
          <w:lang w:val="en-GB"/>
        </w:rPr>
        <w:tab/>
        <w:t>: Non-</w:t>
      </w:r>
      <w:r w:rsidRPr="003E1EAD">
        <w:rPr>
          <w:rFonts w:ascii="Times New Roman" w:hAnsi="Times New Roman"/>
          <w:sz w:val="20"/>
          <w:szCs w:val="20"/>
          <w:lang w:val="en-GB"/>
        </w:rPr>
        <w:t>Communicable Disease Control (</w:t>
      </w:r>
      <w:r w:rsidRPr="003E1EAD">
        <w:rPr>
          <w:rFonts w:ascii="Times New Roman" w:hAnsi="Times New Roman"/>
          <w:sz w:val="20"/>
          <w:szCs w:val="20"/>
          <w:lang w:val="en-GB"/>
        </w:rPr>
        <w:t>N</w:t>
      </w:r>
      <w:r w:rsidRPr="003E1EAD">
        <w:rPr>
          <w:rFonts w:ascii="Times New Roman" w:hAnsi="Times New Roman"/>
          <w:sz w:val="20"/>
          <w:szCs w:val="20"/>
          <w:lang w:val="en-GB"/>
        </w:rPr>
        <w:t>CDC) unit of DGHS</w:t>
      </w:r>
    </w:p>
    <w:p w:rsidR="003E1EAD" w:rsidRPr="003E1EAD" w:rsidRDefault="003E1EAD" w:rsidP="00A9270C">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NGOAB</w:t>
      </w:r>
      <w:r w:rsidRPr="003E1EAD">
        <w:rPr>
          <w:rFonts w:ascii="Times New Roman" w:hAnsi="Times New Roman"/>
          <w:sz w:val="20"/>
          <w:szCs w:val="20"/>
          <w:lang w:val="en-GB"/>
        </w:rPr>
        <w:t xml:space="preserve"> </w:t>
      </w:r>
      <w:r w:rsidRPr="003E1EAD">
        <w:rPr>
          <w:rFonts w:ascii="Times New Roman" w:hAnsi="Times New Roman"/>
          <w:sz w:val="20"/>
          <w:szCs w:val="20"/>
          <w:lang w:val="en-GB"/>
        </w:rPr>
        <w:tab/>
        <w:t xml:space="preserve">: </w:t>
      </w:r>
      <w:r w:rsidRPr="003E1EAD">
        <w:rPr>
          <w:rFonts w:ascii="Times New Roman" w:hAnsi="Times New Roman"/>
          <w:sz w:val="20"/>
          <w:szCs w:val="20"/>
          <w:lang w:val="en-GB"/>
        </w:rPr>
        <w:t>NGO Affairs Bureau</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NHRC</w:t>
      </w:r>
      <w:r w:rsidRPr="003E1EAD">
        <w:rPr>
          <w:rFonts w:ascii="Times New Roman" w:hAnsi="Times New Roman"/>
          <w:sz w:val="20"/>
          <w:szCs w:val="20"/>
          <w:lang w:val="en-GB"/>
        </w:rPr>
        <w:tab/>
      </w:r>
      <w:r w:rsidRPr="003E1EAD">
        <w:rPr>
          <w:rFonts w:ascii="Times New Roman" w:hAnsi="Times New Roman"/>
          <w:sz w:val="20"/>
          <w:szCs w:val="20"/>
          <w:lang w:val="en-GB"/>
        </w:rPr>
        <w:tab/>
        <w:t>: National Human Rights Commission</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NIPORT</w:t>
      </w:r>
      <w:r w:rsidRPr="003E1EAD">
        <w:rPr>
          <w:rFonts w:ascii="Times New Roman" w:hAnsi="Times New Roman"/>
          <w:sz w:val="20"/>
          <w:szCs w:val="20"/>
          <w:lang w:val="en-GB"/>
        </w:rPr>
        <w:tab/>
        <w:t>: National Institute of Population Research and Training</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NNS</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National Nutritional Service </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NPFP</w:t>
      </w:r>
      <w:r w:rsidRPr="003E1EAD">
        <w:rPr>
          <w:rFonts w:ascii="Times New Roman" w:hAnsi="Times New Roman"/>
          <w:sz w:val="20"/>
          <w:szCs w:val="20"/>
          <w:lang w:val="en-GB"/>
        </w:rPr>
        <w:tab/>
      </w:r>
      <w:r w:rsidRPr="003E1EAD">
        <w:rPr>
          <w:rFonts w:ascii="Times New Roman" w:hAnsi="Times New Roman"/>
          <w:sz w:val="20"/>
          <w:szCs w:val="20"/>
          <w:lang w:val="en-GB"/>
        </w:rPr>
        <w:tab/>
        <w:t>: National Poverty Focal Point</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NSDS</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National Strategy for the Development of Statistics  </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NSDS</w:t>
      </w:r>
      <w:r w:rsidRPr="003E1EAD">
        <w:rPr>
          <w:rFonts w:ascii="Times New Roman" w:hAnsi="Times New Roman"/>
          <w:sz w:val="20"/>
          <w:szCs w:val="20"/>
          <w:lang w:val="en-GB"/>
        </w:rPr>
        <w:tab/>
      </w:r>
      <w:r w:rsidRPr="003E1EAD">
        <w:rPr>
          <w:rFonts w:ascii="Times New Roman" w:hAnsi="Times New Roman"/>
          <w:sz w:val="20"/>
          <w:szCs w:val="20"/>
          <w:lang w:val="en-GB"/>
        </w:rPr>
        <w:tab/>
        <w:t>: National Sustainable Development Strategy</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NSSS</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National Social Security Strategy </w:t>
      </w:r>
    </w:p>
    <w:p w:rsidR="003E1EAD" w:rsidRPr="003E1EAD" w:rsidRDefault="003E1EAD" w:rsidP="004A6603">
      <w:pPr>
        <w:autoSpaceDE w:val="0"/>
        <w:autoSpaceDN w:val="0"/>
        <w:adjustRightInd w:val="0"/>
        <w:spacing w:after="0" w:line="264" w:lineRule="auto"/>
        <w:rPr>
          <w:rFonts w:ascii="Times New Roman" w:eastAsiaTheme="minorHAnsi" w:hAnsi="Times New Roman"/>
          <w:sz w:val="20"/>
          <w:szCs w:val="20"/>
          <w:lang w:val="en-GB"/>
        </w:rPr>
      </w:pPr>
      <w:r w:rsidRPr="003E1EAD">
        <w:rPr>
          <w:rFonts w:ascii="Times New Roman" w:eastAsiaTheme="minorHAnsi" w:hAnsi="Times New Roman"/>
          <w:sz w:val="20"/>
          <w:szCs w:val="20"/>
          <w:lang w:val="en-GB"/>
        </w:rPr>
        <w:t>NTP</w:t>
      </w:r>
      <w:r w:rsidRPr="003E1EAD">
        <w:rPr>
          <w:rFonts w:ascii="Times New Roman" w:eastAsiaTheme="minorHAnsi" w:hAnsi="Times New Roman"/>
          <w:sz w:val="20"/>
          <w:szCs w:val="20"/>
          <w:lang w:val="en-GB"/>
        </w:rPr>
        <w:tab/>
      </w:r>
      <w:r w:rsidRPr="003E1EAD">
        <w:rPr>
          <w:rFonts w:ascii="Times New Roman" w:eastAsiaTheme="minorHAnsi" w:hAnsi="Times New Roman"/>
          <w:sz w:val="20"/>
          <w:szCs w:val="20"/>
          <w:lang w:val="en-GB"/>
        </w:rPr>
        <w:tab/>
        <w:t xml:space="preserve">: </w:t>
      </w:r>
      <w:hyperlink r:id="rId17" w:history="1">
        <w:r w:rsidRPr="003E1EAD">
          <w:rPr>
            <w:rFonts w:ascii="Times New Roman" w:eastAsiaTheme="minorHAnsi" w:hAnsi="Times New Roman"/>
            <w:sz w:val="20"/>
            <w:szCs w:val="20"/>
            <w:lang w:val="en-GB"/>
          </w:rPr>
          <w:t>National Tuberculosis Control Program</w:t>
        </w:r>
      </w:hyperlink>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PD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Programming Division</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lastRenderedPageBreak/>
        <w:t>PDTMD</w:t>
      </w:r>
      <w:r w:rsidRPr="003E1EAD">
        <w:rPr>
          <w:rFonts w:ascii="Times New Roman" w:hAnsi="Times New Roman"/>
          <w:sz w:val="20"/>
          <w:szCs w:val="20"/>
          <w:lang w:val="en-GB"/>
        </w:rPr>
        <w:tab/>
      </w:r>
      <w:r w:rsidRPr="003E1EAD">
        <w:rPr>
          <w:rFonts w:ascii="Times New Roman" w:hAnsi="Times New Roman"/>
          <w:sz w:val="20"/>
          <w:szCs w:val="20"/>
          <w:lang w:val="en-GB"/>
        </w:rPr>
        <w:tab/>
        <w:t>: Patent Design &amp; Trade Marks Department</w:t>
      </w:r>
      <w:r w:rsidRPr="003E1EAD">
        <w:rPr>
          <w:rFonts w:ascii="Times New Roman" w:hAnsi="Times New Roman"/>
          <w:sz w:val="20"/>
          <w:szCs w:val="20"/>
        </w:rPr>
        <w:t xml:space="preserve">, </w:t>
      </w:r>
      <w:r w:rsidRPr="003E1EAD">
        <w:rPr>
          <w:rFonts w:ascii="Times New Roman" w:hAnsi="Times New Roman"/>
          <w:sz w:val="20"/>
          <w:szCs w:val="20"/>
          <w:lang w:val="en-GB"/>
        </w:rPr>
        <w:t>Ministry of Industries</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PID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xml:space="preserve">: Physical Infrastructure Division, Planning Commission </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PMO</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Prime Minister’s Office</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PoD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Power Division</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PP, PoD</w:t>
      </w:r>
      <w:r w:rsidRPr="003E1EAD">
        <w:rPr>
          <w:rFonts w:ascii="Times New Roman" w:hAnsi="Times New Roman"/>
          <w:sz w:val="20"/>
          <w:szCs w:val="20"/>
          <w:lang w:val="en-GB"/>
        </w:rPr>
        <w:tab/>
      </w:r>
      <w:r w:rsidRPr="003E1EAD">
        <w:rPr>
          <w:rFonts w:ascii="Times New Roman" w:hAnsi="Times New Roman"/>
          <w:sz w:val="20"/>
          <w:szCs w:val="20"/>
          <w:lang w:val="en-GB"/>
        </w:rPr>
        <w:tab/>
        <w:t>: Power Cell, Power Division</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PPPA</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Public Private Partnership Authority  </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PPPA</w:t>
      </w:r>
      <w:r w:rsidRPr="003E1EAD">
        <w:rPr>
          <w:rFonts w:ascii="Times New Roman" w:hAnsi="Times New Roman"/>
          <w:sz w:val="20"/>
          <w:szCs w:val="20"/>
          <w:lang w:val="en-GB"/>
        </w:rPr>
        <w:tab/>
      </w:r>
      <w:r w:rsidRPr="003E1EAD">
        <w:rPr>
          <w:rFonts w:ascii="Times New Roman" w:hAnsi="Times New Roman"/>
          <w:sz w:val="20"/>
          <w:szCs w:val="20"/>
          <w:lang w:val="en-GB"/>
        </w:rPr>
        <w:tab/>
        <w:t>: Public Private Partnership Authority, PMO</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PTD</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Posts and Telecommunications Division </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RAJUK</w:t>
      </w:r>
      <w:r w:rsidRPr="003E1EAD">
        <w:rPr>
          <w:rFonts w:ascii="Times New Roman" w:hAnsi="Times New Roman"/>
          <w:sz w:val="20"/>
          <w:szCs w:val="20"/>
          <w:lang w:val="en-GB"/>
        </w:rPr>
        <w:tab/>
      </w:r>
      <w:r w:rsidRPr="003E1EAD">
        <w:rPr>
          <w:rFonts w:ascii="Times New Roman" w:hAnsi="Times New Roman"/>
          <w:sz w:val="20"/>
          <w:szCs w:val="20"/>
          <w:lang w:val="en-GB"/>
        </w:rPr>
        <w:tab/>
        <w:t>: Rajdhani Unnayan Kortripokkho</w:t>
      </w:r>
    </w:p>
    <w:p w:rsidR="003E1EAD" w:rsidRPr="003E1EAD" w:rsidRDefault="003E1EAD" w:rsidP="00A06D16">
      <w:pPr>
        <w:pStyle w:val="NoSpacing"/>
        <w:spacing w:line="264" w:lineRule="auto"/>
        <w:jc w:val="both"/>
        <w:rPr>
          <w:rFonts w:ascii="Times New Roman" w:hAnsi="Times New Roman" w:cs="Times New Roman"/>
          <w:sz w:val="20"/>
          <w:szCs w:val="20"/>
          <w:lang w:val="en-GB"/>
        </w:rPr>
      </w:pPr>
      <w:r w:rsidRPr="003E1EAD">
        <w:rPr>
          <w:rFonts w:ascii="Times New Roman" w:hAnsi="Times New Roman" w:cs="Times New Roman"/>
          <w:sz w:val="20"/>
          <w:szCs w:val="20"/>
          <w:lang w:val="en-GB"/>
        </w:rPr>
        <w:t>RDCD</w:t>
      </w:r>
      <w:r w:rsidRPr="003E1EAD">
        <w:rPr>
          <w:rFonts w:ascii="Times New Roman" w:hAnsi="Times New Roman" w:cs="Times New Roman"/>
          <w:sz w:val="20"/>
          <w:szCs w:val="20"/>
          <w:lang w:val="en-GB"/>
        </w:rPr>
        <w:tab/>
      </w:r>
      <w:r w:rsidRPr="003E1EAD">
        <w:rPr>
          <w:rFonts w:ascii="Times New Roman" w:hAnsi="Times New Roman" w:cs="Times New Roman"/>
          <w:sz w:val="20"/>
          <w:szCs w:val="20"/>
          <w:lang w:val="en-GB"/>
        </w:rPr>
        <w:tab/>
        <w:t xml:space="preserve">: Rural Development and Cooperatives Division </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RSC</w:t>
      </w:r>
      <w:r w:rsidRPr="003E1EAD">
        <w:rPr>
          <w:rFonts w:ascii="Times New Roman" w:hAnsi="Times New Roman"/>
          <w:sz w:val="20"/>
          <w:szCs w:val="20"/>
          <w:lang w:val="en-GB"/>
        </w:rPr>
        <w:tab/>
      </w:r>
      <w:r w:rsidRPr="003E1EAD">
        <w:rPr>
          <w:rFonts w:ascii="Times New Roman" w:hAnsi="Times New Roman"/>
          <w:sz w:val="20"/>
          <w:szCs w:val="20"/>
          <w:lang w:val="en-GB"/>
        </w:rPr>
        <w:tab/>
        <w:t>: Registrar, Supreme Court</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RTHD</w:t>
      </w:r>
      <w:r w:rsidRPr="003E1EAD">
        <w:rPr>
          <w:rFonts w:ascii="Times New Roman" w:hAnsi="Times New Roman"/>
          <w:sz w:val="20"/>
          <w:szCs w:val="20"/>
          <w:lang w:val="en-GB"/>
        </w:rPr>
        <w:tab/>
      </w:r>
      <w:r w:rsidRPr="003E1EAD">
        <w:rPr>
          <w:rFonts w:ascii="Times New Roman" w:hAnsi="Times New Roman"/>
          <w:sz w:val="20"/>
          <w:szCs w:val="20"/>
          <w:lang w:val="en-GB"/>
        </w:rPr>
        <w:tab/>
        <w:t>: Road Transport and Highways Division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SEID</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Socio Economic Infrastructure Division, Planning Commission </w:t>
      </w:r>
    </w:p>
    <w:p w:rsidR="003E1EAD" w:rsidRPr="003E1EAD" w:rsidRDefault="003E1EAD" w:rsidP="00A06D16">
      <w:pPr>
        <w:spacing w:after="0" w:line="264" w:lineRule="auto"/>
        <w:jc w:val="both"/>
        <w:rPr>
          <w:rFonts w:ascii="Times New Roman" w:hAnsi="Times New Roman"/>
          <w:sz w:val="20"/>
          <w:szCs w:val="20"/>
          <w:lang w:val="en-GB"/>
        </w:rPr>
      </w:pPr>
      <w:r w:rsidRPr="003E1EAD">
        <w:rPr>
          <w:rFonts w:ascii="Times New Roman" w:hAnsi="Times New Roman"/>
          <w:sz w:val="20"/>
          <w:szCs w:val="20"/>
          <w:lang w:val="en-GB"/>
        </w:rPr>
        <w:t>SID</w:t>
      </w:r>
      <w:r w:rsidRPr="003E1EAD">
        <w:rPr>
          <w:rFonts w:ascii="Times New Roman" w:hAnsi="Times New Roman"/>
          <w:sz w:val="20"/>
          <w:szCs w:val="20"/>
          <w:lang w:val="en-GB"/>
        </w:rPr>
        <w:tab/>
      </w:r>
      <w:r w:rsidRPr="003E1EAD">
        <w:rPr>
          <w:rFonts w:ascii="Times New Roman" w:hAnsi="Times New Roman"/>
          <w:sz w:val="20"/>
          <w:szCs w:val="20"/>
          <w:lang w:val="en-GB"/>
        </w:rPr>
        <w:tab/>
        <w:t>: Statistics and Informatics Division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SMEF</w:t>
      </w:r>
      <w:r w:rsidRPr="003E1EAD">
        <w:rPr>
          <w:rFonts w:ascii="Times New Roman" w:hAnsi="Times New Roman"/>
          <w:sz w:val="20"/>
          <w:szCs w:val="20"/>
          <w:lang w:val="en-GB"/>
        </w:rPr>
        <w:tab/>
      </w:r>
      <w:r w:rsidRPr="003E1EAD">
        <w:rPr>
          <w:rFonts w:ascii="Times New Roman" w:hAnsi="Times New Roman"/>
          <w:sz w:val="20"/>
          <w:szCs w:val="20"/>
          <w:lang w:val="en-GB"/>
        </w:rPr>
        <w:tab/>
        <w:t>: SME Foundation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SOD</w:t>
      </w:r>
      <w:r w:rsidRPr="003E1EAD">
        <w:rPr>
          <w:rFonts w:ascii="Times New Roman" w:hAnsi="Times New Roman"/>
          <w:sz w:val="20"/>
          <w:szCs w:val="20"/>
          <w:lang w:val="en-GB"/>
        </w:rPr>
        <w:tab/>
      </w:r>
      <w:r w:rsidRPr="003E1EAD">
        <w:rPr>
          <w:rFonts w:ascii="Times New Roman" w:hAnsi="Times New Roman"/>
          <w:sz w:val="20"/>
          <w:szCs w:val="20"/>
          <w:lang w:val="en-GB"/>
        </w:rPr>
        <w:tab/>
        <w:t>: Standing Orders on Disaster</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SREDA</w:t>
      </w:r>
      <w:r w:rsidRPr="003E1EAD">
        <w:rPr>
          <w:rFonts w:ascii="Times New Roman" w:hAnsi="Times New Roman"/>
          <w:sz w:val="20"/>
          <w:szCs w:val="20"/>
          <w:lang w:val="en-GB"/>
        </w:rPr>
        <w:tab/>
      </w:r>
      <w:r w:rsidRPr="003E1EAD">
        <w:rPr>
          <w:rFonts w:ascii="Times New Roman" w:hAnsi="Times New Roman"/>
          <w:sz w:val="20"/>
          <w:szCs w:val="20"/>
          <w:lang w:val="en-GB"/>
        </w:rPr>
        <w:tab/>
        <w:t>: Sustainable &amp; Renewable Energy Development Authority</w:t>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UGC</w:t>
      </w:r>
      <w:r w:rsidRPr="003E1EAD">
        <w:rPr>
          <w:rFonts w:ascii="Times New Roman" w:hAnsi="Times New Roman"/>
          <w:sz w:val="20"/>
          <w:szCs w:val="20"/>
          <w:lang w:val="en-GB"/>
        </w:rPr>
        <w:tab/>
      </w:r>
      <w:r w:rsidRPr="003E1EAD">
        <w:rPr>
          <w:rFonts w:ascii="Times New Roman" w:hAnsi="Times New Roman"/>
          <w:sz w:val="20"/>
          <w:szCs w:val="20"/>
          <w:lang w:val="en-GB"/>
        </w:rPr>
        <w:tab/>
        <w:t>: University Grants Commission</w:t>
      </w:r>
    </w:p>
    <w:p w:rsidR="003E1EAD" w:rsidRPr="003E1EAD" w:rsidRDefault="003E1EAD" w:rsidP="00A06D16">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WASA</w:t>
      </w:r>
      <w:r w:rsidRPr="003E1EAD">
        <w:rPr>
          <w:rFonts w:ascii="Times New Roman" w:hAnsi="Times New Roman"/>
          <w:sz w:val="20"/>
          <w:szCs w:val="20"/>
          <w:lang w:val="en-GB"/>
        </w:rPr>
        <w:tab/>
      </w:r>
      <w:r w:rsidRPr="003E1EAD">
        <w:rPr>
          <w:rFonts w:ascii="Times New Roman" w:hAnsi="Times New Roman"/>
          <w:sz w:val="20"/>
          <w:szCs w:val="20"/>
          <w:lang w:val="en-GB"/>
        </w:rPr>
        <w:tab/>
        <w:t>: Water and Sewerage Authority</w:t>
      </w:r>
      <w:r w:rsidRPr="003E1EAD">
        <w:rPr>
          <w:rFonts w:ascii="Times New Roman" w:hAnsi="Times New Roman"/>
          <w:sz w:val="20"/>
          <w:szCs w:val="20"/>
          <w:lang w:val="en-GB"/>
        </w:rPr>
        <w:tab/>
      </w:r>
    </w:p>
    <w:p w:rsidR="003E1EAD" w:rsidRPr="003E1EAD" w:rsidRDefault="003E1EAD" w:rsidP="004A6603">
      <w:pPr>
        <w:spacing w:after="0" w:line="264" w:lineRule="auto"/>
        <w:rPr>
          <w:rFonts w:ascii="Times New Roman" w:hAnsi="Times New Roman"/>
          <w:sz w:val="20"/>
          <w:szCs w:val="20"/>
        </w:rPr>
      </w:pPr>
      <w:r w:rsidRPr="003E1EAD">
        <w:rPr>
          <w:rFonts w:ascii="Times New Roman" w:hAnsi="Times New Roman"/>
          <w:sz w:val="20"/>
          <w:szCs w:val="20"/>
          <w:lang w:val="en-GB"/>
        </w:rPr>
        <w:t>WDB</w:t>
      </w:r>
      <w:r w:rsidRPr="003E1EAD">
        <w:rPr>
          <w:rFonts w:ascii="Times New Roman" w:hAnsi="Times New Roman"/>
          <w:sz w:val="20"/>
          <w:szCs w:val="20"/>
          <w:lang w:val="en-GB"/>
        </w:rPr>
        <w:tab/>
      </w:r>
      <w:r w:rsidRPr="003E1EAD">
        <w:rPr>
          <w:rFonts w:ascii="Times New Roman" w:hAnsi="Times New Roman"/>
          <w:sz w:val="20"/>
          <w:szCs w:val="20"/>
          <w:lang w:val="en-GB"/>
        </w:rPr>
        <w:tab/>
        <w:t>: Water Development Board</w:t>
      </w:r>
    </w:p>
    <w:p w:rsidR="003E1EAD" w:rsidRPr="003E1EAD" w:rsidRDefault="003E1EAD" w:rsidP="004A6603">
      <w:pPr>
        <w:spacing w:after="0" w:line="264" w:lineRule="auto"/>
        <w:rPr>
          <w:rFonts w:ascii="Times New Roman" w:hAnsi="Times New Roman"/>
          <w:sz w:val="20"/>
          <w:szCs w:val="20"/>
          <w:lang w:val="en-GB"/>
        </w:rPr>
      </w:pPr>
      <w:r w:rsidRPr="003E1EAD">
        <w:rPr>
          <w:rFonts w:ascii="Times New Roman" w:hAnsi="Times New Roman"/>
          <w:sz w:val="20"/>
          <w:szCs w:val="20"/>
          <w:lang w:val="en-GB"/>
        </w:rPr>
        <w:t>WTO Cell, MoC</w:t>
      </w:r>
      <w:r w:rsidRPr="003E1EAD">
        <w:rPr>
          <w:rFonts w:ascii="Times New Roman" w:hAnsi="Times New Roman"/>
          <w:sz w:val="20"/>
          <w:szCs w:val="20"/>
          <w:lang w:val="en-GB"/>
        </w:rPr>
        <w:tab/>
        <w:t>: World Trade Organization Cell, Ministry of Commerce</w:t>
      </w:r>
    </w:p>
    <w:p w:rsidR="003E1EAD" w:rsidRPr="003E1EAD" w:rsidRDefault="003E1EAD" w:rsidP="00A9270C">
      <w:pPr>
        <w:pStyle w:val="NormalWeb"/>
        <w:spacing w:before="0" w:beforeAutospacing="0" w:after="0" w:afterAutospacing="0" w:line="264" w:lineRule="auto"/>
        <w:jc w:val="both"/>
        <w:rPr>
          <w:rFonts w:ascii="Times New Roman" w:hAnsi="Times New Roman"/>
          <w:sz w:val="20"/>
          <w:szCs w:val="20"/>
          <w:lang w:val="en-GB"/>
        </w:rPr>
      </w:pPr>
    </w:p>
    <w:p w:rsidR="003E1EAD" w:rsidRPr="003E1EAD" w:rsidRDefault="003E1EAD" w:rsidP="003E1EAD">
      <w:pPr>
        <w:rPr>
          <w:rFonts w:ascii="Times New Roman" w:hAnsi="Times New Roman"/>
          <w:i/>
          <w:sz w:val="20"/>
          <w:szCs w:val="20"/>
        </w:rPr>
      </w:pPr>
      <w:r w:rsidRPr="003E1EAD">
        <w:rPr>
          <w:rFonts w:ascii="Times New Roman" w:hAnsi="Times New Roman"/>
          <w:i/>
          <w:sz w:val="20"/>
          <w:szCs w:val="20"/>
          <w:lang w:val="en-GB"/>
        </w:rPr>
        <w:t>T</w:t>
      </w:r>
      <w:r w:rsidRPr="003E1EAD">
        <w:rPr>
          <w:rFonts w:ascii="Times New Roman" w:hAnsi="Times New Roman"/>
          <w:i/>
          <w:sz w:val="20"/>
          <w:szCs w:val="20"/>
          <w:lang w:val="en-GB"/>
        </w:rPr>
        <w:t>he surveys required for Data Gap Analysis of SDGs’ Indicators</w:t>
      </w:r>
    </w:p>
    <w:p w:rsidR="003E1EAD" w:rsidRPr="003E1EAD" w:rsidRDefault="003E1EAD" w:rsidP="003E1EAD">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 xml:space="preserve">AES </w:t>
      </w:r>
      <w:r w:rsidRPr="003E1EAD">
        <w:rPr>
          <w:rFonts w:ascii="Times New Roman" w:hAnsi="Times New Roman"/>
          <w:sz w:val="20"/>
          <w:szCs w:val="20"/>
          <w:lang w:val="en-GB"/>
        </w:rPr>
        <w:tab/>
      </w:r>
      <w:r w:rsidRPr="003E1EAD">
        <w:rPr>
          <w:rFonts w:ascii="Times New Roman" w:hAnsi="Times New Roman"/>
          <w:sz w:val="20"/>
          <w:szCs w:val="20"/>
          <w:lang w:val="en-GB"/>
        </w:rPr>
        <w:tab/>
        <w:t>: Annual Education Survey (Survey done by, BANBEIS)</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BDHS</w:t>
      </w:r>
      <w:r w:rsidRPr="003E1EAD">
        <w:rPr>
          <w:rFonts w:ascii="Times New Roman" w:hAnsi="Times New Roman"/>
          <w:sz w:val="20"/>
          <w:szCs w:val="20"/>
          <w:lang w:val="en-GB"/>
        </w:rPr>
        <w:tab/>
      </w:r>
      <w:r w:rsidRPr="003E1EAD">
        <w:rPr>
          <w:rFonts w:ascii="Times New Roman" w:hAnsi="Times New Roman"/>
          <w:sz w:val="20"/>
          <w:szCs w:val="20"/>
          <w:lang w:val="en-GB"/>
        </w:rPr>
        <w:tab/>
        <w:t>: Bangladesh Demographic and Health Survey</w:t>
      </w:r>
    </w:p>
    <w:p w:rsidR="003E1EAD" w:rsidRPr="003E1EAD" w:rsidRDefault="003E1EAD" w:rsidP="003E1EAD">
      <w:pPr>
        <w:spacing w:after="0" w:line="264" w:lineRule="auto"/>
        <w:rPr>
          <w:rFonts w:ascii="Times New Roman" w:hAnsi="Times New Roman"/>
          <w:sz w:val="20"/>
          <w:szCs w:val="20"/>
        </w:rPr>
      </w:pPr>
      <w:r w:rsidRPr="003E1EAD">
        <w:rPr>
          <w:rFonts w:ascii="Times New Roman" w:hAnsi="Times New Roman"/>
          <w:sz w:val="20"/>
          <w:szCs w:val="20"/>
        </w:rPr>
        <w:t>BMMS</w:t>
      </w:r>
      <w:r w:rsidRPr="003E1EAD">
        <w:rPr>
          <w:rFonts w:ascii="Times New Roman" w:hAnsi="Times New Roman"/>
          <w:sz w:val="20"/>
          <w:szCs w:val="20"/>
        </w:rPr>
        <w:tab/>
      </w:r>
      <w:r w:rsidRPr="003E1EAD">
        <w:rPr>
          <w:rFonts w:ascii="Times New Roman" w:hAnsi="Times New Roman"/>
          <w:sz w:val="20"/>
          <w:szCs w:val="20"/>
        </w:rPr>
        <w:tab/>
        <w:t xml:space="preserve">: Bangladesh Maternal Mortality </w:t>
      </w:r>
      <w:proofErr w:type="gramStart"/>
      <w:r w:rsidRPr="003E1EAD">
        <w:rPr>
          <w:rFonts w:ascii="Times New Roman" w:hAnsi="Times New Roman"/>
          <w:sz w:val="20"/>
          <w:szCs w:val="20"/>
        </w:rPr>
        <w:t>And</w:t>
      </w:r>
      <w:proofErr w:type="gramEnd"/>
      <w:r w:rsidRPr="003E1EAD">
        <w:rPr>
          <w:rFonts w:ascii="Times New Roman" w:hAnsi="Times New Roman"/>
          <w:sz w:val="20"/>
          <w:szCs w:val="20"/>
        </w:rPr>
        <w:t xml:space="preserve"> Health Care Survey (Survey done by NIPORT)</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CMNS</w:t>
      </w:r>
      <w:r w:rsidRPr="003E1EAD">
        <w:rPr>
          <w:rFonts w:ascii="Times New Roman" w:hAnsi="Times New Roman"/>
          <w:sz w:val="20"/>
          <w:szCs w:val="20"/>
          <w:lang w:val="en-GB"/>
        </w:rPr>
        <w:tab/>
      </w:r>
      <w:r w:rsidRPr="003E1EAD">
        <w:rPr>
          <w:rFonts w:ascii="Times New Roman" w:hAnsi="Times New Roman"/>
          <w:sz w:val="20"/>
          <w:szCs w:val="20"/>
          <w:lang w:val="en-GB"/>
        </w:rPr>
        <w:tab/>
        <w:t>: Child and Mother Nutrition Survey (Survey done by BBS)</w:t>
      </w:r>
    </w:p>
    <w:p w:rsidR="003E1EAD" w:rsidRPr="003E1EAD" w:rsidRDefault="003E1EAD" w:rsidP="003E1EAD">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EHS</w:t>
      </w:r>
      <w:r w:rsidRPr="003E1EAD">
        <w:rPr>
          <w:rFonts w:ascii="Times New Roman" w:hAnsi="Times New Roman"/>
          <w:sz w:val="20"/>
          <w:szCs w:val="20"/>
          <w:lang w:val="en-GB"/>
        </w:rPr>
        <w:tab/>
      </w:r>
      <w:r w:rsidRPr="003E1EAD">
        <w:rPr>
          <w:rFonts w:ascii="Times New Roman" w:hAnsi="Times New Roman"/>
          <w:sz w:val="20"/>
          <w:szCs w:val="20"/>
          <w:lang w:val="en-GB"/>
        </w:rPr>
        <w:tab/>
        <w:t>: Education Household Survey (Survey done by, BBS)</w:t>
      </w:r>
      <w:r w:rsidRPr="003E1EAD">
        <w:rPr>
          <w:rFonts w:ascii="Times New Roman" w:hAnsi="Times New Roman"/>
          <w:sz w:val="20"/>
          <w:szCs w:val="20"/>
          <w:lang w:val="en-GB"/>
        </w:rPr>
        <w:tab/>
      </w:r>
    </w:p>
    <w:p w:rsidR="003E1EAD" w:rsidRPr="003E1EAD" w:rsidRDefault="003E1EAD" w:rsidP="003E1EAD">
      <w:pPr>
        <w:spacing w:after="0" w:line="264" w:lineRule="auto"/>
        <w:rPr>
          <w:rFonts w:ascii="Times New Roman" w:hAnsi="Times New Roman"/>
          <w:sz w:val="20"/>
          <w:szCs w:val="20"/>
        </w:rPr>
      </w:pPr>
      <w:r w:rsidRPr="003E1EAD">
        <w:rPr>
          <w:rFonts w:ascii="Times New Roman" w:hAnsi="Times New Roman"/>
          <w:sz w:val="20"/>
          <w:szCs w:val="20"/>
          <w:lang w:val="en-GB"/>
        </w:rPr>
        <w:t>FSNSP</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Food Security and Nutritional Surveillance Project, BBS </w:t>
      </w:r>
    </w:p>
    <w:p w:rsidR="003E1EAD" w:rsidRPr="003E1EAD" w:rsidRDefault="003E1EAD" w:rsidP="003E1EAD">
      <w:pPr>
        <w:spacing w:after="0" w:line="264" w:lineRule="auto"/>
        <w:rPr>
          <w:rFonts w:ascii="Times New Roman" w:hAnsi="Times New Roman"/>
          <w:sz w:val="20"/>
          <w:szCs w:val="20"/>
        </w:rPr>
      </w:pPr>
      <w:r w:rsidRPr="003E1EAD">
        <w:rPr>
          <w:rFonts w:ascii="Times New Roman" w:hAnsi="Times New Roman"/>
          <w:sz w:val="20"/>
          <w:szCs w:val="20"/>
          <w:lang w:val="en-GB"/>
        </w:rPr>
        <w:t>HIES</w:t>
      </w:r>
      <w:r w:rsidRPr="003E1EAD">
        <w:rPr>
          <w:rFonts w:ascii="Times New Roman" w:hAnsi="Times New Roman"/>
          <w:sz w:val="20"/>
          <w:szCs w:val="20"/>
          <w:lang w:val="en-GB"/>
        </w:rPr>
        <w:tab/>
      </w:r>
      <w:r w:rsidRPr="003E1EAD">
        <w:rPr>
          <w:rFonts w:ascii="Times New Roman" w:hAnsi="Times New Roman"/>
          <w:sz w:val="20"/>
          <w:szCs w:val="20"/>
          <w:lang w:val="en-GB"/>
        </w:rPr>
        <w:tab/>
        <w:t>: Household Income and Expenditure Survey (Done by BBS in 5 yrs interval)</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HMSS</w:t>
      </w:r>
      <w:r w:rsidRPr="003E1EAD">
        <w:rPr>
          <w:rFonts w:ascii="Times New Roman" w:hAnsi="Times New Roman"/>
          <w:sz w:val="20"/>
          <w:szCs w:val="20"/>
          <w:lang w:val="en-GB"/>
        </w:rPr>
        <w:tab/>
      </w:r>
      <w:r w:rsidRPr="003E1EAD">
        <w:rPr>
          <w:rFonts w:ascii="Times New Roman" w:hAnsi="Times New Roman"/>
          <w:sz w:val="20"/>
          <w:szCs w:val="20"/>
          <w:lang w:val="en-GB"/>
        </w:rPr>
        <w:tab/>
        <w:t>: Health and Morbidity Status Survey (Survey done by, BBS)</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ICCHL</w:t>
      </w:r>
      <w:r w:rsidRPr="003E1EAD">
        <w:rPr>
          <w:rFonts w:ascii="Times New Roman" w:hAnsi="Times New Roman"/>
          <w:sz w:val="20"/>
          <w:szCs w:val="20"/>
          <w:lang w:val="en-GB"/>
        </w:rPr>
        <w:tab/>
      </w:r>
      <w:r w:rsidRPr="003E1EAD">
        <w:rPr>
          <w:rFonts w:ascii="Times New Roman" w:hAnsi="Times New Roman"/>
          <w:sz w:val="20"/>
          <w:szCs w:val="20"/>
          <w:lang w:val="en-GB"/>
        </w:rPr>
        <w:tab/>
        <w:t>: Impact of Climate Change on Human Life (Survey done by BBS)</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bCs/>
          <w:sz w:val="20"/>
          <w:szCs w:val="20"/>
          <w:lang w:val="en-GB"/>
        </w:rPr>
        <w:t>LAS</w:t>
      </w:r>
      <w:r w:rsidRPr="003E1EAD">
        <w:rPr>
          <w:rFonts w:ascii="Times New Roman" w:hAnsi="Times New Roman"/>
          <w:bCs/>
          <w:sz w:val="20"/>
          <w:szCs w:val="20"/>
          <w:lang w:val="en-GB"/>
        </w:rPr>
        <w:tab/>
      </w:r>
      <w:r w:rsidRPr="003E1EAD">
        <w:rPr>
          <w:rFonts w:ascii="Times New Roman" w:hAnsi="Times New Roman"/>
          <w:bCs/>
          <w:sz w:val="20"/>
          <w:szCs w:val="20"/>
          <w:lang w:val="en-GB"/>
        </w:rPr>
        <w:tab/>
        <w:t xml:space="preserve">: </w:t>
      </w:r>
      <w:r w:rsidRPr="003E1EAD">
        <w:rPr>
          <w:rFonts w:ascii="Times New Roman" w:hAnsi="Times New Roman"/>
          <w:sz w:val="20"/>
          <w:szCs w:val="20"/>
          <w:lang w:val="en-GB"/>
        </w:rPr>
        <w:t>Literacy Assessment Survey</w:t>
      </w:r>
      <w:r w:rsidRPr="003E1EAD">
        <w:rPr>
          <w:rFonts w:ascii="Times New Roman" w:hAnsi="Times New Roman"/>
          <w:bCs/>
          <w:sz w:val="20"/>
          <w:szCs w:val="20"/>
          <w:lang w:val="en-GB"/>
        </w:rPr>
        <w:t> </w:t>
      </w:r>
      <w:r w:rsidRPr="003E1EAD">
        <w:rPr>
          <w:rFonts w:ascii="Times New Roman" w:hAnsi="Times New Roman"/>
          <w:sz w:val="20"/>
          <w:szCs w:val="20"/>
          <w:lang w:val="en-GB"/>
        </w:rPr>
        <w:t>(Survey done by, BBS)</w:t>
      </w:r>
    </w:p>
    <w:p w:rsidR="003E1EAD" w:rsidRPr="003E1EAD" w:rsidRDefault="003E1EAD" w:rsidP="003E1EAD">
      <w:pPr>
        <w:spacing w:after="0" w:line="264" w:lineRule="auto"/>
        <w:rPr>
          <w:rFonts w:ascii="Times New Roman" w:hAnsi="Times New Roman"/>
          <w:sz w:val="20"/>
          <w:szCs w:val="20"/>
        </w:rPr>
      </w:pPr>
      <w:r w:rsidRPr="003E1EAD">
        <w:rPr>
          <w:rFonts w:ascii="Times New Roman" w:hAnsi="Times New Roman"/>
          <w:sz w:val="20"/>
          <w:szCs w:val="20"/>
          <w:lang w:val="en-GB"/>
        </w:rPr>
        <w:t>LFS</w:t>
      </w:r>
      <w:r w:rsidRPr="003E1EAD">
        <w:rPr>
          <w:rFonts w:ascii="Times New Roman" w:hAnsi="Times New Roman"/>
          <w:sz w:val="20"/>
          <w:szCs w:val="20"/>
          <w:lang w:val="en-GB"/>
        </w:rPr>
        <w:tab/>
      </w:r>
      <w:r w:rsidRPr="003E1EAD">
        <w:rPr>
          <w:rFonts w:ascii="Times New Roman" w:hAnsi="Times New Roman"/>
          <w:sz w:val="20"/>
          <w:szCs w:val="20"/>
          <w:lang w:val="en-GB"/>
        </w:rPr>
        <w:tab/>
        <w:t>: Labour Force Survey (Survey done by, BBS)</w:t>
      </w:r>
    </w:p>
    <w:p w:rsidR="003E1EAD" w:rsidRPr="003E1EAD" w:rsidRDefault="003E1EAD" w:rsidP="003E1EAD">
      <w:pPr>
        <w:spacing w:after="0" w:line="264" w:lineRule="auto"/>
        <w:rPr>
          <w:rFonts w:ascii="Times New Roman" w:hAnsi="Times New Roman"/>
          <w:sz w:val="20"/>
          <w:szCs w:val="20"/>
        </w:rPr>
      </w:pPr>
      <w:r w:rsidRPr="003E1EAD">
        <w:rPr>
          <w:rFonts w:ascii="Times New Roman" w:hAnsi="Times New Roman"/>
          <w:sz w:val="20"/>
          <w:szCs w:val="20"/>
          <w:lang w:val="en-GB"/>
        </w:rPr>
        <w:lastRenderedPageBreak/>
        <w:t>MICS</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proofErr w:type="gramStart"/>
      <w:r w:rsidRPr="003E1EAD">
        <w:rPr>
          <w:rFonts w:ascii="Times New Roman" w:hAnsi="Times New Roman"/>
          <w:sz w:val="20"/>
          <w:szCs w:val="20"/>
          <w:lang w:val="en-GB"/>
        </w:rPr>
        <w:t>Multiple Indicator Cluster Survey</w:t>
      </w:r>
      <w:r w:rsidRPr="003E1EAD">
        <w:rPr>
          <w:rFonts w:ascii="Times New Roman" w:hAnsi="Times New Roman"/>
          <w:sz w:val="20"/>
          <w:szCs w:val="20"/>
          <w:lang w:val="en-GB"/>
        </w:rPr>
        <w:t xml:space="preserve"> </w:t>
      </w:r>
      <w:r w:rsidRPr="003E1EAD">
        <w:rPr>
          <w:rFonts w:ascii="Times New Roman" w:hAnsi="Times New Roman"/>
          <w:sz w:val="20"/>
          <w:szCs w:val="20"/>
          <w:lang w:val="en-GB"/>
        </w:rPr>
        <w:t>(Survey done by, BBS)</w:t>
      </w:r>
      <w:proofErr w:type="gramEnd"/>
    </w:p>
    <w:p w:rsidR="003E1EAD" w:rsidRPr="003E1EAD" w:rsidRDefault="003E1EAD" w:rsidP="003E1EAD">
      <w:pPr>
        <w:spacing w:after="0" w:line="264" w:lineRule="auto"/>
        <w:rPr>
          <w:rFonts w:ascii="Times New Roman" w:hAnsi="Times New Roman"/>
          <w:sz w:val="20"/>
          <w:szCs w:val="20"/>
        </w:rPr>
      </w:pPr>
      <w:r w:rsidRPr="003E1EAD">
        <w:rPr>
          <w:rFonts w:ascii="Times New Roman" w:hAnsi="Times New Roman"/>
          <w:sz w:val="20"/>
          <w:szCs w:val="20"/>
          <w:lang w:val="en-GB"/>
        </w:rPr>
        <w:t xml:space="preserve">NHD </w:t>
      </w:r>
      <w:r w:rsidRPr="003E1EAD">
        <w:rPr>
          <w:rFonts w:ascii="Times New Roman" w:hAnsi="Times New Roman"/>
          <w:sz w:val="20"/>
          <w:szCs w:val="20"/>
          <w:lang w:val="en-GB"/>
        </w:rPr>
        <w:tab/>
      </w:r>
      <w:r w:rsidRPr="003E1EAD">
        <w:rPr>
          <w:rFonts w:ascii="Times New Roman" w:hAnsi="Times New Roman"/>
          <w:sz w:val="20"/>
          <w:szCs w:val="20"/>
          <w:lang w:val="en-GB"/>
        </w:rPr>
        <w:tab/>
        <w:t>: National Household Database (BBS is processing)</w:t>
      </w:r>
    </w:p>
    <w:p w:rsidR="003E1EAD" w:rsidRPr="003E1EAD" w:rsidRDefault="003E1EAD" w:rsidP="003E1EAD">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SMI</w:t>
      </w:r>
      <w:r w:rsidRPr="003E1EAD">
        <w:rPr>
          <w:rFonts w:ascii="Times New Roman" w:hAnsi="Times New Roman"/>
          <w:sz w:val="20"/>
          <w:szCs w:val="20"/>
          <w:lang w:val="en-GB"/>
        </w:rPr>
        <w:tab/>
      </w:r>
      <w:r w:rsidRPr="003E1EAD">
        <w:rPr>
          <w:rFonts w:ascii="Times New Roman" w:hAnsi="Times New Roman"/>
          <w:sz w:val="20"/>
          <w:szCs w:val="20"/>
          <w:lang w:val="en-GB"/>
        </w:rPr>
        <w:tab/>
        <w:t>: Survey of Manufacturing Industries (Survey done by BBS)</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SVRS</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w:t>
      </w:r>
      <w:hyperlink r:id="rId18" w:history="1">
        <w:r w:rsidRPr="003E1EAD">
          <w:rPr>
            <w:rFonts w:ascii="Times New Roman" w:hAnsi="Times New Roman"/>
            <w:sz w:val="20"/>
            <w:szCs w:val="20"/>
            <w:lang w:val="en-GB"/>
          </w:rPr>
          <w:t>Sample Vital Registration System</w:t>
        </w:r>
      </w:hyperlink>
    </w:p>
    <w:p w:rsidR="003E1EAD" w:rsidRPr="003E1EAD" w:rsidRDefault="003E1EAD" w:rsidP="003E1EAD">
      <w:pPr>
        <w:pStyle w:val="NormalWeb"/>
        <w:spacing w:before="0" w:beforeAutospacing="0" w:after="0" w:afterAutospacing="0" w:line="264" w:lineRule="auto"/>
        <w:jc w:val="both"/>
        <w:rPr>
          <w:rFonts w:ascii="Times New Roman" w:hAnsi="Times New Roman"/>
          <w:sz w:val="20"/>
          <w:szCs w:val="20"/>
          <w:lang w:val="en-GB"/>
        </w:rPr>
      </w:pPr>
      <w:r w:rsidRPr="003E1EAD">
        <w:rPr>
          <w:rFonts w:ascii="Times New Roman" w:hAnsi="Times New Roman"/>
          <w:sz w:val="20"/>
          <w:szCs w:val="20"/>
          <w:lang w:val="en-GB"/>
        </w:rPr>
        <w:t>TUS</w:t>
      </w:r>
      <w:r w:rsidRPr="003E1EAD">
        <w:rPr>
          <w:rFonts w:ascii="Times New Roman" w:hAnsi="Times New Roman"/>
          <w:sz w:val="20"/>
          <w:szCs w:val="20"/>
          <w:lang w:val="en-GB"/>
        </w:rPr>
        <w:tab/>
      </w:r>
      <w:r w:rsidRPr="003E1EAD">
        <w:rPr>
          <w:rFonts w:ascii="Times New Roman" w:hAnsi="Times New Roman"/>
          <w:sz w:val="20"/>
          <w:szCs w:val="20"/>
          <w:lang w:val="en-GB"/>
        </w:rPr>
        <w:tab/>
        <w:t>: Time Use Survey (Survey done by, BBS)</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UESD</w:t>
      </w:r>
      <w:r w:rsidRPr="003E1EAD">
        <w:rPr>
          <w:rFonts w:ascii="Times New Roman" w:hAnsi="Times New Roman"/>
          <w:sz w:val="20"/>
          <w:szCs w:val="20"/>
          <w:lang w:val="en-GB"/>
        </w:rPr>
        <w:tab/>
      </w:r>
      <w:r w:rsidRPr="003E1EAD">
        <w:rPr>
          <w:rFonts w:ascii="Times New Roman" w:hAnsi="Times New Roman"/>
          <w:sz w:val="20"/>
          <w:szCs w:val="20"/>
          <w:lang w:val="en-GB"/>
        </w:rPr>
        <w:tab/>
        <w:t>: Utilization of Essential Service Delivery (Survey done by NIPORT)</w:t>
      </w:r>
    </w:p>
    <w:p w:rsidR="003E1EAD" w:rsidRPr="003E1EAD" w:rsidRDefault="003E1EAD" w:rsidP="003E1EAD">
      <w:pPr>
        <w:spacing w:after="0" w:line="264" w:lineRule="auto"/>
        <w:rPr>
          <w:rFonts w:ascii="Times New Roman" w:hAnsi="Times New Roman"/>
          <w:sz w:val="20"/>
          <w:szCs w:val="20"/>
          <w:lang w:val="en-GB"/>
        </w:rPr>
      </w:pPr>
      <w:r w:rsidRPr="003E1EAD">
        <w:rPr>
          <w:rFonts w:ascii="Times New Roman" w:hAnsi="Times New Roman"/>
          <w:sz w:val="20"/>
          <w:szCs w:val="20"/>
          <w:lang w:val="en-GB"/>
        </w:rPr>
        <w:t>UPR, MoFA</w:t>
      </w:r>
      <w:r w:rsidRPr="003E1EAD">
        <w:rPr>
          <w:rFonts w:ascii="Times New Roman" w:hAnsi="Times New Roman"/>
          <w:sz w:val="20"/>
          <w:szCs w:val="20"/>
          <w:lang w:val="en-GB"/>
        </w:rPr>
        <w:tab/>
        <w:t>: Universal Periodic Review (Done by MoFA for reviewing human rights)</w:t>
      </w:r>
    </w:p>
    <w:p w:rsidR="003E1EAD" w:rsidRPr="003E1EAD" w:rsidRDefault="003E1EAD" w:rsidP="003E1EAD">
      <w:pPr>
        <w:spacing w:after="0" w:line="264" w:lineRule="auto"/>
        <w:rPr>
          <w:rFonts w:ascii="Times New Roman" w:hAnsi="Times New Roman"/>
          <w:sz w:val="20"/>
          <w:szCs w:val="20"/>
        </w:rPr>
      </w:pPr>
      <w:r w:rsidRPr="003E1EAD">
        <w:rPr>
          <w:rFonts w:ascii="Times New Roman" w:hAnsi="Times New Roman"/>
          <w:sz w:val="20"/>
          <w:szCs w:val="20"/>
          <w:lang w:val="en-GB"/>
        </w:rPr>
        <w:t>VAW</w:t>
      </w:r>
      <w:r w:rsidRPr="003E1EAD">
        <w:rPr>
          <w:rFonts w:ascii="Times New Roman" w:hAnsi="Times New Roman"/>
          <w:sz w:val="20"/>
          <w:szCs w:val="20"/>
          <w:lang w:val="en-GB"/>
        </w:rPr>
        <w:tab/>
      </w:r>
      <w:r w:rsidRPr="003E1EAD">
        <w:rPr>
          <w:rFonts w:ascii="Times New Roman" w:hAnsi="Times New Roman"/>
          <w:sz w:val="20"/>
          <w:szCs w:val="20"/>
          <w:lang w:val="en-GB"/>
        </w:rPr>
        <w:tab/>
        <w:t xml:space="preserve">: Violence </w:t>
      </w:r>
      <w:proofErr w:type="gramStart"/>
      <w:r w:rsidRPr="003E1EAD">
        <w:rPr>
          <w:rFonts w:ascii="Times New Roman" w:hAnsi="Times New Roman"/>
          <w:sz w:val="20"/>
          <w:szCs w:val="20"/>
          <w:lang w:val="en-GB"/>
        </w:rPr>
        <w:t>Against</w:t>
      </w:r>
      <w:proofErr w:type="gramEnd"/>
      <w:r w:rsidRPr="003E1EAD">
        <w:rPr>
          <w:rFonts w:ascii="Times New Roman" w:hAnsi="Times New Roman"/>
          <w:sz w:val="20"/>
          <w:szCs w:val="20"/>
          <w:lang w:val="en-GB"/>
        </w:rPr>
        <w:t xml:space="preserve"> Women (Survey done by, BBS)</w:t>
      </w:r>
      <w:r w:rsidRPr="003E1EAD">
        <w:rPr>
          <w:rFonts w:ascii="Times New Roman" w:hAnsi="Times New Roman"/>
          <w:sz w:val="20"/>
          <w:szCs w:val="20"/>
          <w:lang w:val="en-GB"/>
        </w:rPr>
        <w:tab/>
      </w:r>
    </w:p>
    <w:p w:rsidR="003E1EAD" w:rsidRPr="003E1EAD" w:rsidRDefault="003E1EAD" w:rsidP="00A9270C">
      <w:pPr>
        <w:rPr>
          <w:rFonts w:ascii="Times New Roman" w:hAnsi="Times New Roman"/>
          <w:sz w:val="20"/>
          <w:szCs w:val="20"/>
        </w:rPr>
      </w:pPr>
    </w:p>
    <w:p w:rsidR="00A9270C" w:rsidRDefault="00A9270C" w:rsidP="00A06D16">
      <w:pPr>
        <w:pStyle w:val="NormalWeb"/>
        <w:spacing w:before="0" w:beforeAutospacing="0" w:after="0" w:afterAutospacing="0" w:line="264" w:lineRule="auto"/>
        <w:jc w:val="both"/>
        <w:rPr>
          <w:rFonts w:ascii="Times New Roman" w:hAnsi="Times New Roman"/>
          <w:sz w:val="20"/>
          <w:szCs w:val="20"/>
          <w:lang w:val="en-GB"/>
        </w:rPr>
      </w:pPr>
    </w:p>
    <w:p w:rsidR="00A06D16" w:rsidRDefault="00A06D16" w:rsidP="00A06D16">
      <w:pPr>
        <w:pStyle w:val="NormalWeb"/>
        <w:spacing w:before="0" w:beforeAutospacing="0" w:after="0" w:afterAutospacing="0" w:line="264" w:lineRule="auto"/>
        <w:jc w:val="center"/>
        <w:rPr>
          <w:rFonts w:ascii="Times New Roman" w:hAnsi="Times New Roman"/>
          <w:sz w:val="20"/>
          <w:szCs w:val="20"/>
          <w:lang w:val="en-GB"/>
        </w:rPr>
      </w:pPr>
      <w:r>
        <w:rPr>
          <w:rFonts w:ascii="Times New Roman" w:hAnsi="Times New Roman"/>
          <w:sz w:val="20"/>
          <w:szCs w:val="20"/>
          <w:lang w:val="en-GB"/>
        </w:rPr>
        <w:t>-----------------------------------------------------</w:t>
      </w:r>
    </w:p>
    <w:sectPr w:rsidR="00A06D16" w:rsidSect="006C2F38">
      <w:headerReference w:type="even" r:id="rId19"/>
      <w:headerReference w:type="default" r:id="rId20"/>
      <w:footerReference w:type="default" r:id="rId21"/>
      <w:headerReference w:type="first" r:id="rId22"/>
      <w:endnotePr>
        <w:numFmt w:val="decimal"/>
      </w:endnotePr>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140" w:rsidRDefault="00C26140" w:rsidP="00C50F05">
      <w:pPr>
        <w:spacing w:after="0" w:line="240" w:lineRule="auto"/>
      </w:pPr>
      <w:r>
        <w:separator/>
      </w:r>
    </w:p>
  </w:endnote>
  <w:endnote w:type="continuationSeparator" w:id="0">
    <w:p w:rsidR="00C26140" w:rsidRDefault="00C26140" w:rsidP="00C50F05">
      <w:pPr>
        <w:spacing w:after="0" w:line="240" w:lineRule="auto"/>
      </w:pPr>
      <w:r>
        <w:continuationSeparator/>
      </w:r>
    </w:p>
  </w:endnote>
  <w:endnote w:id="1">
    <w:p w:rsidR="00F474E8" w:rsidRDefault="00F474E8" w:rsidP="00F1039B">
      <w:pPr>
        <w:spacing w:after="0" w:line="264" w:lineRule="auto"/>
        <w:jc w:val="both"/>
        <w:rPr>
          <w:rFonts w:ascii="Times New Roman" w:hAnsi="Times New Roman"/>
          <w:sz w:val="20"/>
          <w:szCs w:val="20"/>
        </w:rPr>
      </w:pPr>
      <w:r>
        <w:rPr>
          <w:rStyle w:val="EndnoteReference"/>
          <w:rFonts w:ascii="Times New Roman" w:hAnsi="Times New Roman"/>
          <w:b/>
          <w:sz w:val="20"/>
          <w:szCs w:val="20"/>
          <w:lang w:val="en-GB"/>
        </w:rPr>
        <w:endnoteRef/>
      </w:r>
      <w:r w:rsidRPr="00260FFF">
        <w:rPr>
          <w:rFonts w:ascii="Times New Roman" w:hAnsi="Times New Roman"/>
          <w:sz w:val="20"/>
          <w:szCs w:val="20"/>
        </w:rPr>
        <w:t xml:space="preserve">The Final list of proposed Sustainable Development Goal indicators contains the revised and final list of proposed Sustainable Development Goal indicators, which is the result of further discussions, as described in the background document “Update on the work to finalize the proposals for the global indicators for the Sustainable Development Goals”, which </w:t>
      </w:r>
      <w:r>
        <w:rPr>
          <w:rFonts w:ascii="Times New Roman" w:hAnsi="Times New Roman"/>
          <w:sz w:val="20"/>
          <w:szCs w:val="20"/>
        </w:rPr>
        <w:t>is</w:t>
      </w:r>
      <w:r w:rsidRPr="00260FFF">
        <w:rPr>
          <w:rFonts w:ascii="Times New Roman" w:hAnsi="Times New Roman"/>
          <w:sz w:val="20"/>
          <w:szCs w:val="20"/>
        </w:rPr>
        <w:t xml:space="preserve"> made available on the website of the Statistical Commission (unstats.un.org.unsd/statcom/). As a result of the work undertaken to finalize the proposals, no indicators in this annex are marked with an asterisk.   </w:t>
      </w:r>
    </w:p>
    <w:p w:rsidR="00F474E8" w:rsidRPr="00260FFF" w:rsidRDefault="00F474E8" w:rsidP="00F1039B">
      <w:pPr>
        <w:spacing w:after="0" w:line="264" w:lineRule="auto"/>
        <w:jc w:val="both"/>
        <w:rPr>
          <w:rFonts w:ascii="Times New Roman" w:hAnsi="Times New Roman"/>
          <w:sz w:val="20"/>
          <w:szCs w:val="20"/>
        </w:rPr>
      </w:pPr>
    </w:p>
    <w:p w:rsidR="00F474E8" w:rsidRPr="00260FFF" w:rsidRDefault="00F474E8" w:rsidP="00F1039B">
      <w:pPr>
        <w:spacing w:after="0" w:line="264" w:lineRule="auto"/>
        <w:jc w:val="both"/>
        <w:rPr>
          <w:rFonts w:ascii="Times New Roman" w:hAnsi="Times New Roman"/>
          <w:sz w:val="20"/>
          <w:szCs w:val="20"/>
        </w:rPr>
      </w:pPr>
      <w:r w:rsidRPr="00260FFF">
        <w:rPr>
          <w:rFonts w:ascii="Times New Roman" w:hAnsi="Times New Roman"/>
          <w:sz w:val="20"/>
          <w:szCs w:val="20"/>
        </w:rPr>
        <w:t xml:space="preserve">UNSC </w:t>
      </w:r>
      <w:r w:rsidRPr="0005290E">
        <w:rPr>
          <w:rFonts w:ascii="Times New Roman" w:hAnsi="Times New Roman"/>
          <w:sz w:val="20"/>
          <w:szCs w:val="20"/>
        </w:rPr>
        <w:t>agreed with the</w:t>
      </w:r>
      <w:r w:rsidRPr="00260FFF">
        <w:rPr>
          <w:rFonts w:ascii="Times New Roman" w:hAnsi="Times New Roman"/>
          <w:sz w:val="20"/>
          <w:szCs w:val="20"/>
        </w:rPr>
        <w:t xml:space="preserve"> 230 Global Indicators, </w:t>
      </w:r>
      <w:r w:rsidRPr="0005290E">
        <w:rPr>
          <w:rFonts w:ascii="Times New Roman" w:hAnsi="Times New Roman"/>
          <w:sz w:val="20"/>
          <w:szCs w:val="20"/>
        </w:rPr>
        <w:t xml:space="preserve">proposed </w:t>
      </w:r>
      <w:r w:rsidRPr="00260FFF">
        <w:rPr>
          <w:rFonts w:ascii="Times New Roman" w:hAnsi="Times New Roman"/>
          <w:sz w:val="20"/>
          <w:szCs w:val="20"/>
        </w:rPr>
        <w:t xml:space="preserve">by IAEG-SDGs members are </w:t>
      </w:r>
      <w:r w:rsidRPr="0005290E">
        <w:rPr>
          <w:rFonts w:ascii="Times New Roman" w:hAnsi="Times New Roman"/>
          <w:sz w:val="20"/>
          <w:szCs w:val="20"/>
        </w:rPr>
        <w:t xml:space="preserve">to be placed before </w:t>
      </w:r>
      <w:r w:rsidRPr="00260FFF">
        <w:rPr>
          <w:rFonts w:ascii="Times New Roman" w:hAnsi="Times New Roman"/>
          <w:sz w:val="20"/>
          <w:szCs w:val="20"/>
        </w:rPr>
        <w:t xml:space="preserve">ECOSOC and </w:t>
      </w:r>
      <w:r w:rsidRPr="0005290E">
        <w:rPr>
          <w:rFonts w:ascii="Times New Roman" w:hAnsi="Times New Roman"/>
          <w:sz w:val="20"/>
          <w:szCs w:val="20"/>
        </w:rPr>
        <w:t>will finally be submitted for adoption during 71</w:t>
      </w:r>
      <w:r w:rsidRPr="00260FFF">
        <w:rPr>
          <w:rFonts w:ascii="Times New Roman" w:hAnsi="Times New Roman"/>
          <w:sz w:val="20"/>
          <w:szCs w:val="20"/>
        </w:rPr>
        <w:t>st</w:t>
      </w:r>
      <w:r w:rsidRPr="0005290E">
        <w:rPr>
          <w:rFonts w:ascii="Times New Roman" w:hAnsi="Times New Roman"/>
          <w:sz w:val="20"/>
          <w:szCs w:val="20"/>
        </w:rPr>
        <w:t xml:space="preserve"> UNGA </w:t>
      </w:r>
      <w:r>
        <w:rPr>
          <w:rFonts w:ascii="Times New Roman" w:hAnsi="Times New Roman"/>
          <w:sz w:val="20"/>
          <w:szCs w:val="20"/>
        </w:rPr>
        <w:t>to be held on</w:t>
      </w:r>
      <w:r w:rsidRPr="0005290E">
        <w:rPr>
          <w:rFonts w:ascii="Times New Roman" w:hAnsi="Times New Roman"/>
          <w:sz w:val="20"/>
          <w:szCs w:val="20"/>
        </w:rPr>
        <w:t xml:space="preserve"> September’</w:t>
      </w:r>
      <w:r w:rsidR="003E1EAD">
        <w:rPr>
          <w:rFonts w:ascii="Times New Roman" w:hAnsi="Times New Roman"/>
          <w:sz w:val="20"/>
          <w:szCs w:val="20"/>
        </w:rPr>
        <w:t xml:space="preserve"> </w:t>
      </w:r>
      <w:r w:rsidRPr="0005290E">
        <w:rPr>
          <w:rFonts w:ascii="Times New Roman" w:hAnsi="Times New Roman"/>
          <w:sz w:val="20"/>
          <w:szCs w:val="20"/>
        </w:rPr>
        <w:t>2016</w:t>
      </w:r>
      <w:r w:rsidRPr="00260FFF">
        <w:rPr>
          <w:rFonts w:ascii="Times New Roman" w:hAnsi="Times New Roman"/>
          <w:sz w:val="20"/>
          <w:szCs w:val="20"/>
        </w:rPr>
        <w:t>.</w:t>
      </w:r>
    </w:p>
    <w:p w:rsidR="00F474E8" w:rsidRDefault="00F474E8" w:rsidP="0097290F">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Gadug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8" w:rsidRPr="00195475" w:rsidRDefault="00F474E8" w:rsidP="009B65F4">
    <w:pPr>
      <w:pStyle w:val="Footer"/>
      <w:rPr>
        <w:i/>
      </w:rPr>
    </w:pPr>
  </w:p>
  <w:p w:rsidR="00F474E8" w:rsidRPr="009B65F4" w:rsidRDefault="00F474E8" w:rsidP="00B34A0C">
    <w:pPr>
      <w:pStyle w:val="Footer"/>
      <w:pBdr>
        <w:top w:val="thinThickSmallGap" w:sz="24" w:space="0" w:color="823B0B" w:themeColor="accent2" w:themeShade="7F"/>
      </w:pBdr>
      <w:rPr>
        <w:rFonts w:asciiTheme="majorHAnsi" w:eastAsiaTheme="majorEastAsia" w:hAnsiTheme="majorHAnsi" w:cstheme="majorBidi"/>
      </w:rPr>
    </w:pPr>
    <w:r w:rsidRPr="00F77D92">
      <w:rPr>
        <w:rFonts w:ascii="Times New Roman" w:hAnsi="Times New Roman"/>
        <w:i/>
      </w:rPr>
      <w:t>Data Gap Analysis for the Proposed Indicators of SDGs</w:t>
    </w:r>
    <w:r>
      <w:rPr>
        <w:i/>
      </w:rPr>
      <w:tab/>
    </w:r>
    <w:r>
      <w:rPr>
        <w:i/>
      </w:rPr>
      <w:tab/>
    </w:r>
    <w:r>
      <w:rPr>
        <w:i/>
      </w:rPr>
      <w:tab/>
    </w:r>
    <w:r>
      <w:rPr>
        <w:i/>
      </w:rPr>
      <w:tab/>
    </w:r>
    <w:r>
      <w:rPr>
        <w:i/>
      </w:rPr>
      <w:tab/>
      <w:t>GED, Planning Commission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140" w:rsidRDefault="00C26140" w:rsidP="00C50F05">
      <w:pPr>
        <w:spacing w:after="0" w:line="240" w:lineRule="auto"/>
      </w:pPr>
      <w:r>
        <w:separator/>
      </w:r>
    </w:p>
  </w:footnote>
  <w:footnote w:type="continuationSeparator" w:id="0">
    <w:p w:rsidR="00C26140" w:rsidRDefault="00C26140" w:rsidP="00C50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8" w:rsidRDefault="00F474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667" o:spid="_x0000_s2053"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8" w:rsidRDefault="00F474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668" o:spid="_x0000_s2054" type="#_x0000_t136" style="position:absolute;margin-left:0;margin-top:0;width:397.7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
    <w:sdtPr>
      <w:id w:val="1483358651"/>
      <w:docPartObj>
        <w:docPartGallery w:val="Page Numbers (Margins)"/>
        <w:docPartUnique/>
      </w:docPartObj>
    </w:sdtPr>
    <w:sdtContent>
      <w:p w:rsidR="00F474E8" w:rsidRDefault="00F474E8">
        <w:pPr>
          <w:pStyle w:val="Header"/>
        </w:pPr>
        <w:r>
          <w:rPr>
            <w:noProof/>
          </w:rPr>
          <w:pict>
            <v:rect id="Rectangle 3" o:spid="_x0000_s2055" style="position:absolute;margin-left:0;margin-top:0;width:41.95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" o:allowincell="f" filled="f" stroked="f">
              <v:textbox style="layout-flow:vertical;mso-layout-flow-alt:bottom-to-top;mso-fit-shape-to-text:t">
                <w:txbxContent>
                  <w:p w:rsidR="00F474E8" w:rsidRDefault="00F474E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9130D" w:rsidRPr="00E9130D">
                      <w:rPr>
                        <w:rFonts w:asciiTheme="majorHAnsi" w:eastAsiaTheme="majorEastAsia" w:hAnsiTheme="majorHAnsi" w:cstheme="majorBidi"/>
                        <w:noProof/>
                        <w:sz w:val="44"/>
                        <w:szCs w:val="44"/>
                      </w:rPr>
                      <w:t>66</w:t>
                    </w:r>
                    <w:r>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E8" w:rsidRDefault="00F474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666" o:spid="_x0000_s2052"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5FDD"/>
    <w:multiLevelType w:val="hybridMultilevel"/>
    <w:tmpl w:val="E256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E2D5E"/>
    <w:multiLevelType w:val="hybridMultilevel"/>
    <w:tmpl w:val="33B4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81F7D"/>
    <w:multiLevelType w:val="hybridMultilevel"/>
    <w:tmpl w:val="87E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253D6"/>
    <w:multiLevelType w:val="hybridMultilevel"/>
    <w:tmpl w:val="FD3A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37F4C"/>
    <w:multiLevelType w:val="hybridMultilevel"/>
    <w:tmpl w:val="BF20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77A7A"/>
    <w:multiLevelType w:val="hybridMultilevel"/>
    <w:tmpl w:val="B944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615A2"/>
    <w:multiLevelType w:val="hybridMultilevel"/>
    <w:tmpl w:val="577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418E2"/>
    <w:multiLevelType w:val="hybridMultilevel"/>
    <w:tmpl w:val="A18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67D8A"/>
    <w:multiLevelType w:val="hybridMultilevel"/>
    <w:tmpl w:val="BDF4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607A0"/>
    <w:multiLevelType w:val="hybridMultilevel"/>
    <w:tmpl w:val="4902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4E6FE6"/>
    <w:multiLevelType w:val="hybridMultilevel"/>
    <w:tmpl w:val="3654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3342B"/>
    <w:multiLevelType w:val="hybridMultilevel"/>
    <w:tmpl w:val="4A76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916DCD"/>
    <w:multiLevelType w:val="hybridMultilevel"/>
    <w:tmpl w:val="3D10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91B0C"/>
    <w:multiLevelType w:val="hybridMultilevel"/>
    <w:tmpl w:val="BED0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65108"/>
    <w:multiLevelType w:val="hybridMultilevel"/>
    <w:tmpl w:val="D95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E65804"/>
    <w:multiLevelType w:val="hybridMultilevel"/>
    <w:tmpl w:val="976C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57E11"/>
    <w:multiLevelType w:val="hybridMultilevel"/>
    <w:tmpl w:val="3512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57032"/>
    <w:multiLevelType w:val="hybridMultilevel"/>
    <w:tmpl w:val="DCF8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E7289F"/>
    <w:multiLevelType w:val="hybridMultilevel"/>
    <w:tmpl w:val="4564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E85255"/>
    <w:multiLevelType w:val="hybridMultilevel"/>
    <w:tmpl w:val="A5A0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7"/>
  </w:num>
  <w:num w:numId="5">
    <w:abstractNumId w:val="17"/>
  </w:num>
  <w:num w:numId="6">
    <w:abstractNumId w:val="16"/>
  </w:num>
  <w:num w:numId="7">
    <w:abstractNumId w:val="1"/>
  </w:num>
  <w:num w:numId="8">
    <w:abstractNumId w:val="14"/>
  </w:num>
  <w:num w:numId="9">
    <w:abstractNumId w:val="5"/>
  </w:num>
  <w:num w:numId="10">
    <w:abstractNumId w:val="19"/>
  </w:num>
  <w:num w:numId="11">
    <w:abstractNumId w:val="3"/>
  </w:num>
  <w:num w:numId="12">
    <w:abstractNumId w:val="13"/>
  </w:num>
  <w:num w:numId="13">
    <w:abstractNumId w:val="4"/>
  </w:num>
  <w:num w:numId="14">
    <w:abstractNumId w:val="12"/>
  </w:num>
  <w:num w:numId="15">
    <w:abstractNumId w:val="15"/>
  </w:num>
  <w:num w:numId="16">
    <w:abstractNumId w:val="10"/>
  </w:num>
  <w:num w:numId="17">
    <w:abstractNumId w:val="2"/>
  </w:num>
  <w:num w:numId="18">
    <w:abstractNumId w:val="18"/>
  </w:num>
  <w:num w:numId="19">
    <w:abstractNumId w:val="0"/>
  </w:num>
  <w:num w:numId="20">
    <w:abstractNumId w:val="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d. Anisar Rahaman">
    <w15:presenceInfo w15:providerId="Windows Live" w15:userId="448aa6ee0661b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DQ0MLE0MDK3tDQ2MzRS0lEKTi0uzszPAykwNKoFAEIjvEYtAAAA"/>
  </w:docVars>
  <w:rsids>
    <w:rsidRoot w:val="00F85B37"/>
    <w:rsid w:val="00003CD9"/>
    <w:rsid w:val="0000420C"/>
    <w:rsid w:val="00005C4D"/>
    <w:rsid w:val="00011621"/>
    <w:rsid w:val="0001310F"/>
    <w:rsid w:val="00013AFE"/>
    <w:rsid w:val="0001449D"/>
    <w:rsid w:val="00014874"/>
    <w:rsid w:val="00015B5E"/>
    <w:rsid w:val="0002639D"/>
    <w:rsid w:val="00030462"/>
    <w:rsid w:val="00030532"/>
    <w:rsid w:val="000413DB"/>
    <w:rsid w:val="00052490"/>
    <w:rsid w:val="00067A0D"/>
    <w:rsid w:val="00070123"/>
    <w:rsid w:val="00074649"/>
    <w:rsid w:val="000813B7"/>
    <w:rsid w:val="00086197"/>
    <w:rsid w:val="00087023"/>
    <w:rsid w:val="00092477"/>
    <w:rsid w:val="00096A9C"/>
    <w:rsid w:val="00097FC4"/>
    <w:rsid w:val="000A1280"/>
    <w:rsid w:val="000A5A36"/>
    <w:rsid w:val="000A649B"/>
    <w:rsid w:val="000C4396"/>
    <w:rsid w:val="000D2DF0"/>
    <w:rsid w:val="000D79E4"/>
    <w:rsid w:val="000E4F30"/>
    <w:rsid w:val="000E52A2"/>
    <w:rsid w:val="000E7197"/>
    <w:rsid w:val="000F0585"/>
    <w:rsid w:val="000F5A2A"/>
    <w:rsid w:val="000F60D6"/>
    <w:rsid w:val="001006FF"/>
    <w:rsid w:val="00104378"/>
    <w:rsid w:val="00116AD8"/>
    <w:rsid w:val="00117D80"/>
    <w:rsid w:val="001203B5"/>
    <w:rsid w:val="001209DD"/>
    <w:rsid w:val="001223F5"/>
    <w:rsid w:val="00125645"/>
    <w:rsid w:val="00137216"/>
    <w:rsid w:val="00137A07"/>
    <w:rsid w:val="00140C34"/>
    <w:rsid w:val="00146454"/>
    <w:rsid w:val="00147065"/>
    <w:rsid w:val="00153809"/>
    <w:rsid w:val="00156375"/>
    <w:rsid w:val="00156D4B"/>
    <w:rsid w:val="00157762"/>
    <w:rsid w:val="00157837"/>
    <w:rsid w:val="00157E26"/>
    <w:rsid w:val="001611F1"/>
    <w:rsid w:val="001630EA"/>
    <w:rsid w:val="001634FF"/>
    <w:rsid w:val="00164793"/>
    <w:rsid w:val="00165715"/>
    <w:rsid w:val="00167C59"/>
    <w:rsid w:val="00174987"/>
    <w:rsid w:val="00180FF4"/>
    <w:rsid w:val="00182000"/>
    <w:rsid w:val="0018386F"/>
    <w:rsid w:val="00184028"/>
    <w:rsid w:val="00185184"/>
    <w:rsid w:val="0019354C"/>
    <w:rsid w:val="001A058A"/>
    <w:rsid w:val="001A05E8"/>
    <w:rsid w:val="001A19DD"/>
    <w:rsid w:val="001A784D"/>
    <w:rsid w:val="001B3A09"/>
    <w:rsid w:val="001C0E1F"/>
    <w:rsid w:val="001C2F4F"/>
    <w:rsid w:val="001C78B8"/>
    <w:rsid w:val="001D0C15"/>
    <w:rsid w:val="001D0D2C"/>
    <w:rsid w:val="001D3E43"/>
    <w:rsid w:val="001D5313"/>
    <w:rsid w:val="001D7705"/>
    <w:rsid w:val="001E1AAE"/>
    <w:rsid w:val="001F27C3"/>
    <w:rsid w:val="001F7A9A"/>
    <w:rsid w:val="001F7FE8"/>
    <w:rsid w:val="00202054"/>
    <w:rsid w:val="002031BD"/>
    <w:rsid w:val="00206B78"/>
    <w:rsid w:val="00215533"/>
    <w:rsid w:val="00223B09"/>
    <w:rsid w:val="00224F39"/>
    <w:rsid w:val="00233AFA"/>
    <w:rsid w:val="00234DE0"/>
    <w:rsid w:val="00234DFD"/>
    <w:rsid w:val="00237264"/>
    <w:rsid w:val="00246156"/>
    <w:rsid w:val="00247C71"/>
    <w:rsid w:val="00251859"/>
    <w:rsid w:val="00256D6F"/>
    <w:rsid w:val="002573F5"/>
    <w:rsid w:val="002609CF"/>
    <w:rsid w:val="00260FFF"/>
    <w:rsid w:val="00261944"/>
    <w:rsid w:val="00261CEC"/>
    <w:rsid w:val="00263300"/>
    <w:rsid w:val="00266653"/>
    <w:rsid w:val="0027092D"/>
    <w:rsid w:val="00272035"/>
    <w:rsid w:val="002763EF"/>
    <w:rsid w:val="00276A63"/>
    <w:rsid w:val="002804DE"/>
    <w:rsid w:val="00281E33"/>
    <w:rsid w:val="0028742E"/>
    <w:rsid w:val="00290310"/>
    <w:rsid w:val="00294DEB"/>
    <w:rsid w:val="00295DF2"/>
    <w:rsid w:val="00296333"/>
    <w:rsid w:val="002B27C9"/>
    <w:rsid w:val="002B3031"/>
    <w:rsid w:val="002B321A"/>
    <w:rsid w:val="002B6E63"/>
    <w:rsid w:val="002C4E3C"/>
    <w:rsid w:val="002C6340"/>
    <w:rsid w:val="002D71EC"/>
    <w:rsid w:val="002E29BF"/>
    <w:rsid w:val="002E36A1"/>
    <w:rsid w:val="002E4B0B"/>
    <w:rsid w:val="00300F12"/>
    <w:rsid w:val="0030360E"/>
    <w:rsid w:val="003042BD"/>
    <w:rsid w:val="003104A1"/>
    <w:rsid w:val="00316AF6"/>
    <w:rsid w:val="00317863"/>
    <w:rsid w:val="003312EF"/>
    <w:rsid w:val="0033371E"/>
    <w:rsid w:val="00347FCE"/>
    <w:rsid w:val="003507D8"/>
    <w:rsid w:val="00353088"/>
    <w:rsid w:val="00353979"/>
    <w:rsid w:val="00367555"/>
    <w:rsid w:val="0037111C"/>
    <w:rsid w:val="00372920"/>
    <w:rsid w:val="00373628"/>
    <w:rsid w:val="00373A9E"/>
    <w:rsid w:val="003747FE"/>
    <w:rsid w:val="00376283"/>
    <w:rsid w:val="00376612"/>
    <w:rsid w:val="00376CDD"/>
    <w:rsid w:val="0038016D"/>
    <w:rsid w:val="003821F6"/>
    <w:rsid w:val="00385434"/>
    <w:rsid w:val="003959DE"/>
    <w:rsid w:val="003A6282"/>
    <w:rsid w:val="003B0127"/>
    <w:rsid w:val="003B073F"/>
    <w:rsid w:val="003B432E"/>
    <w:rsid w:val="003B4CC9"/>
    <w:rsid w:val="003B4CF8"/>
    <w:rsid w:val="003B72BF"/>
    <w:rsid w:val="003C077F"/>
    <w:rsid w:val="003C124E"/>
    <w:rsid w:val="003C4ADC"/>
    <w:rsid w:val="003D341F"/>
    <w:rsid w:val="003E1EAD"/>
    <w:rsid w:val="003E20DD"/>
    <w:rsid w:val="003F415F"/>
    <w:rsid w:val="0040095B"/>
    <w:rsid w:val="004068B1"/>
    <w:rsid w:val="00411455"/>
    <w:rsid w:val="00413AEA"/>
    <w:rsid w:val="00415DE4"/>
    <w:rsid w:val="0041745C"/>
    <w:rsid w:val="00423E78"/>
    <w:rsid w:val="00430C56"/>
    <w:rsid w:val="00441960"/>
    <w:rsid w:val="00451900"/>
    <w:rsid w:val="004558CC"/>
    <w:rsid w:val="00456FB2"/>
    <w:rsid w:val="00456FE9"/>
    <w:rsid w:val="0046366A"/>
    <w:rsid w:val="0046563F"/>
    <w:rsid w:val="00470696"/>
    <w:rsid w:val="00474CCE"/>
    <w:rsid w:val="0047501B"/>
    <w:rsid w:val="00475DEE"/>
    <w:rsid w:val="004760E2"/>
    <w:rsid w:val="00482C1E"/>
    <w:rsid w:val="0048417D"/>
    <w:rsid w:val="00484A8E"/>
    <w:rsid w:val="004862F6"/>
    <w:rsid w:val="00493975"/>
    <w:rsid w:val="00495004"/>
    <w:rsid w:val="00496CC5"/>
    <w:rsid w:val="004A5A30"/>
    <w:rsid w:val="004A6603"/>
    <w:rsid w:val="004B02F2"/>
    <w:rsid w:val="004B1009"/>
    <w:rsid w:val="004B2E6E"/>
    <w:rsid w:val="004C10C0"/>
    <w:rsid w:val="004C497A"/>
    <w:rsid w:val="004C5A19"/>
    <w:rsid w:val="004D1CAC"/>
    <w:rsid w:val="004D36D9"/>
    <w:rsid w:val="004D3898"/>
    <w:rsid w:val="004E0BD5"/>
    <w:rsid w:val="004E2F6D"/>
    <w:rsid w:val="004E39FF"/>
    <w:rsid w:val="004E5B23"/>
    <w:rsid w:val="004F27EA"/>
    <w:rsid w:val="004F56FA"/>
    <w:rsid w:val="004F572F"/>
    <w:rsid w:val="005000B1"/>
    <w:rsid w:val="005016E5"/>
    <w:rsid w:val="00501953"/>
    <w:rsid w:val="00504D1B"/>
    <w:rsid w:val="005065F1"/>
    <w:rsid w:val="00520A85"/>
    <w:rsid w:val="00520F5D"/>
    <w:rsid w:val="00522B3E"/>
    <w:rsid w:val="00523F63"/>
    <w:rsid w:val="00524C7E"/>
    <w:rsid w:val="0052646C"/>
    <w:rsid w:val="00530466"/>
    <w:rsid w:val="005348D5"/>
    <w:rsid w:val="005357D6"/>
    <w:rsid w:val="005401AB"/>
    <w:rsid w:val="00552A41"/>
    <w:rsid w:val="00552AE6"/>
    <w:rsid w:val="00552FDA"/>
    <w:rsid w:val="0055736E"/>
    <w:rsid w:val="0056000A"/>
    <w:rsid w:val="005625A0"/>
    <w:rsid w:val="00563F0E"/>
    <w:rsid w:val="005656DB"/>
    <w:rsid w:val="00573651"/>
    <w:rsid w:val="005840BD"/>
    <w:rsid w:val="0059608A"/>
    <w:rsid w:val="005A2D44"/>
    <w:rsid w:val="005A6BA7"/>
    <w:rsid w:val="005B60DF"/>
    <w:rsid w:val="005C2555"/>
    <w:rsid w:val="005C53E4"/>
    <w:rsid w:val="005C72F4"/>
    <w:rsid w:val="005E2D6C"/>
    <w:rsid w:val="005E3B43"/>
    <w:rsid w:val="005E4EB0"/>
    <w:rsid w:val="005F6163"/>
    <w:rsid w:val="00612432"/>
    <w:rsid w:val="00616EBD"/>
    <w:rsid w:val="006174DB"/>
    <w:rsid w:val="00622226"/>
    <w:rsid w:val="00630828"/>
    <w:rsid w:val="00635495"/>
    <w:rsid w:val="00636A78"/>
    <w:rsid w:val="00636EF9"/>
    <w:rsid w:val="00640737"/>
    <w:rsid w:val="00642484"/>
    <w:rsid w:val="006458EA"/>
    <w:rsid w:val="00647946"/>
    <w:rsid w:val="00656F86"/>
    <w:rsid w:val="00657475"/>
    <w:rsid w:val="006629AC"/>
    <w:rsid w:val="00663E28"/>
    <w:rsid w:val="00670417"/>
    <w:rsid w:val="00672336"/>
    <w:rsid w:val="00674A9C"/>
    <w:rsid w:val="006868AB"/>
    <w:rsid w:val="00687FB4"/>
    <w:rsid w:val="0069039C"/>
    <w:rsid w:val="00691F6A"/>
    <w:rsid w:val="006A1150"/>
    <w:rsid w:val="006A1684"/>
    <w:rsid w:val="006A27AF"/>
    <w:rsid w:val="006A5A09"/>
    <w:rsid w:val="006B67E5"/>
    <w:rsid w:val="006B6F89"/>
    <w:rsid w:val="006C0395"/>
    <w:rsid w:val="006C2278"/>
    <w:rsid w:val="006C2F38"/>
    <w:rsid w:val="006D2870"/>
    <w:rsid w:val="006D3289"/>
    <w:rsid w:val="006D6BD5"/>
    <w:rsid w:val="006D71B3"/>
    <w:rsid w:val="006D77A5"/>
    <w:rsid w:val="006E4B37"/>
    <w:rsid w:val="006F56D9"/>
    <w:rsid w:val="006F76E7"/>
    <w:rsid w:val="00710035"/>
    <w:rsid w:val="0071060D"/>
    <w:rsid w:val="0071307E"/>
    <w:rsid w:val="007146A2"/>
    <w:rsid w:val="00716484"/>
    <w:rsid w:val="00716F7C"/>
    <w:rsid w:val="00722740"/>
    <w:rsid w:val="0073030D"/>
    <w:rsid w:val="00751927"/>
    <w:rsid w:val="00753D3C"/>
    <w:rsid w:val="0075450E"/>
    <w:rsid w:val="00762522"/>
    <w:rsid w:val="007667F1"/>
    <w:rsid w:val="00770998"/>
    <w:rsid w:val="00770B75"/>
    <w:rsid w:val="007758D7"/>
    <w:rsid w:val="007759A2"/>
    <w:rsid w:val="007831AD"/>
    <w:rsid w:val="00785F3F"/>
    <w:rsid w:val="0078762E"/>
    <w:rsid w:val="00796BDA"/>
    <w:rsid w:val="007A0BDC"/>
    <w:rsid w:val="007A5089"/>
    <w:rsid w:val="007B0E07"/>
    <w:rsid w:val="007B22DA"/>
    <w:rsid w:val="007C297B"/>
    <w:rsid w:val="007C2AD4"/>
    <w:rsid w:val="007C3061"/>
    <w:rsid w:val="007C4492"/>
    <w:rsid w:val="007C5530"/>
    <w:rsid w:val="007D178C"/>
    <w:rsid w:val="007E06E8"/>
    <w:rsid w:val="007E7B82"/>
    <w:rsid w:val="007F0F0D"/>
    <w:rsid w:val="007F1443"/>
    <w:rsid w:val="007F2161"/>
    <w:rsid w:val="008005A4"/>
    <w:rsid w:val="008043ED"/>
    <w:rsid w:val="008057DD"/>
    <w:rsid w:val="00805A08"/>
    <w:rsid w:val="00810EE9"/>
    <w:rsid w:val="0081410B"/>
    <w:rsid w:val="00815078"/>
    <w:rsid w:val="00823607"/>
    <w:rsid w:val="008240AA"/>
    <w:rsid w:val="00833BBB"/>
    <w:rsid w:val="008404CE"/>
    <w:rsid w:val="008415AA"/>
    <w:rsid w:val="008423E7"/>
    <w:rsid w:val="0084321F"/>
    <w:rsid w:val="00847641"/>
    <w:rsid w:val="00852451"/>
    <w:rsid w:val="0085369C"/>
    <w:rsid w:val="00853BEA"/>
    <w:rsid w:val="00865936"/>
    <w:rsid w:val="0087285A"/>
    <w:rsid w:val="008729DE"/>
    <w:rsid w:val="008759DA"/>
    <w:rsid w:val="008768D2"/>
    <w:rsid w:val="0088342F"/>
    <w:rsid w:val="00884C26"/>
    <w:rsid w:val="00893033"/>
    <w:rsid w:val="00893D6B"/>
    <w:rsid w:val="008943F5"/>
    <w:rsid w:val="008966BB"/>
    <w:rsid w:val="008A31B9"/>
    <w:rsid w:val="008B3F46"/>
    <w:rsid w:val="008B7736"/>
    <w:rsid w:val="008C0C74"/>
    <w:rsid w:val="008C2947"/>
    <w:rsid w:val="008C3B5A"/>
    <w:rsid w:val="008D3D39"/>
    <w:rsid w:val="008E7EDA"/>
    <w:rsid w:val="008F1D3C"/>
    <w:rsid w:val="00900970"/>
    <w:rsid w:val="00906B1A"/>
    <w:rsid w:val="00907470"/>
    <w:rsid w:val="0091081B"/>
    <w:rsid w:val="009224FE"/>
    <w:rsid w:val="009243B0"/>
    <w:rsid w:val="00927AF3"/>
    <w:rsid w:val="00927B75"/>
    <w:rsid w:val="009373E2"/>
    <w:rsid w:val="0093766A"/>
    <w:rsid w:val="00937F4A"/>
    <w:rsid w:val="00941F2B"/>
    <w:rsid w:val="009450DE"/>
    <w:rsid w:val="00946801"/>
    <w:rsid w:val="009500F4"/>
    <w:rsid w:val="00952763"/>
    <w:rsid w:val="00954850"/>
    <w:rsid w:val="009634B6"/>
    <w:rsid w:val="00964E21"/>
    <w:rsid w:val="0096523B"/>
    <w:rsid w:val="00965D55"/>
    <w:rsid w:val="0097290F"/>
    <w:rsid w:val="00974C78"/>
    <w:rsid w:val="009771F6"/>
    <w:rsid w:val="0098368C"/>
    <w:rsid w:val="009845DA"/>
    <w:rsid w:val="00986972"/>
    <w:rsid w:val="00986C60"/>
    <w:rsid w:val="0099747F"/>
    <w:rsid w:val="009979C4"/>
    <w:rsid w:val="009A04DC"/>
    <w:rsid w:val="009A4AB5"/>
    <w:rsid w:val="009A4C24"/>
    <w:rsid w:val="009B39F6"/>
    <w:rsid w:val="009B5898"/>
    <w:rsid w:val="009B65F4"/>
    <w:rsid w:val="009D0A18"/>
    <w:rsid w:val="009D2782"/>
    <w:rsid w:val="009D5A0A"/>
    <w:rsid w:val="009E0F32"/>
    <w:rsid w:val="009E353F"/>
    <w:rsid w:val="009E37A3"/>
    <w:rsid w:val="009F6833"/>
    <w:rsid w:val="00A0093F"/>
    <w:rsid w:val="00A06D16"/>
    <w:rsid w:val="00A0709F"/>
    <w:rsid w:val="00A13FF3"/>
    <w:rsid w:val="00A218A6"/>
    <w:rsid w:val="00A25B42"/>
    <w:rsid w:val="00A30B03"/>
    <w:rsid w:val="00A32A6C"/>
    <w:rsid w:val="00A349BC"/>
    <w:rsid w:val="00A34D89"/>
    <w:rsid w:val="00A402CB"/>
    <w:rsid w:val="00A47063"/>
    <w:rsid w:val="00A560D4"/>
    <w:rsid w:val="00A57C3C"/>
    <w:rsid w:val="00A63C1B"/>
    <w:rsid w:val="00A711FC"/>
    <w:rsid w:val="00A90DD0"/>
    <w:rsid w:val="00A9270C"/>
    <w:rsid w:val="00A94DB1"/>
    <w:rsid w:val="00AB0FDD"/>
    <w:rsid w:val="00AB199A"/>
    <w:rsid w:val="00AB463A"/>
    <w:rsid w:val="00AC37BC"/>
    <w:rsid w:val="00AC3CC1"/>
    <w:rsid w:val="00AC60F7"/>
    <w:rsid w:val="00AD22D4"/>
    <w:rsid w:val="00AD3565"/>
    <w:rsid w:val="00AD6ADB"/>
    <w:rsid w:val="00AD6AEF"/>
    <w:rsid w:val="00AE024E"/>
    <w:rsid w:val="00AE1B93"/>
    <w:rsid w:val="00AE2C20"/>
    <w:rsid w:val="00AE4CF6"/>
    <w:rsid w:val="00AE7D3D"/>
    <w:rsid w:val="00AF0430"/>
    <w:rsid w:val="00AF25F4"/>
    <w:rsid w:val="00AF2965"/>
    <w:rsid w:val="00AF307C"/>
    <w:rsid w:val="00AF3A70"/>
    <w:rsid w:val="00AF4783"/>
    <w:rsid w:val="00AF492F"/>
    <w:rsid w:val="00AF67DC"/>
    <w:rsid w:val="00B03DFE"/>
    <w:rsid w:val="00B04498"/>
    <w:rsid w:val="00B05011"/>
    <w:rsid w:val="00B10014"/>
    <w:rsid w:val="00B108D8"/>
    <w:rsid w:val="00B12E4D"/>
    <w:rsid w:val="00B16A12"/>
    <w:rsid w:val="00B17147"/>
    <w:rsid w:val="00B21551"/>
    <w:rsid w:val="00B34A0C"/>
    <w:rsid w:val="00B44A90"/>
    <w:rsid w:val="00B508CF"/>
    <w:rsid w:val="00B535CB"/>
    <w:rsid w:val="00B56088"/>
    <w:rsid w:val="00B61BAE"/>
    <w:rsid w:val="00B63C95"/>
    <w:rsid w:val="00B65DE3"/>
    <w:rsid w:val="00B67305"/>
    <w:rsid w:val="00B762EA"/>
    <w:rsid w:val="00B85F78"/>
    <w:rsid w:val="00B86198"/>
    <w:rsid w:val="00B87478"/>
    <w:rsid w:val="00B87FB0"/>
    <w:rsid w:val="00B9046B"/>
    <w:rsid w:val="00B90E54"/>
    <w:rsid w:val="00B93AB3"/>
    <w:rsid w:val="00B93D48"/>
    <w:rsid w:val="00B948A6"/>
    <w:rsid w:val="00B95E75"/>
    <w:rsid w:val="00BA025C"/>
    <w:rsid w:val="00BA5E6F"/>
    <w:rsid w:val="00BB0EC5"/>
    <w:rsid w:val="00BB469A"/>
    <w:rsid w:val="00BB5311"/>
    <w:rsid w:val="00BC0885"/>
    <w:rsid w:val="00BD0CBB"/>
    <w:rsid w:val="00BD106C"/>
    <w:rsid w:val="00BE00E0"/>
    <w:rsid w:val="00BE52A5"/>
    <w:rsid w:val="00BE709A"/>
    <w:rsid w:val="00BE7827"/>
    <w:rsid w:val="00BF580D"/>
    <w:rsid w:val="00C0739C"/>
    <w:rsid w:val="00C22957"/>
    <w:rsid w:val="00C24F3A"/>
    <w:rsid w:val="00C25AD6"/>
    <w:rsid w:val="00C26140"/>
    <w:rsid w:val="00C27792"/>
    <w:rsid w:val="00C3138F"/>
    <w:rsid w:val="00C365A1"/>
    <w:rsid w:val="00C376DD"/>
    <w:rsid w:val="00C37C21"/>
    <w:rsid w:val="00C50333"/>
    <w:rsid w:val="00C50F05"/>
    <w:rsid w:val="00C50F19"/>
    <w:rsid w:val="00C52835"/>
    <w:rsid w:val="00C53C16"/>
    <w:rsid w:val="00C63F78"/>
    <w:rsid w:val="00C71F97"/>
    <w:rsid w:val="00C74087"/>
    <w:rsid w:val="00C80805"/>
    <w:rsid w:val="00C80C7E"/>
    <w:rsid w:val="00C84BAB"/>
    <w:rsid w:val="00C903E1"/>
    <w:rsid w:val="00C915F5"/>
    <w:rsid w:val="00C918BB"/>
    <w:rsid w:val="00CA037F"/>
    <w:rsid w:val="00CA7544"/>
    <w:rsid w:val="00CB1FD1"/>
    <w:rsid w:val="00CB34CA"/>
    <w:rsid w:val="00CB49C2"/>
    <w:rsid w:val="00CB4F59"/>
    <w:rsid w:val="00CB74B3"/>
    <w:rsid w:val="00CB77A4"/>
    <w:rsid w:val="00CC4CD1"/>
    <w:rsid w:val="00CD0DF0"/>
    <w:rsid w:val="00CD174C"/>
    <w:rsid w:val="00CD3C17"/>
    <w:rsid w:val="00CD4F18"/>
    <w:rsid w:val="00CE08E0"/>
    <w:rsid w:val="00CE4DD2"/>
    <w:rsid w:val="00CE536E"/>
    <w:rsid w:val="00CE6BE4"/>
    <w:rsid w:val="00CF5FDC"/>
    <w:rsid w:val="00CF67EF"/>
    <w:rsid w:val="00D0162A"/>
    <w:rsid w:val="00D01D99"/>
    <w:rsid w:val="00D10841"/>
    <w:rsid w:val="00D10F50"/>
    <w:rsid w:val="00D15B0C"/>
    <w:rsid w:val="00D203A8"/>
    <w:rsid w:val="00D22C3F"/>
    <w:rsid w:val="00D27CAF"/>
    <w:rsid w:val="00D302D0"/>
    <w:rsid w:val="00D31F12"/>
    <w:rsid w:val="00D33853"/>
    <w:rsid w:val="00D3489F"/>
    <w:rsid w:val="00D365BB"/>
    <w:rsid w:val="00D415DF"/>
    <w:rsid w:val="00D4287B"/>
    <w:rsid w:val="00D44882"/>
    <w:rsid w:val="00D535C5"/>
    <w:rsid w:val="00D56E17"/>
    <w:rsid w:val="00D71BD6"/>
    <w:rsid w:val="00D724EB"/>
    <w:rsid w:val="00D729DE"/>
    <w:rsid w:val="00D73A84"/>
    <w:rsid w:val="00D751CC"/>
    <w:rsid w:val="00D76B22"/>
    <w:rsid w:val="00D7740E"/>
    <w:rsid w:val="00D84EAB"/>
    <w:rsid w:val="00D86F81"/>
    <w:rsid w:val="00D9110B"/>
    <w:rsid w:val="00D938B3"/>
    <w:rsid w:val="00D95CA2"/>
    <w:rsid w:val="00D97097"/>
    <w:rsid w:val="00DA0BF4"/>
    <w:rsid w:val="00DA2E69"/>
    <w:rsid w:val="00DA6060"/>
    <w:rsid w:val="00DA712C"/>
    <w:rsid w:val="00DB2449"/>
    <w:rsid w:val="00DB25FD"/>
    <w:rsid w:val="00DB42D8"/>
    <w:rsid w:val="00DB74C4"/>
    <w:rsid w:val="00DC12DC"/>
    <w:rsid w:val="00DC480E"/>
    <w:rsid w:val="00DC7295"/>
    <w:rsid w:val="00DD3724"/>
    <w:rsid w:val="00DD5D30"/>
    <w:rsid w:val="00DE032F"/>
    <w:rsid w:val="00DE08CE"/>
    <w:rsid w:val="00DE7374"/>
    <w:rsid w:val="00DF5765"/>
    <w:rsid w:val="00DF615D"/>
    <w:rsid w:val="00DF6C16"/>
    <w:rsid w:val="00E1001C"/>
    <w:rsid w:val="00E136D7"/>
    <w:rsid w:val="00E13928"/>
    <w:rsid w:val="00E168F5"/>
    <w:rsid w:val="00E16D50"/>
    <w:rsid w:val="00E201FD"/>
    <w:rsid w:val="00E2025F"/>
    <w:rsid w:val="00E2032B"/>
    <w:rsid w:val="00E30C28"/>
    <w:rsid w:val="00E36793"/>
    <w:rsid w:val="00E413C7"/>
    <w:rsid w:val="00E42A64"/>
    <w:rsid w:val="00E47C6D"/>
    <w:rsid w:val="00E533FD"/>
    <w:rsid w:val="00E66032"/>
    <w:rsid w:val="00E7365C"/>
    <w:rsid w:val="00E768D7"/>
    <w:rsid w:val="00E82EF3"/>
    <w:rsid w:val="00E9130D"/>
    <w:rsid w:val="00E9248E"/>
    <w:rsid w:val="00EA4D5B"/>
    <w:rsid w:val="00EB7188"/>
    <w:rsid w:val="00EC1A16"/>
    <w:rsid w:val="00EC2245"/>
    <w:rsid w:val="00EC3E6C"/>
    <w:rsid w:val="00ED51CE"/>
    <w:rsid w:val="00ED753A"/>
    <w:rsid w:val="00EE255A"/>
    <w:rsid w:val="00EE3AEE"/>
    <w:rsid w:val="00EF129F"/>
    <w:rsid w:val="00EF1DE2"/>
    <w:rsid w:val="00EF2C2B"/>
    <w:rsid w:val="00EF44B0"/>
    <w:rsid w:val="00EF4D1B"/>
    <w:rsid w:val="00EF7F2D"/>
    <w:rsid w:val="00F0067E"/>
    <w:rsid w:val="00F069DB"/>
    <w:rsid w:val="00F1039B"/>
    <w:rsid w:val="00F135A2"/>
    <w:rsid w:val="00F13862"/>
    <w:rsid w:val="00F15306"/>
    <w:rsid w:val="00F20D87"/>
    <w:rsid w:val="00F2723B"/>
    <w:rsid w:val="00F30FD2"/>
    <w:rsid w:val="00F320EA"/>
    <w:rsid w:val="00F35EE1"/>
    <w:rsid w:val="00F37247"/>
    <w:rsid w:val="00F40849"/>
    <w:rsid w:val="00F43D8F"/>
    <w:rsid w:val="00F45260"/>
    <w:rsid w:val="00F470FA"/>
    <w:rsid w:val="00F474E8"/>
    <w:rsid w:val="00F52230"/>
    <w:rsid w:val="00F52FEA"/>
    <w:rsid w:val="00F543EB"/>
    <w:rsid w:val="00F65E8C"/>
    <w:rsid w:val="00F71C75"/>
    <w:rsid w:val="00F71F2E"/>
    <w:rsid w:val="00F74D05"/>
    <w:rsid w:val="00F770E1"/>
    <w:rsid w:val="00F775A2"/>
    <w:rsid w:val="00F77D45"/>
    <w:rsid w:val="00F77D92"/>
    <w:rsid w:val="00F85B37"/>
    <w:rsid w:val="00F87365"/>
    <w:rsid w:val="00F91D09"/>
    <w:rsid w:val="00F93F5F"/>
    <w:rsid w:val="00F940BF"/>
    <w:rsid w:val="00FA04FC"/>
    <w:rsid w:val="00FA0D0D"/>
    <w:rsid w:val="00FA1E22"/>
    <w:rsid w:val="00FB118B"/>
    <w:rsid w:val="00FB4891"/>
    <w:rsid w:val="00FB7B38"/>
    <w:rsid w:val="00FC0803"/>
    <w:rsid w:val="00FC1BE9"/>
    <w:rsid w:val="00FC34FC"/>
    <w:rsid w:val="00FC4729"/>
    <w:rsid w:val="00FC79C8"/>
    <w:rsid w:val="00FE06A5"/>
    <w:rsid w:val="00FE665F"/>
    <w:rsid w:val="00FE7B87"/>
    <w:rsid w:val="00FF00EA"/>
    <w:rsid w:val="00FF10A2"/>
    <w:rsid w:val="00FF245E"/>
    <w:rsid w:val="00FF3CA7"/>
    <w:rsid w:val="00FF3D6F"/>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F85B37"/>
    <w:pPr>
      <w:spacing w:after="200" w:line="276" w:lineRule="auto"/>
    </w:pPr>
    <w:rPr>
      <w:rFonts w:ascii="Calibri" w:eastAsia="Times New Roman" w:hAnsi="Calibri" w:cs="Times New Roman"/>
    </w:rPr>
  </w:style>
  <w:style w:type="paragraph" w:styleId="Heading1">
    <w:name w:val="heading 1"/>
    <w:aliases w:val="Heading 11,Heading 1 Char Char Char"/>
    <w:basedOn w:val="Normal"/>
    <w:next w:val="Normal"/>
    <w:link w:val="Heading1Char"/>
    <w:uiPriority w:val="99"/>
    <w:qFormat/>
    <w:rsid w:val="00865936"/>
    <w:pPr>
      <w:jc w:val="center"/>
      <w:outlineLvl w:val="0"/>
    </w:pPr>
    <w:rPr>
      <w:b/>
      <w:sz w:val="36"/>
    </w:rPr>
  </w:style>
  <w:style w:type="paragraph" w:styleId="Heading2">
    <w:name w:val="heading 2"/>
    <w:basedOn w:val="Normal"/>
    <w:next w:val="Normal"/>
    <w:link w:val="Heading2Char"/>
    <w:uiPriority w:val="9"/>
    <w:qFormat/>
    <w:rsid w:val="00865936"/>
    <w:pPr>
      <w:outlineLvl w:val="1"/>
    </w:pPr>
    <w:rPr>
      <w:b/>
      <w:sz w:val="28"/>
    </w:rPr>
  </w:style>
  <w:style w:type="paragraph" w:styleId="Heading3">
    <w:name w:val="heading 3"/>
    <w:basedOn w:val="Normal"/>
    <w:next w:val="Normal"/>
    <w:link w:val="Heading3Char"/>
    <w:uiPriority w:val="9"/>
    <w:semiHidden/>
    <w:unhideWhenUsed/>
    <w:qFormat/>
    <w:rsid w:val="0086593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865936"/>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65936"/>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65936"/>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865936"/>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65936"/>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6593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1">
    <w:name w:val="Medium Grid 3 Accent 1"/>
    <w:basedOn w:val="TableNormal"/>
    <w:uiPriority w:val="69"/>
    <w:rsid w:val="00F85B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TableGrid">
    <w:name w:val="Table Grid"/>
    <w:basedOn w:val="TableNormal"/>
    <w:uiPriority w:val="59"/>
    <w:rsid w:val="00F85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w:basedOn w:val="Normal"/>
    <w:uiPriority w:val="99"/>
    <w:rsid w:val="00552FDA"/>
    <w:pPr>
      <w:spacing w:before="100" w:beforeAutospacing="1" w:after="100" w:afterAutospacing="1" w:line="240" w:lineRule="auto"/>
    </w:pPr>
    <w:rPr>
      <w:sz w:val="24"/>
      <w:szCs w:val="24"/>
    </w:rPr>
  </w:style>
  <w:style w:type="paragraph" w:styleId="NoSpacing">
    <w:name w:val="No Spacing"/>
    <w:uiPriority w:val="1"/>
    <w:qFormat/>
    <w:rsid w:val="00552FDA"/>
    <w:pPr>
      <w:spacing w:after="0" w:line="240" w:lineRule="auto"/>
    </w:pPr>
    <w:rPr>
      <w:rFonts w:ascii="Calibri" w:eastAsia="Calibri" w:hAnsi="Calibri" w:cs="Vrinda"/>
    </w:rPr>
  </w:style>
  <w:style w:type="paragraph" w:customStyle="1" w:styleId="Default">
    <w:name w:val="Default"/>
    <w:rsid w:val="00552FD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C50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F05"/>
    <w:rPr>
      <w:rFonts w:ascii="Calibri" w:eastAsia="Times New Roman" w:hAnsi="Calibri" w:cs="Times New Roman"/>
    </w:rPr>
  </w:style>
  <w:style w:type="paragraph" w:styleId="Footer">
    <w:name w:val="footer"/>
    <w:basedOn w:val="Normal"/>
    <w:link w:val="FooterChar"/>
    <w:uiPriority w:val="99"/>
    <w:unhideWhenUsed/>
    <w:rsid w:val="00C50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F05"/>
    <w:rPr>
      <w:rFonts w:ascii="Calibri" w:eastAsia="Times New Roman" w:hAnsi="Calibri" w:cs="Times New Roman"/>
    </w:rPr>
  </w:style>
  <w:style w:type="paragraph" w:styleId="ListParagraph">
    <w:name w:val="List Paragraph"/>
    <w:aliases w:val="References,List Paragraph1,Bullet1,Bullet-1"/>
    <w:basedOn w:val="Normal"/>
    <w:link w:val="ListParagraphChar"/>
    <w:uiPriority w:val="34"/>
    <w:qFormat/>
    <w:rsid w:val="00E82EF3"/>
    <w:pPr>
      <w:ind w:left="720"/>
    </w:pPr>
  </w:style>
  <w:style w:type="paragraph" w:styleId="BalloonText">
    <w:name w:val="Balloon Text"/>
    <w:basedOn w:val="Normal"/>
    <w:link w:val="BalloonTextChar"/>
    <w:uiPriority w:val="99"/>
    <w:semiHidden/>
    <w:unhideWhenUsed/>
    <w:rsid w:val="00BA5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E6F"/>
    <w:rPr>
      <w:rFonts w:ascii="Tahoma" w:eastAsia="Times New Roman" w:hAnsi="Tahoma" w:cs="Tahoma"/>
      <w:sz w:val="16"/>
      <w:szCs w:val="16"/>
    </w:rPr>
  </w:style>
  <w:style w:type="character" w:customStyle="1" w:styleId="ListParagraphChar">
    <w:name w:val="List Paragraph Char"/>
    <w:aliases w:val="References Char,List Paragraph1 Char,Bullet1 Char,Bullet-1 Char"/>
    <w:basedOn w:val="DefaultParagraphFont"/>
    <w:link w:val="ListParagraph"/>
    <w:uiPriority w:val="34"/>
    <w:rsid w:val="00640737"/>
    <w:rPr>
      <w:rFonts w:ascii="Calibri" w:eastAsia="Times New Roman" w:hAnsi="Calibri" w:cs="Times New Roman"/>
    </w:rPr>
  </w:style>
  <w:style w:type="character" w:customStyle="1" w:styleId="yiv9134197846">
    <w:name w:val="yiv9134197846"/>
    <w:basedOn w:val="DefaultParagraphFont"/>
    <w:rsid w:val="000F5A2A"/>
  </w:style>
  <w:style w:type="character" w:customStyle="1" w:styleId="rupalimediumhead">
    <w:name w:val="rupali_medium_head"/>
    <w:basedOn w:val="DefaultParagraphFont"/>
    <w:rsid w:val="00AF67DC"/>
  </w:style>
  <w:style w:type="character" w:customStyle="1" w:styleId="apple-converted-space">
    <w:name w:val="apple-converted-space"/>
    <w:basedOn w:val="DefaultParagraphFont"/>
    <w:rsid w:val="003C077F"/>
  </w:style>
  <w:style w:type="character" w:styleId="Strong">
    <w:name w:val="Strong"/>
    <w:basedOn w:val="DefaultParagraphFont"/>
    <w:uiPriority w:val="22"/>
    <w:qFormat/>
    <w:rsid w:val="00376CDD"/>
    <w:rPr>
      <w:b/>
      <w:bCs/>
    </w:rPr>
  </w:style>
  <w:style w:type="paragraph" w:styleId="EndnoteText">
    <w:name w:val="endnote text"/>
    <w:basedOn w:val="Normal"/>
    <w:link w:val="EndnoteTextChar"/>
    <w:uiPriority w:val="99"/>
    <w:semiHidden/>
    <w:unhideWhenUsed/>
    <w:rsid w:val="007F0F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F0D"/>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7F0F0D"/>
    <w:rPr>
      <w:vertAlign w:val="superscript"/>
    </w:rPr>
  </w:style>
  <w:style w:type="character" w:customStyle="1" w:styleId="Heading1Char">
    <w:name w:val="Heading 1 Char"/>
    <w:aliases w:val="Heading 11 Char,Heading 1 Char Char Char Char"/>
    <w:basedOn w:val="DefaultParagraphFont"/>
    <w:link w:val="Heading1"/>
    <w:uiPriority w:val="99"/>
    <w:rsid w:val="00865936"/>
    <w:rPr>
      <w:rFonts w:ascii="Calibri" w:eastAsia="Times New Roman" w:hAnsi="Calibri" w:cs="Times New Roman"/>
      <w:b/>
      <w:sz w:val="36"/>
    </w:rPr>
  </w:style>
  <w:style w:type="character" w:customStyle="1" w:styleId="Heading2Char">
    <w:name w:val="Heading 2 Char"/>
    <w:basedOn w:val="DefaultParagraphFont"/>
    <w:link w:val="Heading2"/>
    <w:uiPriority w:val="9"/>
    <w:rsid w:val="00865936"/>
    <w:rPr>
      <w:rFonts w:ascii="Calibri" w:eastAsia="Times New Roman" w:hAnsi="Calibri" w:cs="Times New Roman"/>
      <w:b/>
      <w:sz w:val="28"/>
    </w:rPr>
  </w:style>
  <w:style w:type="character" w:customStyle="1" w:styleId="Heading3Char">
    <w:name w:val="Heading 3 Char"/>
    <w:basedOn w:val="DefaultParagraphFont"/>
    <w:link w:val="Heading3"/>
    <w:uiPriority w:val="9"/>
    <w:semiHidden/>
    <w:rsid w:val="0086593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865936"/>
    <w:rPr>
      <w:rFonts w:eastAsiaTheme="minorEastAsia"/>
      <w:b/>
      <w:bCs/>
      <w:sz w:val="28"/>
      <w:szCs w:val="28"/>
    </w:rPr>
  </w:style>
  <w:style w:type="character" w:customStyle="1" w:styleId="Heading5Char">
    <w:name w:val="Heading 5 Char"/>
    <w:basedOn w:val="DefaultParagraphFont"/>
    <w:link w:val="Heading5"/>
    <w:uiPriority w:val="9"/>
    <w:semiHidden/>
    <w:rsid w:val="00865936"/>
    <w:rPr>
      <w:rFonts w:eastAsiaTheme="minorEastAsia"/>
      <w:b/>
      <w:bCs/>
      <w:i/>
      <w:iCs/>
      <w:sz w:val="26"/>
      <w:szCs w:val="26"/>
    </w:rPr>
  </w:style>
  <w:style w:type="character" w:customStyle="1" w:styleId="Heading6Char">
    <w:name w:val="Heading 6 Char"/>
    <w:basedOn w:val="DefaultParagraphFont"/>
    <w:link w:val="Heading6"/>
    <w:rsid w:val="0086593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65936"/>
    <w:rPr>
      <w:rFonts w:eastAsiaTheme="minorEastAsia"/>
      <w:sz w:val="24"/>
      <w:szCs w:val="24"/>
    </w:rPr>
  </w:style>
  <w:style w:type="character" w:customStyle="1" w:styleId="Heading8Char">
    <w:name w:val="Heading 8 Char"/>
    <w:basedOn w:val="DefaultParagraphFont"/>
    <w:link w:val="Heading8"/>
    <w:uiPriority w:val="9"/>
    <w:semiHidden/>
    <w:rsid w:val="00865936"/>
    <w:rPr>
      <w:rFonts w:eastAsiaTheme="minorEastAsia"/>
      <w:i/>
      <w:iCs/>
      <w:sz w:val="24"/>
      <w:szCs w:val="24"/>
    </w:rPr>
  </w:style>
  <w:style w:type="character" w:customStyle="1" w:styleId="Heading9Char">
    <w:name w:val="Heading 9 Char"/>
    <w:basedOn w:val="DefaultParagraphFont"/>
    <w:link w:val="Heading9"/>
    <w:uiPriority w:val="9"/>
    <w:semiHidden/>
    <w:rsid w:val="00865936"/>
    <w:rPr>
      <w:rFonts w:asciiTheme="majorHAnsi" w:eastAsiaTheme="majorEastAsia" w:hAnsiTheme="majorHAnsi" w:cstheme="majorBidi"/>
    </w:rPr>
  </w:style>
  <w:style w:type="paragraph" w:styleId="FootnoteText">
    <w:name w:val="footnote text"/>
    <w:aliases w:val="DSI Footnote Text,Ja Footnote Text,DSI Footnote Text11,ft Char11,ft1,DSI Footnote Text1,ft Char1,ft,DSI Footnote Reference,DSI Footnote Text111,ft Char111,ft11,DSI Footnote Text112,ft Char112,ft12,DSI Footnote Text2,DSI Footnote Text1111"/>
    <w:basedOn w:val="Normal"/>
    <w:link w:val="FootnoteTextChar"/>
    <w:uiPriority w:val="99"/>
    <w:semiHidden/>
    <w:unhideWhenUsed/>
    <w:rsid w:val="00865936"/>
    <w:pPr>
      <w:spacing w:after="0" w:line="240" w:lineRule="auto"/>
    </w:pPr>
    <w:rPr>
      <w:sz w:val="20"/>
      <w:szCs w:val="20"/>
    </w:rPr>
  </w:style>
  <w:style w:type="character" w:customStyle="1" w:styleId="FootnoteTextChar">
    <w:name w:val="Footnote Text Char"/>
    <w:aliases w:val="DSI Footnote Text Char,Ja Footnote Text Char,DSI Footnote Text11 Char,ft Char11 Char,ft1 Char,DSI Footnote Text1 Char,ft Char1 Char,ft Char,DSI Footnote Reference Char,DSI Footnote Text111 Char,ft Char111 Char,ft11 Char,ft12 Char"/>
    <w:basedOn w:val="DefaultParagraphFont"/>
    <w:link w:val="FootnoteText"/>
    <w:uiPriority w:val="99"/>
    <w:semiHidden/>
    <w:rsid w:val="00865936"/>
    <w:rPr>
      <w:rFonts w:ascii="Calibri" w:eastAsia="Times New Roman" w:hAnsi="Calibri" w:cs="Times New Roman"/>
      <w:sz w:val="20"/>
      <w:szCs w:val="20"/>
    </w:rPr>
  </w:style>
  <w:style w:type="character" w:styleId="FootnoteReference">
    <w:name w:val="footnote reference"/>
    <w:aliases w:val="ftref"/>
    <w:basedOn w:val="DefaultParagraphFont"/>
    <w:uiPriority w:val="99"/>
    <w:semiHidden/>
    <w:unhideWhenUsed/>
    <w:rsid w:val="00865936"/>
    <w:rPr>
      <w:vertAlign w:val="superscript"/>
    </w:rPr>
  </w:style>
  <w:style w:type="paragraph" w:customStyle="1" w:styleId="Style3">
    <w:name w:val="Style3"/>
    <w:basedOn w:val="Normal"/>
    <w:uiPriority w:val="99"/>
    <w:rsid w:val="00865936"/>
    <w:pPr>
      <w:spacing w:after="0"/>
      <w:jc w:val="center"/>
    </w:pPr>
    <w:rPr>
      <w:rFonts w:cs="Arial"/>
      <w:b/>
      <w:sz w:val="24"/>
      <w:szCs w:val="24"/>
    </w:rPr>
  </w:style>
  <w:style w:type="paragraph" w:styleId="Bibliography">
    <w:name w:val="Bibliography"/>
    <w:basedOn w:val="Normal"/>
    <w:next w:val="Normal"/>
    <w:uiPriority w:val="99"/>
    <w:semiHidden/>
    <w:rsid w:val="00865936"/>
  </w:style>
  <w:style w:type="paragraph" w:customStyle="1" w:styleId="Style1">
    <w:name w:val="Style1"/>
    <w:basedOn w:val="Normal"/>
    <w:uiPriority w:val="99"/>
    <w:rsid w:val="00865936"/>
    <w:pPr>
      <w:spacing w:after="0"/>
      <w:jc w:val="center"/>
    </w:pPr>
    <w:rPr>
      <w:b/>
      <w:sz w:val="24"/>
      <w:szCs w:val="28"/>
      <w:lang w:bidi="bn-BD"/>
    </w:rPr>
  </w:style>
  <w:style w:type="character" w:customStyle="1" w:styleId="Heading4Char1">
    <w:name w:val="Heading 4 Char1"/>
    <w:basedOn w:val="DefaultParagraphFont"/>
    <w:uiPriority w:val="99"/>
    <w:locked/>
    <w:rsid w:val="00865936"/>
    <w:rPr>
      <w:rFonts w:ascii="Calibri" w:eastAsia="Times New Roman" w:hAnsi="Calibri" w:cs="Times New Roman"/>
      <w:b/>
      <w:sz w:val="24"/>
      <w:szCs w:val="24"/>
    </w:rPr>
  </w:style>
  <w:style w:type="character" w:styleId="Hyperlink">
    <w:name w:val="Hyperlink"/>
    <w:basedOn w:val="DefaultParagraphFont"/>
    <w:uiPriority w:val="99"/>
    <w:semiHidden/>
    <w:unhideWhenUsed/>
    <w:rsid w:val="00865936"/>
    <w:rPr>
      <w:color w:val="0000FF"/>
      <w:u w:val="single"/>
    </w:rPr>
  </w:style>
  <w:style w:type="character" w:styleId="CommentReference">
    <w:name w:val="annotation reference"/>
    <w:basedOn w:val="DefaultParagraphFont"/>
    <w:uiPriority w:val="99"/>
    <w:semiHidden/>
    <w:unhideWhenUsed/>
    <w:rsid w:val="006F56D9"/>
    <w:rPr>
      <w:sz w:val="16"/>
      <w:szCs w:val="16"/>
    </w:rPr>
  </w:style>
  <w:style w:type="paragraph" w:styleId="CommentText">
    <w:name w:val="annotation text"/>
    <w:basedOn w:val="Normal"/>
    <w:link w:val="CommentTextChar"/>
    <w:uiPriority w:val="99"/>
    <w:semiHidden/>
    <w:unhideWhenUsed/>
    <w:rsid w:val="006F56D9"/>
    <w:pPr>
      <w:spacing w:line="240" w:lineRule="auto"/>
    </w:pPr>
    <w:rPr>
      <w:sz w:val="20"/>
      <w:szCs w:val="20"/>
    </w:rPr>
  </w:style>
  <w:style w:type="character" w:customStyle="1" w:styleId="CommentTextChar">
    <w:name w:val="Comment Text Char"/>
    <w:basedOn w:val="DefaultParagraphFont"/>
    <w:link w:val="CommentText"/>
    <w:uiPriority w:val="99"/>
    <w:semiHidden/>
    <w:rsid w:val="006F56D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56D9"/>
    <w:rPr>
      <w:b/>
      <w:bCs/>
    </w:rPr>
  </w:style>
  <w:style w:type="character" w:customStyle="1" w:styleId="CommentSubjectChar">
    <w:name w:val="Comment Subject Char"/>
    <w:basedOn w:val="CommentTextChar"/>
    <w:link w:val="CommentSubject"/>
    <w:uiPriority w:val="99"/>
    <w:semiHidden/>
    <w:rsid w:val="006F56D9"/>
    <w:rPr>
      <w:rFonts w:ascii="Calibri" w:eastAsia="Times New Roman" w:hAnsi="Calibri" w:cs="Times New Roman"/>
      <w:b/>
      <w:bCs/>
      <w:sz w:val="20"/>
      <w:szCs w:val="20"/>
    </w:rPr>
  </w:style>
  <w:style w:type="character" w:styleId="Emphasis">
    <w:name w:val="Emphasis"/>
    <w:basedOn w:val="DefaultParagraphFont"/>
    <w:uiPriority w:val="20"/>
    <w:qFormat/>
    <w:rsid w:val="008F1D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5678">
      <w:bodyDiv w:val="1"/>
      <w:marLeft w:val="0"/>
      <w:marRight w:val="0"/>
      <w:marTop w:val="0"/>
      <w:marBottom w:val="0"/>
      <w:divBdr>
        <w:top w:val="none" w:sz="0" w:space="0" w:color="auto"/>
        <w:left w:val="none" w:sz="0" w:space="0" w:color="auto"/>
        <w:bottom w:val="none" w:sz="0" w:space="0" w:color="auto"/>
        <w:right w:val="none" w:sz="0" w:space="0" w:color="auto"/>
      </w:divBdr>
    </w:div>
    <w:div w:id="784806710">
      <w:bodyDiv w:val="1"/>
      <w:marLeft w:val="0"/>
      <w:marRight w:val="0"/>
      <w:marTop w:val="0"/>
      <w:marBottom w:val="0"/>
      <w:divBdr>
        <w:top w:val="none" w:sz="0" w:space="0" w:color="auto"/>
        <w:left w:val="none" w:sz="0" w:space="0" w:color="auto"/>
        <w:bottom w:val="none" w:sz="0" w:space="0" w:color="auto"/>
        <w:right w:val="none" w:sz="0" w:space="0" w:color="auto"/>
      </w:divBdr>
    </w:div>
    <w:div w:id="1261640825">
      <w:bodyDiv w:val="1"/>
      <w:marLeft w:val="0"/>
      <w:marRight w:val="0"/>
      <w:marTop w:val="0"/>
      <w:marBottom w:val="0"/>
      <w:divBdr>
        <w:top w:val="none" w:sz="0" w:space="0" w:color="auto"/>
        <w:left w:val="none" w:sz="0" w:space="0" w:color="auto"/>
        <w:bottom w:val="none" w:sz="0" w:space="0" w:color="auto"/>
        <w:right w:val="none" w:sz="0" w:space="0" w:color="auto"/>
      </w:divBdr>
    </w:div>
    <w:div w:id="1324510607">
      <w:bodyDiv w:val="1"/>
      <w:marLeft w:val="0"/>
      <w:marRight w:val="0"/>
      <w:marTop w:val="0"/>
      <w:marBottom w:val="0"/>
      <w:divBdr>
        <w:top w:val="none" w:sz="0" w:space="0" w:color="auto"/>
        <w:left w:val="none" w:sz="0" w:space="0" w:color="auto"/>
        <w:bottom w:val="none" w:sz="0" w:space="0" w:color="auto"/>
        <w:right w:val="none" w:sz="0" w:space="0" w:color="auto"/>
      </w:divBdr>
    </w:div>
    <w:div w:id="1579095649">
      <w:bodyDiv w:val="1"/>
      <w:marLeft w:val="0"/>
      <w:marRight w:val="0"/>
      <w:marTop w:val="0"/>
      <w:marBottom w:val="0"/>
      <w:divBdr>
        <w:top w:val="none" w:sz="0" w:space="0" w:color="auto"/>
        <w:left w:val="none" w:sz="0" w:space="0" w:color="auto"/>
        <w:bottom w:val="none" w:sz="0" w:space="0" w:color="auto"/>
        <w:right w:val="none" w:sz="0" w:space="0" w:color="auto"/>
      </w:divBdr>
    </w:div>
    <w:div w:id="1643927807">
      <w:bodyDiv w:val="1"/>
      <w:marLeft w:val="0"/>
      <w:marRight w:val="0"/>
      <w:marTop w:val="0"/>
      <w:marBottom w:val="0"/>
      <w:divBdr>
        <w:top w:val="none" w:sz="0" w:space="0" w:color="auto"/>
        <w:left w:val="none" w:sz="0" w:space="0" w:color="auto"/>
        <w:bottom w:val="none" w:sz="0" w:space="0" w:color="auto"/>
        <w:right w:val="none" w:sz="0" w:space="0" w:color="auto"/>
      </w:divBdr>
    </w:div>
    <w:div w:id="1696925177">
      <w:bodyDiv w:val="1"/>
      <w:marLeft w:val="0"/>
      <w:marRight w:val="0"/>
      <w:marTop w:val="0"/>
      <w:marBottom w:val="0"/>
      <w:divBdr>
        <w:top w:val="none" w:sz="0" w:space="0" w:color="auto"/>
        <w:left w:val="none" w:sz="0" w:space="0" w:color="auto"/>
        <w:bottom w:val="none" w:sz="0" w:space="0" w:color="auto"/>
        <w:right w:val="none" w:sz="0" w:space="0" w:color="auto"/>
      </w:divBdr>
    </w:div>
    <w:div w:id="1767311450">
      <w:bodyDiv w:val="1"/>
      <w:marLeft w:val="0"/>
      <w:marRight w:val="0"/>
      <w:marTop w:val="0"/>
      <w:marBottom w:val="0"/>
      <w:divBdr>
        <w:top w:val="none" w:sz="0" w:space="0" w:color="auto"/>
        <w:left w:val="none" w:sz="0" w:space="0" w:color="auto"/>
        <w:bottom w:val="none" w:sz="0" w:space="0" w:color="auto"/>
        <w:right w:val="none" w:sz="0" w:space="0" w:color="auto"/>
      </w:divBdr>
    </w:div>
    <w:div w:id="1891964566">
      <w:bodyDiv w:val="1"/>
      <w:marLeft w:val="0"/>
      <w:marRight w:val="0"/>
      <w:marTop w:val="0"/>
      <w:marBottom w:val="0"/>
      <w:divBdr>
        <w:top w:val="none" w:sz="0" w:space="0" w:color="auto"/>
        <w:left w:val="none" w:sz="0" w:space="0" w:color="auto"/>
        <w:bottom w:val="none" w:sz="0" w:space="0" w:color="auto"/>
        <w:right w:val="none" w:sz="0" w:space="0" w:color="auto"/>
      </w:divBdr>
    </w:div>
    <w:div w:id="1963420041">
      <w:bodyDiv w:val="1"/>
      <w:marLeft w:val="0"/>
      <w:marRight w:val="0"/>
      <w:marTop w:val="0"/>
      <w:marBottom w:val="0"/>
      <w:divBdr>
        <w:top w:val="none" w:sz="0" w:space="0" w:color="auto"/>
        <w:left w:val="none" w:sz="0" w:space="0" w:color="auto"/>
        <w:bottom w:val="none" w:sz="0" w:space="0" w:color="auto"/>
        <w:right w:val="none" w:sz="0" w:space="0" w:color="auto"/>
      </w:divBdr>
    </w:div>
    <w:div w:id="2015062210">
      <w:bodyDiv w:val="1"/>
      <w:marLeft w:val="0"/>
      <w:marRight w:val="0"/>
      <w:marTop w:val="0"/>
      <w:marBottom w:val="0"/>
      <w:divBdr>
        <w:top w:val="none" w:sz="0" w:space="0" w:color="auto"/>
        <w:left w:val="none" w:sz="0" w:space="0" w:color="auto"/>
        <w:bottom w:val="none" w:sz="0" w:space="0" w:color="auto"/>
        <w:right w:val="none" w:sz="0" w:space="0" w:color="auto"/>
      </w:divBdr>
    </w:div>
    <w:div w:id="2098866655">
      <w:bodyDiv w:val="1"/>
      <w:marLeft w:val="0"/>
      <w:marRight w:val="0"/>
      <w:marTop w:val="0"/>
      <w:marBottom w:val="0"/>
      <w:divBdr>
        <w:top w:val="none" w:sz="0" w:space="0" w:color="auto"/>
        <w:left w:val="none" w:sz="0" w:space="0" w:color="auto"/>
        <w:bottom w:val="none" w:sz="0" w:space="0" w:color="auto"/>
        <w:right w:val="none" w:sz="0" w:space="0" w:color="auto"/>
      </w:divBdr>
    </w:div>
    <w:div w:id="21126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he.gov.bd/" TargetMode="External"/><Relationship Id="rId18" Type="http://schemas.openxmlformats.org/officeDocument/2006/relationships/hyperlink" Target="http://203.112.218.66/PageReportLists.aspx?PARENTKEY=5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n.wikipedia.org/wiki/Bangladesh_Telecommunication_Regulatory_Commission" TargetMode="External"/><Relationship Id="rId17" Type="http://schemas.openxmlformats.org/officeDocument/2006/relationships/hyperlink" Target="http://www.ntp.gov.bd/index.php?option=com_content&amp;view=article&amp;id=46&amp;Itemid=28"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facebook.com/mis.dgh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mda.gov.b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edcr.org/" TargetMode="External"/><Relationship Id="rId23" Type="http://schemas.openxmlformats.org/officeDocument/2006/relationships/fontTable" Target="fontTable.xml"/><Relationship Id="rId10" Type="http://schemas.openxmlformats.org/officeDocument/2006/relationships/hyperlink" Target="http://www.plancomm.gov.bd/agri-divisio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comm.gov.bd/agri-division/" TargetMode="External"/><Relationship Id="rId14" Type="http://schemas.openxmlformats.org/officeDocument/2006/relationships/hyperlink" Target="http://www.plancomm.gov.bd/industries-and-energy-divis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4CEC-FB43-4C46-B557-71073F45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66</Pages>
  <Words>15871</Words>
  <Characters>90471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GED</cp:lastModifiedBy>
  <cp:revision>250</cp:revision>
  <cp:lastPrinted>2016-05-22T10:23:00Z</cp:lastPrinted>
  <dcterms:created xsi:type="dcterms:W3CDTF">2016-05-11T13:05:00Z</dcterms:created>
  <dcterms:modified xsi:type="dcterms:W3CDTF">2016-05-22T10:47:00Z</dcterms:modified>
</cp:coreProperties>
</file>