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3A" w:rsidRPr="00FB6EB2" w:rsidRDefault="00F11392" w:rsidP="00FB6EB2">
      <w:pPr>
        <w:rPr>
          <w:b/>
          <w:sz w:val="2"/>
        </w:rPr>
      </w:pPr>
    </w:p>
    <w:p w:rsidR="00734FD4" w:rsidRPr="000664F9" w:rsidRDefault="005A3EA1" w:rsidP="00734FD4">
      <w:pPr>
        <w:spacing w:after="0"/>
        <w:jc w:val="center"/>
        <w:rPr>
          <w:b/>
          <w:sz w:val="52"/>
          <w:szCs w:val="52"/>
          <w:u w:val="single"/>
        </w:rPr>
      </w:pPr>
      <w:r>
        <w:rPr>
          <w:rFonts w:ascii="Nikosh" w:eastAsia="Nikosh" w:hAnsi="Nikosh" w:cs="Nikosh"/>
          <w:b/>
          <w:bCs/>
          <w:sz w:val="52"/>
          <w:szCs w:val="52"/>
          <w:u w:val="single"/>
          <w:cs/>
          <w:lang w:bidi="bn-BD"/>
        </w:rPr>
        <w:t xml:space="preserve">সংবাদ বিজ্ঞপ্তি </w:t>
      </w:r>
    </w:p>
    <w:p w:rsidR="009D64CF" w:rsidRPr="00B2368D" w:rsidRDefault="00F11392" w:rsidP="00247D72">
      <w:pPr>
        <w:spacing w:after="0" w:line="240" w:lineRule="auto"/>
        <w:jc w:val="center"/>
        <w:rPr>
          <w:b/>
          <w:sz w:val="20"/>
          <w:szCs w:val="24"/>
        </w:rPr>
      </w:pPr>
    </w:p>
    <w:p w:rsidR="008D2EEE" w:rsidRPr="00155286" w:rsidRDefault="005A3EA1" w:rsidP="00247D72">
      <w:pPr>
        <w:spacing w:after="0" w:line="240" w:lineRule="auto"/>
        <w:jc w:val="center"/>
        <w:rPr>
          <w:b/>
          <w:sz w:val="40"/>
          <w:szCs w:val="40"/>
        </w:rPr>
      </w:pPr>
      <w:r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 xml:space="preserve">চায়না-বাংলাদেশ ফ্রেন্ডশীপ এক্সিবিশন সেন্টার </w:t>
      </w:r>
      <w:r>
        <w:rPr>
          <w:b/>
          <w:sz w:val="40"/>
          <w:szCs w:val="40"/>
        </w:rPr>
        <w:t xml:space="preserve">Handover Ceremony </w:t>
      </w:r>
    </w:p>
    <w:p w:rsidR="00CC49EA" w:rsidRDefault="005A3EA1" w:rsidP="00247D72">
      <w:pPr>
        <w:spacing w:after="0" w:line="240" w:lineRule="auto"/>
        <w:jc w:val="center"/>
        <w:rPr>
          <w:b/>
          <w:sz w:val="40"/>
          <w:szCs w:val="40"/>
        </w:rPr>
      </w:pPr>
      <w:r w:rsidRPr="00155286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>আয়োজনে</w:t>
      </w:r>
      <w:r w:rsidR="00BE7DBE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>ঃ</w:t>
      </w:r>
      <w:r w:rsidRPr="00155286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 xml:space="preserve"> রপ্তানি উন্নয়ন ব্যুরো ও বাণিজ্য মন্ত্রণালয়।</w:t>
      </w:r>
    </w:p>
    <w:p w:rsidR="00155286" w:rsidRDefault="00F11392" w:rsidP="00247D72">
      <w:pPr>
        <w:spacing w:after="0" w:line="240" w:lineRule="auto"/>
        <w:jc w:val="center"/>
        <w:rPr>
          <w:b/>
          <w:sz w:val="40"/>
          <w:szCs w:val="40"/>
        </w:rPr>
      </w:pPr>
    </w:p>
    <w:p w:rsidR="009B4375" w:rsidRDefault="005A3EA1" w:rsidP="00DC7176">
      <w:pPr>
        <w:spacing w:after="0" w:line="288" w:lineRule="auto"/>
        <w:jc w:val="both"/>
        <w:rPr>
          <w:sz w:val="28"/>
          <w:szCs w:val="28"/>
        </w:rPr>
      </w:pP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   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 চীনের আর্থিক অনুদান (</w:t>
      </w:r>
      <w:r w:rsidRPr="00BF4C01">
        <w:rPr>
          <w:sz w:val="28"/>
          <w:szCs w:val="28"/>
        </w:rPr>
        <w:t xml:space="preserve">Grant) 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ও কারিগরী সহায়তায় বাণিজ্য মন্ত্রণালয়ের অধীন রপ্তানি উন্নয়ন ব্যুরোর মালিকানায় পূর্বাচল নতুন শহরের ৪ নং সেক্টরে </w:t>
      </w:r>
      <w:r w:rsidRPr="00BF4C01">
        <w:rPr>
          <w:sz w:val="28"/>
          <w:szCs w:val="28"/>
        </w:rPr>
        <w:t xml:space="preserve">China State Construction Engineering Corporation 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>কর্তৃক নির্মিত চায়না-বাংলাদেশ ফ্রেন্ডশীপ এক্সিবিশন সেন্টার চীনের নিকট থেকে গ্রহন উপল</w:t>
      </w:r>
      <w:r w:rsidR="00BE7DBE">
        <w:rPr>
          <w:rFonts w:ascii="Nikosh" w:eastAsia="Nikosh" w:hAnsi="Nikosh" w:cs="Nikosh"/>
          <w:sz w:val="28"/>
          <w:szCs w:val="28"/>
          <w:cs/>
          <w:lang w:bidi="bn-BD"/>
        </w:rPr>
        <w:t>ক্ষে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 আগামী ৭ ফে</w:t>
      </w:r>
      <w:r w:rsidR="00531CC0">
        <w:rPr>
          <w:rFonts w:ascii="Nikosh" w:eastAsia="Nikosh" w:hAnsi="Nikosh" w:cs="Nikosh"/>
          <w:sz w:val="28"/>
          <w:szCs w:val="28"/>
          <w:cs/>
          <w:lang w:bidi="bn-BD"/>
        </w:rPr>
        <w:t>ব্রুয়ারী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>, ২০২১ তারিখ সকাল ১০:৩০ মিনিটে বাণিজ্য মন্ত্রণালয়ের সম্মেলন ক</w:t>
      </w:r>
      <w:r w:rsidR="00BE7DBE">
        <w:rPr>
          <w:rFonts w:ascii="Nikosh" w:eastAsia="Nikosh" w:hAnsi="Nikosh" w:cs="Nikosh"/>
          <w:sz w:val="28"/>
          <w:szCs w:val="28"/>
          <w:cs/>
          <w:lang w:bidi="bn-BD"/>
        </w:rPr>
        <w:t>ক্ষে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BF4C01">
        <w:rPr>
          <w:sz w:val="28"/>
          <w:szCs w:val="28"/>
        </w:rPr>
        <w:t>Handover Ceremony</w:t>
      </w:r>
      <w:r w:rsidRPr="00BF4C01">
        <w:rPr>
          <w:b/>
          <w:sz w:val="40"/>
          <w:szCs w:val="40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অনুষ্ঠিত হচ্ছে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>। অনুষ্ঠানে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সভাপতিত্ব করছেন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সম্মানিত 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বাণিজ্য সচিব ড: মোঃ  জাফর  উদ্দিন। সভায় প্রধান অতিথি হিসেবে উপস্থিত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আছেন 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মাননীয় বাণিজ্য মন্ত্রী জনাব টিপু মুন্শী এমপি। অনুষ্ঠানে বাংলাদেশে চীনের নিযুক্ত মান্যবর রাষ্ট্রদূত বিশেষ অতিথি হিসেবে অনলাইনে উপস্থিত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আছেন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। এছাড়া বাংলাদেশের পররাষ্ট্র সচিব এবং অর্থনৈতিক সম্পর্ক বিভাগের সচিব </w:t>
      </w:r>
      <w:r w:rsidRPr="00BF4C01">
        <w:rPr>
          <w:sz w:val="28"/>
          <w:szCs w:val="28"/>
        </w:rPr>
        <w:t xml:space="preserve">Guest of Honor 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হিসেবে অনলাইনে উপস্থিত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আছেন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>। উক্ত অনুষ্ঠান উপল</w:t>
      </w:r>
      <w:r w:rsidR="00BE7DBE">
        <w:rPr>
          <w:rFonts w:ascii="Nikosh" w:eastAsia="Nikosh" w:hAnsi="Nikosh" w:cs="Nikosh"/>
          <w:sz w:val="28"/>
          <w:szCs w:val="28"/>
          <w:cs/>
          <w:lang w:bidi="bn-BD"/>
        </w:rPr>
        <w:t>ক্ষে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 পূর্বাচলে নির্মিত এক্সিবিশন সেন্টার সম্পর্কিত সং</w:t>
      </w:r>
      <w:r w:rsidR="00BE7DBE">
        <w:rPr>
          <w:rFonts w:ascii="Nikosh" w:eastAsia="Nikosh" w:hAnsi="Nikosh" w:cs="Nikosh"/>
          <w:sz w:val="28"/>
          <w:szCs w:val="28"/>
          <w:cs/>
          <w:lang w:bidi="bn-BD"/>
        </w:rPr>
        <w:t>ক্ষিপ্ত</w:t>
      </w:r>
      <w:r w:rsidRPr="00BF4C01">
        <w:rPr>
          <w:rFonts w:ascii="Nikosh" w:eastAsia="Nikosh" w:hAnsi="Nikosh" w:cs="Nikosh"/>
          <w:sz w:val="28"/>
          <w:szCs w:val="28"/>
          <w:cs/>
          <w:lang w:bidi="bn-BD"/>
        </w:rPr>
        <w:t xml:space="preserve"> তথ্যাদি নি</w:t>
      </w:r>
      <w:r w:rsidR="00517F76">
        <w:rPr>
          <w:rFonts w:ascii="Nikosh" w:eastAsia="Nikosh" w:hAnsi="Nikosh" w:cs="Nikosh"/>
          <w:sz w:val="28"/>
          <w:szCs w:val="28"/>
          <w:cs/>
          <w:lang w:bidi="bn-BD"/>
        </w:rPr>
        <w:t>ম্নরূপঃ</w:t>
      </w:r>
    </w:p>
    <w:p w:rsidR="00BF4C01" w:rsidRPr="00BF4C01" w:rsidRDefault="00F11392" w:rsidP="00BF4C01">
      <w:pPr>
        <w:spacing w:after="0" w:line="288" w:lineRule="auto"/>
        <w:jc w:val="both"/>
        <w:rPr>
          <w:sz w:val="8"/>
          <w:szCs w:val="28"/>
        </w:rPr>
      </w:pPr>
    </w:p>
    <w:p w:rsidR="00BF4C01" w:rsidRPr="00567D38" w:rsidRDefault="005A3EA1" w:rsidP="00276AB2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১।   </w:t>
      </w:r>
      <w:r w:rsidRPr="00285DA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প্রকল্পের নামঃ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বাংলাদেশ-চায়না ফ্রেন্ডশীপ এক্সিবিশন সেন্টার। (সেন্টারটির নতুন নাম </w:t>
      </w:r>
      <w:r w:rsidRPr="00567D3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’’বঙ্গবন্ধু বাংলাদেশ-চায়না</w:t>
      </w:r>
    </w:p>
    <w:p w:rsidR="002E50FF" w:rsidRDefault="005A3EA1" w:rsidP="00276AB2">
      <w:pPr>
        <w:spacing w:after="0" w:line="240" w:lineRule="auto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 w:rsidRPr="00567D3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                    ফ্রেন্ডশীপ এক্সিবিশন সেন্টার’’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করার বিষয় কর্তৃপ</w:t>
      </w:r>
      <w:r w:rsidR="00517F76">
        <w:rPr>
          <w:rFonts w:ascii="Nikosh" w:eastAsia="Nikosh" w:hAnsi="Nikosh" w:cs="Nikosh"/>
          <w:sz w:val="28"/>
          <w:szCs w:val="28"/>
          <w:cs/>
          <w:lang w:bidi="bn-BD"/>
        </w:rPr>
        <w:t xml:space="preserve">ক্ষের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বিবেচনাধীন আছে, এ সংক্রা</w:t>
      </w:r>
      <w:r w:rsidR="002E50FF">
        <w:rPr>
          <w:rFonts w:ascii="Nikosh" w:eastAsia="Nikosh" w:hAnsi="Nikosh" w:cs="Nikosh"/>
          <w:sz w:val="28"/>
          <w:szCs w:val="28"/>
          <w:cs/>
          <w:lang w:bidi="bn-BD"/>
        </w:rPr>
        <w:t xml:space="preserve">ন্ত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প্র</w:t>
      </w:r>
      <w:r w:rsidR="002E50FF">
        <w:rPr>
          <w:rFonts w:ascii="Nikosh" w:eastAsia="Nikosh" w:hAnsi="Nikosh" w:cs="Nikosh"/>
          <w:sz w:val="28"/>
          <w:szCs w:val="28"/>
          <w:cs/>
          <w:lang w:bidi="bn-BD"/>
        </w:rPr>
        <w:t xml:space="preserve">স্তাবে </w:t>
      </w:r>
    </w:p>
    <w:p w:rsidR="009F2E1D" w:rsidRDefault="002E50FF" w:rsidP="00276AB2">
      <w:pPr>
        <w:spacing w:after="0" w:line="240" w:lineRule="auto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</w:t>
      </w:r>
      <w:r w:rsidR="005A3EA1"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             চীনাপ</w:t>
      </w:r>
      <w:r w:rsidR="00517F76">
        <w:rPr>
          <w:rFonts w:ascii="Nikosh" w:eastAsia="Nikosh" w:hAnsi="Nikosh" w:cs="Nikosh"/>
          <w:sz w:val="28"/>
          <w:szCs w:val="28"/>
          <w:cs/>
          <w:lang w:bidi="bn-BD"/>
        </w:rPr>
        <w:t>ক্ষ</w:t>
      </w:r>
      <w:r w:rsidR="005A3EA1">
        <w:rPr>
          <w:rFonts w:ascii="Nikosh" w:eastAsia="Nikosh" w:hAnsi="Nikosh" w:cs="Nikosh"/>
          <w:sz w:val="28"/>
          <w:szCs w:val="28"/>
          <w:cs/>
          <w:lang w:bidi="bn-BD"/>
        </w:rPr>
        <w:t xml:space="preserve"> ইতোমধ্যে সম্মতি জ্ঞাপন করেছে)।</w:t>
      </w:r>
    </w:p>
    <w:p w:rsidR="00276AB2" w:rsidRPr="00276AB2" w:rsidRDefault="00F11392" w:rsidP="00276AB2">
      <w:pPr>
        <w:spacing w:after="0" w:line="240" w:lineRule="auto"/>
        <w:jc w:val="both"/>
        <w:rPr>
          <w:sz w:val="8"/>
          <w:szCs w:val="28"/>
        </w:rPr>
      </w:pPr>
    </w:p>
    <w:p w:rsidR="00EB70BF" w:rsidRDefault="005A3EA1" w:rsidP="00107906">
      <w:pPr>
        <w:spacing w:after="0" w:line="288" w:lineRule="auto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২।  </w:t>
      </w:r>
      <w:r w:rsidRPr="00285DA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প্রকল্প বা</w:t>
      </w:r>
      <w:r w:rsidR="002E50FF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স্তবায়ন</w:t>
      </w:r>
      <w:r w:rsidRPr="00285DA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কারী সংস্থাঃ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রপ্তানি উন্নয়ন ব্যুরো, ঢাকা।</w:t>
      </w:r>
    </w:p>
    <w:p w:rsidR="00276AB2" w:rsidRPr="00276AB2" w:rsidRDefault="00F11392" w:rsidP="00107906">
      <w:pPr>
        <w:spacing w:after="0" w:line="288" w:lineRule="auto"/>
        <w:jc w:val="both"/>
        <w:rPr>
          <w:sz w:val="6"/>
          <w:szCs w:val="28"/>
        </w:rPr>
      </w:pPr>
    </w:p>
    <w:p w:rsidR="0014417A" w:rsidRDefault="005A3EA1" w:rsidP="00107906">
      <w:pPr>
        <w:spacing w:after="0" w:line="288" w:lineRule="auto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৩।   </w:t>
      </w:r>
      <w:r w:rsidRPr="00285DA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এক্সিবিশন সেন্টার নির্মাণের প্রধান উদ্দেশ্যঃ</w:t>
      </w:r>
    </w:p>
    <w:p w:rsidR="00B94EB2" w:rsidRDefault="005A3EA1" w:rsidP="001079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BAN" w:eastAsia="NikoshBAN" w:hAnsi="NikoshBAN" w:cs="NikoshBAN"/>
          <w:sz w:val="28"/>
          <w:szCs w:val="28"/>
        </w:rPr>
      </w:pPr>
      <w:r w:rsidRPr="004A3EE8">
        <w:rPr>
          <w:rFonts w:ascii="Nikosh" w:eastAsia="Nikosh" w:hAnsi="Nikosh" w:cs="Nikosh"/>
          <w:sz w:val="28"/>
          <w:szCs w:val="28"/>
          <w:cs/>
          <w:lang w:bidi="bn-BD"/>
        </w:rPr>
        <w:t>বাংলাদেশের সামগ্রিক বাণিজ্য আ</w:t>
      </w:r>
      <w:r w:rsidR="00517F76">
        <w:rPr>
          <w:rFonts w:ascii="Nikosh" w:eastAsia="Nikosh" w:hAnsi="Nikosh" w:cs="Nikosh"/>
          <w:sz w:val="28"/>
          <w:szCs w:val="28"/>
          <w:cs/>
          <w:lang w:bidi="bn-BD"/>
        </w:rPr>
        <w:t xml:space="preserve">ন্তর্জাতিক ক্ষেত্রে </w:t>
      </w:r>
      <w:r w:rsidRPr="004A3EE8">
        <w:rPr>
          <w:rFonts w:ascii="Nikosh" w:eastAsia="Nikosh" w:hAnsi="Nikosh" w:cs="Nikosh"/>
          <w:sz w:val="28"/>
          <w:szCs w:val="28"/>
          <w:cs/>
          <w:lang w:bidi="bn-BD"/>
        </w:rPr>
        <w:t xml:space="preserve">সম্প্রসারণ কার্যক্রমের অংশ হিসেবে দেশী-বিদেশী পণ্য উৎপাদনকারী ও ক্রেতাদের বাংলাদেশে </w:t>
      </w:r>
      <w:r w:rsidR="00531CC0" w:rsidRPr="004A3EE8">
        <w:rPr>
          <w:rFonts w:ascii="Nikosh" w:eastAsia="Nikosh" w:hAnsi="Nikosh" w:cs="Nikosh"/>
          <w:sz w:val="28"/>
          <w:szCs w:val="28"/>
          <w:cs/>
          <w:lang w:bidi="bn-BD"/>
        </w:rPr>
        <w:t>আ</w:t>
      </w:r>
      <w:r w:rsidR="00531CC0">
        <w:rPr>
          <w:rFonts w:ascii="Nikosh" w:eastAsia="Nikosh" w:hAnsi="Nikosh" w:cs="Nikosh"/>
          <w:sz w:val="28"/>
          <w:szCs w:val="28"/>
          <w:cs/>
          <w:lang w:bidi="bn-BD"/>
        </w:rPr>
        <w:t>ন্তর্জাতিক</w:t>
      </w:r>
      <w:r w:rsidRPr="004A3EE8">
        <w:rPr>
          <w:rFonts w:ascii="Nikosh" w:eastAsia="Nikosh" w:hAnsi="Nikosh" w:cs="Nikosh"/>
          <w:sz w:val="28"/>
          <w:szCs w:val="28"/>
          <w:cs/>
          <w:lang w:bidi="bn-BD"/>
        </w:rPr>
        <w:t xml:space="preserve">মানের একটি কমন </w:t>
      </w:r>
      <w:r w:rsidR="00531CC0">
        <w:rPr>
          <w:rFonts w:ascii="Nikosh" w:eastAsia="Nikosh" w:hAnsi="Nikosh" w:cs="Nikosh"/>
          <w:sz w:val="28"/>
          <w:szCs w:val="28"/>
          <w:cs/>
          <w:lang w:bidi="bn-BD"/>
        </w:rPr>
        <w:t>প্লাট</w:t>
      </w:r>
      <w:r w:rsidRPr="004A3EE8">
        <w:rPr>
          <w:rFonts w:ascii="Nikosh" w:eastAsia="Nikosh" w:hAnsi="Nikosh" w:cs="Nikosh"/>
          <w:sz w:val="28"/>
          <w:szCs w:val="28"/>
          <w:cs/>
          <w:lang w:bidi="bn-BD"/>
        </w:rPr>
        <w:t xml:space="preserve">ফরমে নিয়মিত ও সরাসরি </w:t>
      </w:r>
      <w:r w:rsidR="00085AD6">
        <w:rPr>
          <w:rFonts w:ascii="Nikosh" w:eastAsia="Nikosh" w:hAnsi="Nikosh" w:cs="Nikosh"/>
          <w:sz w:val="28"/>
          <w:szCs w:val="28"/>
          <w:cs/>
          <w:lang w:bidi="bn-BD"/>
        </w:rPr>
        <w:t>যোগাযোগের সুযোগ সৃষ্টি করে দেয়া;</w:t>
      </w:r>
    </w:p>
    <w:p w:rsidR="004A3EE8" w:rsidRDefault="005A3EA1" w:rsidP="001079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প্রতিযোগিতার সুযোগ সৃষ্টি করে পণ্যের গুনগত মান বৃদ্ধি, বৈচিত্র আনয়নে সহায়তা করা</w:t>
      </w:r>
      <w:r w:rsidR="00085AD6">
        <w:rPr>
          <w:rFonts w:ascii="Nikosh" w:eastAsia="Nikosh" w:hAnsi="Nikosh" w:cs="Nikosh"/>
          <w:sz w:val="28"/>
          <w:szCs w:val="28"/>
          <w:cs/>
          <w:lang w:bidi="bn-BD"/>
        </w:rPr>
        <w:t>;</w:t>
      </w:r>
    </w:p>
    <w:p w:rsidR="0013461E" w:rsidRDefault="005A3EA1" w:rsidP="001079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দেশী-বিদেশী প্রতিযোগী উৎপাদকদের পণ্যের মান ও মূল্য সম্পর্কে সরাসরি তুলনা করার সুযোগ সৃষ্টি করে দেয়া</w:t>
      </w:r>
      <w:r w:rsidR="00085AD6">
        <w:rPr>
          <w:rFonts w:ascii="Nikosh" w:eastAsia="Nikosh" w:hAnsi="Nikosh" w:cs="Nikosh"/>
          <w:sz w:val="28"/>
          <w:szCs w:val="28"/>
          <w:cs/>
          <w:lang w:bidi="bn-BD"/>
        </w:rPr>
        <w:t>;</w:t>
      </w:r>
    </w:p>
    <w:p w:rsidR="000807A4" w:rsidRDefault="005A3EA1" w:rsidP="00107906">
      <w:pPr>
        <w:pStyle w:val="ListParagraph"/>
        <w:numPr>
          <w:ilvl w:val="0"/>
          <w:numId w:val="2"/>
        </w:numPr>
        <w:spacing w:after="0" w:line="240" w:lineRule="auto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একই </w:t>
      </w:r>
      <w:r w:rsidR="00085AD6">
        <w:rPr>
          <w:rFonts w:ascii="Nikosh" w:eastAsia="Nikosh" w:hAnsi="Nikosh" w:cs="Nikosh"/>
          <w:sz w:val="28"/>
          <w:szCs w:val="28"/>
          <w:cs/>
          <w:lang w:bidi="bn-BD"/>
        </w:rPr>
        <w:t xml:space="preserve">প্লাট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ফরমে সারা বছর পণ্য ভিত্তিক  মেলা ও সাধারণ বাণিজ্য মেলাসহ শিল্প ও বাণিজ্য বিষয়ক বিভিন্ন প্রকার অনুষ্ঠান আয়োজনের সুযোগ সৃষ্টি করা।</w:t>
      </w:r>
    </w:p>
    <w:p w:rsidR="00E16329" w:rsidRDefault="005A3EA1" w:rsidP="00107906">
      <w:pPr>
        <w:pStyle w:val="ListParagraph"/>
        <w:numPr>
          <w:ilvl w:val="0"/>
          <w:numId w:val="2"/>
        </w:numPr>
        <w:spacing w:after="0" w:line="240" w:lineRule="auto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স্থানীয় পণ্যের গুনগতমান ও কম্পিটিটিভনেস্ বৃদ্ধির পরিবেশ সৃষ্টি</w:t>
      </w:r>
      <w:r w:rsidR="00085AD6">
        <w:rPr>
          <w:rFonts w:ascii="Nikosh" w:eastAsia="Nikosh" w:hAnsi="Nikosh" w:cs="Nikosh"/>
          <w:sz w:val="28"/>
          <w:szCs w:val="28"/>
          <w:cs/>
          <w:lang w:bidi="bn-BD"/>
        </w:rPr>
        <w:t>;</w:t>
      </w:r>
    </w:p>
    <w:p w:rsidR="00B94EB2" w:rsidRPr="00107906" w:rsidRDefault="005A3EA1" w:rsidP="00107906">
      <w:pPr>
        <w:pStyle w:val="ListParagraph"/>
        <w:numPr>
          <w:ilvl w:val="0"/>
          <w:numId w:val="2"/>
        </w:numPr>
        <w:spacing w:after="0" w:line="240" w:lineRule="auto"/>
        <w:rPr>
          <w:rFonts w:ascii="Nikosh" w:hAnsi="Nikosh" w:cs="Nikosh"/>
          <w:sz w:val="24"/>
          <w:szCs w:val="24"/>
        </w:rPr>
      </w:pPr>
      <w:r w:rsidRPr="00107906">
        <w:rPr>
          <w:rFonts w:ascii="Nikosh" w:eastAsia="Nikosh" w:hAnsi="Nikosh" w:cs="Nikosh"/>
          <w:sz w:val="28"/>
          <w:szCs w:val="28"/>
          <w:cs/>
          <w:lang w:bidi="bn-BD"/>
        </w:rPr>
        <w:t xml:space="preserve">আধুনিক কারিগরী সুযোগ-সুবিধা বিশিষ্ট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স্বয়ং সম্পূর্ণ প্রকৃতির</w:t>
      </w:r>
      <w:r w:rsidRPr="00107906">
        <w:rPr>
          <w:rFonts w:ascii="Nikosh" w:eastAsia="Nikosh" w:hAnsi="Nikosh" w:cs="Nikosh"/>
          <w:sz w:val="28"/>
          <w:szCs w:val="28"/>
          <w:cs/>
          <w:lang w:bidi="bn-BD"/>
        </w:rPr>
        <w:t xml:space="preserve"> সেন্টার তৈরী করে বাংলাদেশে একটি </w:t>
      </w:r>
      <w:r w:rsidR="00085AD6" w:rsidRPr="004A3EE8">
        <w:rPr>
          <w:rFonts w:ascii="Nikosh" w:eastAsia="Nikosh" w:hAnsi="Nikosh" w:cs="Nikosh"/>
          <w:sz w:val="28"/>
          <w:szCs w:val="28"/>
          <w:cs/>
          <w:lang w:bidi="bn-BD"/>
        </w:rPr>
        <w:t>আ</w:t>
      </w:r>
      <w:r w:rsidR="00085AD6">
        <w:rPr>
          <w:rFonts w:ascii="Nikosh" w:eastAsia="Nikosh" w:hAnsi="Nikosh" w:cs="Nikosh"/>
          <w:sz w:val="28"/>
          <w:szCs w:val="28"/>
          <w:cs/>
          <w:lang w:bidi="bn-BD"/>
        </w:rPr>
        <w:t>ন্তর্জাতিক</w:t>
      </w:r>
      <w:r w:rsidRPr="00107906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085AD6">
        <w:rPr>
          <w:rFonts w:ascii="Nikosh" w:eastAsia="Nikosh" w:hAnsi="Nikosh" w:cs="Nikosh"/>
          <w:sz w:val="28"/>
          <w:szCs w:val="28"/>
          <w:cs/>
          <w:lang w:bidi="bn-BD"/>
        </w:rPr>
        <w:t>ব্যবসা কেন্দ্র</w:t>
      </w:r>
      <w:r w:rsidRPr="00107906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107906">
        <w:rPr>
          <w:rFonts w:ascii="Nikosh" w:eastAsia="+mn-ea" w:hAnsi="Nikosh" w:cs="Nikosh"/>
          <w:b/>
          <w:bCs/>
          <w:kern w:val="24"/>
          <w:sz w:val="24"/>
          <w:szCs w:val="24"/>
        </w:rPr>
        <w:t>(Business Hub</w:t>
      </w:r>
      <w:r w:rsidRPr="00107906">
        <w:rPr>
          <w:rFonts w:ascii="Nikosh" w:eastAsia="Nikosh" w:hAnsi="Nikosh" w:cs="Nikosh"/>
          <w:b/>
          <w:bCs/>
          <w:kern w:val="24"/>
          <w:sz w:val="24"/>
          <w:szCs w:val="24"/>
          <w:cs/>
          <w:lang w:bidi="bn-BD"/>
        </w:rPr>
        <w:t>) প্রতিষ্ঠা করা,</w:t>
      </w:r>
      <w:r w:rsidRPr="00107906">
        <w:rPr>
          <w:rFonts w:ascii="Nikosh" w:eastAsia="Nikosh" w:hAnsi="Nikosh" w:cs="Nikosh"/>
          <w:kern w:val="24"/>
          <w:sz w:val="24"/>
          <w:szCs w:val="24"/>
          <w:cs/>
          <w:lang w:bidi="bn-BD"/>
        </w:rPr>
        <w:t xml:space="preserve"> </w:t>
      </w:r>
    </w:p>
    <w:p w:rsidR="00107906" w:rsidRPr="00107906" w:rsidRDefault="00F11392" w:rsidP="007B0088">
      <w:pPr>
        <w:spacing w:after="0" w:line="480" w:lineRule="auto"/>
        <w:rPr>
          <w:sz w:val="8"/>
          <w:szCs w:val="28"/>
        </w:rPr>
      </w:pPr>
    </w:p>
    <w:p w:rsidR="00107906" w:rsidRDefault="005A3EA1" w:rsidP="00107906">
      <w:pPr>
        <w:spacing w:after="0" w:line="240" w:lineRule="auto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৪।   </w:t>
      </w:r>
      <w:r w:rsidRPr="00D95D6B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ভৌগলিক অবস্থানঃ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</w:t>
      </w:r>
      <w:r w:rsidR="00A62FE1">
        <w:rPr>
          <w:rFonts w:ascii="Nikosh" w:eastAsia="Nikosh" w:hAnsi="Nikosh" w:cs="Nikosh"/>
          <w:sz w:val="28"/>
          <w:szCs w:val="28"/>
          <w:cs/>
          <w:lang w:bidi="bn-BD"/>
        </w:rPr>
        <w:t xml:space="preserve">প্লট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নং-০২,  রোড নং-৩১২, সেক্টর-০৪,  পূর্বাচল নতুন শহর, রূপগঞ্জ, নারায়ণগঞ্জ। </w:t>
      </w:r>
    </w:p>
    <w:p w:rsidR="00D7307F" w:rsidRPr="002B040B" w:rsidRDefault="005A3EA1" w:rsidP="00107906">
      <w:pPr>
        <w:spacing w:after="0" w:line="240" w:lineRule="auto"/>
        <w:rPr>
          <w:sz w:val="26"/>
          <w:szCs w:val="26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                     </w:t>
      </w:r>
      <w:r w:rsidRPr="002B040B">
        <w:rPr>
          <w:rFonts w:ascii="Nikosh" w:eastAsia="Nikosh" w:hAnsi="Nikosh" w:cs="Nikosh"/>
          <w:sz w:val="26"/>
          <w:szCs w:val="26"/>
          <w:cs/>
          <w:lang w:bidi="bn-BD"/>
        </w:rPr>
        <w:t>(এক্সিবিশন সেন্টারের দূরত্ব খিল</w:t>
      </w:r>
      <w:r w:rsidR="00517F76">
        <w:rPr>
          <w:rFonts w:ascii="Nikosh" w:eastAsia="Nikosh" w:hAnsi="Nikosh" w:cs="Nikosh"/>
          <w:sz w:val="26"/>
          <w:szCs w:val="26"/>
          <w:cs/>
          <w:lang w:bidi="bn-BD"/>
        </w:rPr>
        <w:t>ক্ষেত</w:t>
      </w:r>
      <w:r w:rsidRPr="002B040B">
        <w:rPr>
          <w:rFonts w:ascii="Nikosh" w:eastAsia="Nikosh" w:hAnsi="Nikosh" w:cs="Nikosh"/>
          <w:sz w:val="26"/>
          <w:szCs w:val="26"/>
          <w:cs/>
          <w:lang w:bidi="bn-BD"/>
        </w:rPr>
        <w:t xml:space="preserve">-কুড়িল বিশ্বরোডের মোড় থেকে </w:t>
      </w:r>
      <w:r w:rsidRPr="002B040B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১৩.৫০ কিলোমিটার)</w:t>
      </w:r>
    </w:p>
    <w:p w:rsidR="00276AB2" w:rsidRPr="00276AB2" w:rsidRDefault="00F11392" w:rsidP="00107906">
      <w:pPr>
        <w:spacing w:after="0" w:line="240" w:lineRule="auto"/>
        <w:rPr>
          <w:sz w:val="10"/>
          <w:szCs w:val="28"/>
        </w:rPr>
      </w:pPr>
    </w:p>
    <w:p w:rsidR="001D4669" w:rsidRDefault="005A3EA1" w:rsidP="00276AB2">
      <w:pPr>
        <w:spacing w:after="0" w:line="240" w:lineRule="auto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৫।   </w:t>
      </w:r>
      <w:r w:rsidRPr="00D95D6B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জমির পরিমানঃ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২০ একর।</w:t>
      </w:r>
    </w:p>
    <w:p w:rsidR="00276AB2" w:rsidRPr="00276AB2" w:rsidRDefault="00F11392" w:rsidP="00276AB2">
      <w:pPr>
        <w:spacing w:after="0" w:line="240" w:lineRule="auto"/>
        <w:rPr>
          <w:sz w:val="8"/>
          <w:szCs w:val="28"/>
        </w:rPr>
      </w:pPr>
    </w:p>
    <w:p w:rsidR="00D0364C" w:rsidRDefault="005A3EA1" w:rsidP="00276AB2">
      <w:pPr>
        <w:spacing w:after="0" w:line="240" w:lineRule="auto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৬।   </w:t>
      </w:r>
      <w:r w:rsidRPr="00D95D6B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নির্মাণকালঃ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১৭ অক্টোবর, ২০১৭   থেকে   ৩০ নভেম্বর, ২০২০।</w:t>
      </w:r>
    </w:p>
    <w:p w:rsidR="00276AB2" w:rsidRDefault="00F11392" w:rsidP="00276AB2">
      <w:pPr>
        <w:spacing w:after="0" w:line="288" w:lineRule="auto"/>
        <w:rPr>
          <w:sz w:val="28"/>
          <w:szCs w:val="28"/>
        </w:rPr>
      </w:pPr>
    </w:p>
    <w:p w:rsidR="00415141" w:rsidRDefault="00F11392" w:rsidP="00276AB2">
      <w:pPr>
        <w:spacing w:after="0" w:line="288" w:lineRule="auto"/>
        <w:rPr>
          <w:sz w:val="28"/>
          <w:szCs w:val="28"/>
        </w:rPr>
      </w:pPr>
    </w:p>
    <w:p w:rsidR="00276AB2" w:rsidRPr="00DC7176" w:rsidRDefault="005A3EA1" w:rsidP="00276AB2">
      <w:pPr>
        <w:spacing w:after="0" w:line="288" w:lineRule="auto"/>
        <w:rPr>
          <w:bCs/>
          <w:sz w:val="24"/>
          <w:szCs w:val="24"/>
          <w:lang w:val="fr-FR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৭</w:t>
      </w:r>
      <w:r w:rsidRPr="00BA6D15">
        <w:rPr>
          <w:sz w:val="28"/>
          <w:szCs w:val="28"/>
        </w:rPr>
        <w:t xml:space="preserve">|    </w:t>
      </w:r>
      <w:r w:rsidRPr="00BA6D15">
        <w:rPr>
          <w:b/>
          <w:sz w:val="24"/>
          <w:szCs w:val="24"/>
        </w:rPr>
        <w:t xml:space="preserve">Design and Supervision Consultant: </w:t>
      </w:r>
      <w:r w:rsidRPr="00BA6D15">
        <w:rPr>
          <w:sz w:val="28"/>
          <w:szCs w:val="28"/>
        </w:rPr>
        <w:t xml:space="preserve"> </w:t>
      </w:r>
      <w:r w:rsidRPr="00DC7176">
        <w:rPr>
          <w:b/>
          <w:sz w:val="24"/>
          <w:szCs w:val="24"/>
        </w:rPr>
        <w:t>Consortium</w:t>
      </w:r>
      <w:r w:rsidRPr="00DC7176">
        <w:rPr>
          <w:sz w:val="24"/>
          <w:szCs w:val="24"/>
        </w:rPr>
        <w:t xml:space="preserve"> of </w:t>
      </w:r>
      <w:r w:rsidRPr="00DC7176">
        <w:rPr>
          <w:bCs/>
          <w:sz w:val="24"/>
          <w:szCs w:val="24"/>
          <w:lang w:val="fr-FR"/>
        </w:rPr>
        <w:t>Beijing Institute of Architectural Design</w:t>
      </w:r>
    </w:p>
    <w:p w:rsidR="00D0364C" w:rsidRPr="00DC7176" w:rsidRDefault="005A3EA1" w:rsidP="00276AB2">
      <w:pPr>
        <w:spacing w:after="0" w:line="288" w:lineRule="auto"/>
        <w:rPr>
          <w:bCs/>
          <w:sz w:val="24"/>
          <w:szCs w:val="24"/>
          <w:lang w:val="fr-FR"/>
        </w:rPr>
      </w:pPr>
      <w:r w:rsidRPr="00DC7176">
        <w:rPr>
          <w:bCs/>
          <w:sz w:val="24"/>
          <w:szCs w:val="24"/>
          <w:lang w:val="fr-FR"/>
        </w:rPr>
        <w:t xml:space="preserve">        Co. Ltd  and Shenyang Engineering Supervision and Consultation Co. Ltd</w:t>
      </w:r>
    </w:p>
    <w:p w:rsidR="00276AB2" w:rsidRPr="00276AB2" w:rsidRDefault="00F11392" w:rsidP="00E34766">
      <w:pPr>
        <w:spacing w:after="0" w:line="288" w:lineRule="auto"/>
        <w:rPr>
          <w:bCs/>
          <w:sz w:val="8"/>
          <w:szCs w:val="24"/>
          <w:lang w:val="fr-FR"/>
        </w:rPr>
      </w:pPr>
    </w:p>
    <w:p w:rsidR="00D0364C" w:rsidRDefault="005A3EA1" w:rsidP="00E34766">
      <w:pPr>
        <w:spacing w:after="0" w:line="288" w:lineRule="auto"/>
        <w:rPr>
          <w:bCs/>
          <w:sz w:val="24"/>
          <w:szCs w:val="24"/>
          <w:lang w:val="fr-FR"/>
        </w:rPr>
      </w:pPr>
      <w:r w:rsidRPr="00BF4C01">
        <w:rPr>
          <w:rFonts w:ascii="Nikosh" w:eastAsia="Nikosh" w:hAnsi="Nikosh" w:cs="Nikosh"/>
          <w:sz w:val="24"/>
          <w:szCs w:val="24"/>
          <w:cs/>
          <w:lang w:val="fr-FR" w:bidi="bn-BD"/>
        </w:rPr>
        <w:t>৮।</w:t>
      </w:r>
      <w:r w:rsidRPr="00BA6D15">
        <w:rPr>
          <w:bCs/>
          <w:sz w:val="24"/>
          <w:szCs w:val="24"/>
          <w:lang w:val="fr-FR"/>
        </w:rPr>
        <w:t xml:space="preserve">   </w:t>
      </w:r>
      <w:r w:rsidRPr="00BA6D15">
        <w:rPr>
          <w:b/>
          <w:bCs/>
          <w:sz w:val="24"/>
          <w:szCs w:val="24"/>
          <w:lang w:val="fr-FR"/>
        </w:rPr>
        <w:t>Construction Contracter</w:t>
      </w:r>
      <w:r w:rsidRPr="00BA6D15">
        <w:rPr>
          <w:bCs/>
          <w:sz w:val="24"/>
          <w:szCs w:val="24"/>
          <w:lang w:val="fr-FR"/>
        </w:rPr>
        <w:t>:  China State Construction Engineering Corporation</w:t>
      </w:r>
    </w:p>
    <w:p w:rsidR="00276AB2" w:rsidRPr="00276AB2" w:rsidRDefault="00F11392" w:rsidP="00E34766">
      <w:pPr>
        <w:spacing w:after="0" w:line="288" w:lineRule="auto"/>
        <w:rPr>
          <w:bCs/>
          <w:sz w:val="8"/>
          <w:szCs w:val="24"/>
          <w:lang w:val="fr-FR"/>
        </w:rPr>
      </w:pPr>
    </w:p>
    <w:p w:rsidR="001115DE" w:rsidRDefault="005A3EA1" w:rsidP="00E34766">
      <w:pPr>
        <w:spacing w:after="0" w:line="288" w:lineRule="auto"/>
        <w:rPr>
          <w:bCs/>
          <w:sz w:val="24"/>
          <w:szCs w:val="24"/>
          <w:lang w:val="fr-FR"/>
        </w:rPr>
      </w:pPr>
      <w:r>
        <w:rPr>
          <w:rFonts w:ascii="Nikosh" w:eastAsia="Nikosh" w:hAnsi="Nikosh" w:cs="Nikosh"/>
          <w:sz w:val="24"/>
          <w:szCs w:val="24"/>
          <w:cs/>
          <w:lang w:val="fr-FR" w:bidi="bn-BD"/>
        </w:rPr>
        <w:t xml:space="preserve">৯।    </w:t>
      </w:r>
      <w:r w:rsidRPr="00DC7176">
        <w:rPr>
          <w:rFonts w:ascii="Nikosh" w:eastAsia="Nikosh" w:hAnsi="Nikosh" w:cs="Nikosh"/>
          <w:b/>
          <w:bCs/>
          <w:sz w:val="28"/>
          <w:szCs w:val="28"/>
          <w:cs/>
          <w:lang w:val="fr-FR" w:bidi="bn-BD"/>
        </w:rPr>
        <w:t>অর্থায়নঃ</w:t>
      </w:r>
      <w:r>
        <w:rPr>
          <w:rFonts w:ascii="Nikosh" w:eastAsia="Nikosh" w:hAnsi="Nikosh" w:cs="Nikosh"/>
          <w:sz w:val="24"/>
          <w:szCs w:val="24"/>
          <w:cs/>
          <w:lang w:val="fr-FR" w:bidi="bn-BD"/>
        </w:rPr>
        <w:t xml:space="preserve">   মোট ব্যয় ৭৭৩ কোটি টাকা (চীনা অনুদান ৫২০.৭৩ কোটি টাকা,  বাংলাদেশ সরকার ২৩১ কোটি টাকা এবং ইপিবির নিজস্ব তহবিল থেকে ২১.২৭ কোটি টাকা)।</w:t>
      </w:r>
    </w:p>
    <w:p w:rsidR="00276AB2" w:rsidRPr="00415141" w:rsidRDefault="00F11392" w:rsidP="00E34766">
      <w:pPr>
        <w:spacing w:after="0" w:line="288" w:lineRule="auto"/>
        <w:rPr>
          <w:bCs/>
          <w:sz w:val="16"/>
          <w:szCs w:val="24"/>
          <w:lang w:val="fr-FR"/>
        </w:rPr>
      </w:pPr>
    </w:p>
    <w:p w:rsidR="004B1106" w:rsidRDefault="005A3EA1" w:rsidP="00E34766">
      <w:pPr>
        <w:spacing w:after="0" w:line="288" w:lineRule="auto"/>
        <w:rPr>
          <w:b/>
          <w:bCs/>
          <w:sz w:val="28"/>
          <w:szCs w:val="28"/>
          <w:lang w:val="fr-FR"/>
        </w:rPr>
      </w:pPr>
      <w:r>
        <w:rPr>
          <w:rFonts w:ascii="Nikosh" w:eastAsia="Nikosh" w:hAnsi="Nikosh" w:cs="Nikosh"/>
          <w:sz w:val="24"/>
          <w:szCs w:val="24"/>
          <w:cs/>
          <w:lang w:val="fr-FR" w:bidi="bn-BD"/>
        </w:rPr>
        <w:t xml:space="preserve">১০।   </w:t>
      </w:r>
      <w:r w:rsidRPr="008D6DA8">
        <w:rPr>
          <w:rFonts w:ascii="Nikosh" w:eastAsia="Nikosh" w:hAnsi="Nikosh" w:cs="Nikosh"/>
          <w:b/>
          <w:bCs/>
          <w:sz w:val="26"/>
          <w:szCs w:val="26"/>
          <w:cs/>
          <w:lang w:val="fr-FR" w:bidi="bn-BD"/>
        </w:rPr>
        <w:t>নির্মিত এক্সিবিশন সেন্টার</w:t>
      </w:r>
      <w:r w:rsidRPr="00415141">
        <w:rPr>
          <w:rFonts w:ascii="Nikosh" w:eastAsia="Nikosh" w:hAnsi="Nikosh" w:cs="Nikosh"/>
          <w:b/>
          <w:bCs/>
          <w:sz w:val="28"/>
          <w:szCs w:val="28"/>
          <w:cs/>
          <w:lang w:val="fr-FR" w:bidi="bn-BD"/>
        </w:rPr>
        <w:t xml:space="preserve"> </w:t>
      </w:r>
      <w:r w:rsidRPr="008D6DA8">
        <w:rPr>
          <w:rFonts w:ascii="Nikosh" w:eastAsia="Nikosh" w:hAnsi="Nikosh" w:cs="Nikosh"/>
          <w:b/>
          <w:bCs/>
          <w:sz w:val="32"/>
          <w:szCs w:val="32"/>
          <w:cs/>
          <w:lang w:val="fr-FR" w:bidi="bn-BD"/>
        </w:rPr>
        <w:t>এক নজরেঃ</w:t>
      </w:r>
    </w:p>
    <w:p w:rsidR="00415141" w:rsidRPr="00415141" w:rsidRDefault="00F11392" w:rsidP="00E34766">
      <w:pPr>
        <w:spacing w:after="0" w:line="288" w:lineRule="auto"/>
        <w:rPr>
          <w:b/>
          <w:bCs/>
          <w:sz w:val="6"/>
          <w:szCs w:val="28"/>
          <w:lang w:val="fr-FR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0"/>
        <w:gridCol w:w="6750"/>
      </w:tblGrid>
      <w:tr w:rsidR="007F74AE" w:rsidTr="00DB4C45">
        <w:tc>
          <w:tcPr>
            <w:tcW w:w="2340" w:type="dxa"/>
          </w:tcPr>
          <w:p w:rsidR="00DB4C45" w:rsidRDefault="005A3EA1" w:rsidP="00172CFD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সেন্টারে তৈরী মোট ফ্লোর স্পেসঃ</w:t>
            </w:r>
          </w:p>
        </w:tc>
        <w:tc>
          <w:tcPr>
            <w:tcW w:w="6750" w:type="dxa"/>
          </w:tcPr>
          <w:p w:rsidR="00DB4C45" w:rsidRDefault="005A3EA1" w:rsidP="00172CFD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৩৩,০০০ বর্গ মিটার</w:t>
            </w:r>
          </w:p>
        </w:tc>
      </w:tr>
      <w:tr w:rsidR="007F74AE" w:rsidTr="00DB4C45">
        <w:tc>
          <w:tcPr>
            <w:tcW w:w="2340" w:type="dxa"/>
          </w:tcPr>
          <w:p w:rsidR="00DB4C45" w:rsidRDefault="005A3EA1" w:rsidP="00C91DD7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এক্সিবিশন বিল্ডিংয়ের মোট ফ্লোর স্পেস </w:t>
            </w:r>
          </w:p>
        </w:tc>
        <w:tc>
          <w:tcPr>
            <w:tcW w:w="6750" w:type="dxa"/>
          </w:tcPr>
          <w:p w:rsidR="00DB4C45" w:rsidRDefault="005A3EA1" w:rsidP="00172CFD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২৪,৩৭০ বর্গ মিটার</w:t>
            </w:r>
          </w:p>
        </w:tc>
      </w:tr>
      <w:tr w:rsidR="007F74AE" w:rsidTr="00DB4C45">
        <w:tc>
          <w:tcPr>
            <w:tcW w:w="2340" w:type="dxa"/>
          </w:tcPr>
          <w:p w:rsidR="00DB4C45" w:rsidRDefault="005A3EA1" w:rsidP="00172CFD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এক্সিবিশন হলের মোট আয়তন</w:t>
            </w:r>
          </w:p>
        </w:tc>
        <w:tc>
          <w:tcPr>
            <w:tcW w:w="6750" w:type="dxa"/>
          </w:tcPr>
          <w:p w:rsidR="00DB4C45" w:rsidRDefault="005A3EA1" w:rsidP="00172CFD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১৫,৪১৮ বর্গ মিটার</w:t>
            </w:r>
          </w:p>
        </w:tc>
      </w:tr>
      <w:tr w:rsidR="007F74AE" w:rsidTr="00DB4C45">
        <w:tc>
          <w:tcPr>
            <w:tcW w:w="2340" w:type="dxa"/>
          </w:tcPr>
          <w:p w:rsidR="00DB4C45" w:rsidRDefault="005A3EA1" w:rsidP="00172CFD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গাড়ী পার্কিং ব্যবস্থা</w:t>
            </w:r>
          </w:p>
        </w:tc>
        <w:tc>
          <w:tcPr>
            <w:tcW w:w="6750" w:type="dxa"/>
          </w:tcPr>
          <w:p w:rsidR="00DB4C45" w:rsidRDefault="005A3EA1" w:rsidP="00172CFD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(ক)  দোতলা পার্কিং বিল্ডিংয়ের মোট পার্কিং স্পেস ৭,৯১২ বর্গ মিটার, মোট ৫০০টি গাড়ীর জন্য।</w:t>
            </w:r>
          </w:p>
          <w:p w:rsidR="009720C2" w:rsidRDefault="005A3EA1" w:rsidP="00C91DD7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(খ)  এক্সিবিশন বিল্ডিং এর সামনের খোলা জায়গায় আরও ১,০০০টি গাড়ী পার্কিং করার সুযোগ আছে। </w:t>
            </w:r>
          </w:p>
        </w:tc>
      </w:tr>
      <w:tr w:rsidR="007F74AE" w:rsidTr="00DB4C45">
        <w:tc>
          <w:tcPr>
            <w:tcW w:w="2340" w:type="dxa"/>
          </w:tcPr>
          <w:p w:rsidR="00DB4C45" w:rsidRDefault="005A3EA1" w:rsidP="00172CFD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এক্সিবিশন হলে মোট স্টল/বুথ সংখ্যা</w:t>
            </w:r>
          </w:p>
        </w:tc>
        <w:tc>
          <w:tcPr>
            <w:tcW w:w="6750" w:type="dxa"/>
          </w:tcPr>
          <w:p w:rsidR="00DB4C45" w:rsidRDefault="005A3EA1" w:rsidP="00172CFD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৮০০টি,   প্রতিটি বুথের আয়তন ৯.৬৭ বর্গ মিটার।</w:t>
            </w:r>
          </w:p>
        </w:tc>
      </w:tr>
      <w:tr w:rsidR="007F74AE" w:rsidTr="00DB4C45">
        <w:tc>
          <w:tcPr>
            <w:tcW w:w="2340" w:type="dxa"/>
          </w:tcPr>
          <w:p w:rsidR="00DB4C45" w:rsidRDefault="005A3EA1" w:rsidP="00172CFD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অন্যান্য সুবিধা/অন্যান্য অবকাঠামো</w:t>
            </w:r>
          </w:p>
        </w:tc>
        <w:tc>
          <w:tcPr>
            <w:tcW w:w="6750" w:type="dxa"/>
          </w:tcPr>
          <w:p w:rsidR="004F2360" w:rsidRDefault="005A3EA1" w:rsidP="00BE51DC">
            <w:pPr>
              <w:rPr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(১)   ৪৭৩ আসন বিশিষ্ট ১টি মাল্টি ফাংশনাল হল  (২)   ৫০ আসন বিশিষ্ট একটি কনফারেন্স </w:t>
            </w:r>
            <w:r w:rsidR="00BE51DC">
              <w:rPr>
                <w:rFonts w:ascii="Nikosh" w:eastAsia="Nikosh" w:hAnsi="Nikosh" w:cs="Nikosh"/>
                <w:sz w:val="24"/>
                <w:szCs w:val="24"/>
                <w:lang w:bidi="bn-BD"/>
              </w:rPr>
              <w:t>রুম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 (৩)   ০৬টি নেগোশিয়েশন/মিটিং </w:t>
            </w:r>
            <w:r w:rsidR="00BE51DC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রুম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(৪)   ৫০০ আসন বিশিষ্ট ক্যাফেটরিয়া/রেস্টুরেন্ট  (৫)   শিশুদের খেলার স্পেস  (৬)   নামাজের ক</w:t>
            </w:r>
            <w:r w:rsidR="00A62FE1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ক্ষ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 (৭)   অফিস রম্নম ০২টি  (৮)   মেডিকেল </w:t>
            </w:r>
            <w:r w:rsidR="00BE51DC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রুম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(৯)  ডরমিটরী/গেষ্ট রম্নম   (১০)  ১৩৯টি টয়লেট  (১১)   বিল্ট ইন পাবলিক এড্রেস সিস্টেম   (১২)   নিজস্ব ওয়াটার ট্রিটমেন্ট </w:t>
            </w:r>
            <w:r w:rsidR="00BE51DC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প্ল্যান্ট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 (১৩)   স্টোর </w:t>
            </w:r>
            <w:r w:rsidR="00BE51DC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রুম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(১৪)  সিএটিভি কন্ট্রোল </w:t>
            </w:r>
            <w:r w:rsidR="00BE51DC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রুম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 (১৫)   অটোমেটেড সেন্ট্রাল এসি সিস্টেম  (১৬)   ইনবিল্ট ইন্টারনেট/ওয়াই-ফাই  (১৬)   আধুনিক অগ্নি নির্বাপন ব্যবস্থা  (১৭)   আলাদা রেজিস্টেশন হল  (১৮)  আ</w:t>
            </w:r>
            <w:r w:rsidR="002141C6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ধু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নিক ফোয়ারা  (১৯)   ইন বিল্ট পতাকা স্ট্যান্ড  (২০)  রিমোট কন্ট্রোল্ড/ইলেকট্রনিক প্রবেশ গেইট  ইত্যাদি।</w:t>
            </w:r>
          </w:p>
        </w:tc>
      </w:tr>
    </w:tbl>
    <w:p w:rsidR="00D27670" w:rsidRPr="001115DE" w:rsidRDefault="00F11392" w:rsidP="00D0364C">
      <w:pPr>
        <w:spacing w:after="0" w:line="480" w:lineRule="auto"/>
        <w:rPr>
          <w:bCs/>
          <w:sz w:val="24"/>
          <w:szCs w:val="24"/>
          <w:lang w:val="fr-FR"/>
        </w:rPr>
      </w:pPr>
    </w:p>
    <w:sectPr w:rsidR="00D27670" w:rsidRPr="001115DE" w:rsidSect="00021FC0">
      <w:headerReference w:type="default" r:id="rId7"/>
      <w:pgSz w:w="12240" w:h="15840"/>
      <w:pgMar w:top="1152" w:right="86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392" w:rsidRDefault="00F11392" w:rsidP="007F74AE">
      <w:pPr>
        <w:spacing w:after="0" w:line="240" w:lineRule="auto"/>
      </w:pPr>
      <w:r>
        <w:separator/>
      </w:r>
    </w:p>
  </w:endnote>
  <w:endnote w:type="continuationSeparator" w:id="1">
    <w:p w:rsidR="00F11392" w:rsidRDefault="00F11392" w:rsidP="007F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392" w:rsidRDefault="00F11392" w:rsidP="007F74AE">
      <w:pPr>
        <w:spacing w:after="0" w:line="240" w:lineRule="auto"/>
      </w:pPr>
      <w:r>
        <w:separator/>
      </w:r>
    </w:p>
  </w:footnote>
  <w:footnote w:type="continuationSeparator" w:id="1">
    <w:p w:rsidR="00F11392" w:rsidRDefault="00F11392" w:rsidP="007F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C6B" w:rsidRDefault="00E57CDE">
    <w:pPr>
      <w:pStyle w:val="Header"/>
      <w:jc w:val="center"/>
    </w:pPr>
    <w:r>
      <w:rPr>
        <w:rFonts w:ascii="SutonnyMJ" w:hAnsi="SutonnyMJ"/>
        <w:b/>
      </w:rPr>
      <w:fldChar w:fldCharType="begin"/>
    </w:r>
    <w:r w:rsidR="005A3EA1" w:rsidRPr="00F03C6B">
      <w:rPr>
        <w:rFonts w:ascii="Nikosh" w:eastAsia="Nikosh" w:hAnsi="Nikosh" w:cs="Nikosh"/>
        <w:b/>
        <w:bCs/>
        <w:cs/>
        <w:lang w:bidi="bn-BD"/>
      </w:rPr>
      <w:instrText xml:space="preserve"> চঅএঊ   </w:instrText>
    </w:r>
    <w:r w:rsidR="005A3EA1" w:rsidRPr="00F03C6B">
      <w:rPr>
        <w:rFonts w:ascii="Nikosh" w:eastAsia="Nikosh" w:hAnsi="Nikosh" w:cs="Nikosh"/>
        <w:b/>
        <w:bCs/>
        <w:shd w:val="clear" w:color="auto" w:fill="32CD32"/>
        <w:cs/>
        <w:lang w:bidi="bn-BD"/>
      </w:rPr>
      <w:instrText>\</w:instrText>
    </w:r>
    <w:r w:rsidR="005A3EA1" w:rsidRPr="00F03C6B">
      <w:rPr>
        <w:rFonts w:ascii="Nikosh" w:eastAsia="Nikosh" w:hAnsi="Nikosh" w:cs="Nikosh"/>
        <w:b/>
        <w:bCs/>
        <w:cs/>
        <w:lang w:bidi="bn-BD"/>
      </w:rPr>
      <w:instrText xml:space="preserve">* গঊজএঊঋঙজগঅঞ </w:instrText>
    </w:r>
    <w:r>
      <w:rPr>
        <w:rFonts w:ascii="SutonnyMJ" w:hAnsi="SutonnyMJ"/>
        <w:b/>
      </w:rPr>
      <w:fldChar w:fldCharType="separate"/>
    </w:r>
    <w:r w:rsidR="005A3EA1">
      <w:rPr>
        <w:rFonts w:ascii="Nikosh" w:eastAsia="Nikosh" w:hAnsi="Nikosh" w:cs="Nikosh"/>
        <w:b/>
        <w:bCs/>
        <w:noProof/>
        <w:cs/>
        <w:lang w:bidi="bn-BD"/>
      </w:rPr>
      <w:t>২</w:t>
    </w:r>
    <w:r>
      <w:rPr>
        <w:rFonts w:ascii="SutonnyMJ" w:hAnsi="SutonnyMJ"/>
        <w:b/>
      </w:rPr>
      <w:fldChar w:fldCharType="end"/>
    </w:r>
  </w:p>
  <w:p w:rsidR="00F03C6B" w:rsidRDefault="00F113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40C"/>
    <w:multiLevelType w:val="hybridMultilevel"/>
    <w:tmpl w:val="FB64E9B2"/>
    <w:lvl w:ilvl="0" w:tplc="FE9C5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8C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C7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2B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85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EC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85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DE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00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6F64979"/>
    <w:multiLevelType w:val="hybridMultilevel"/>
    <w:tmpl w:val="B1BAD484"/>
    <w:lvl w:ilvl="0" w:tplc="FD16E810">
      <w:start w:val="1"/>
      <w:numFmt w:val="bullet"/>
      <w:lvlText w:val="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330A5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E81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41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C5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60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2D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A1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02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57694"/>
    <w:multiLevelType w:val="hybridMultilevel"/>
    <w:tmpl w:val="ACA251F8"/>
    <w:lvl w:ilvl="0" w:tplc="15EC5ED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5EC2C44E" w:tentative="1">
      <w:start w:val="1"/>
      <w:numFmt w:val="lowerLetter"/>
      <w:lvlText w:val="%2."/>
      <w:lvlJc w:val="left"/>
      <w:pPr>
        <w:ind w:left="1440" w:hanging="360"/>
      </w:pPr>
    </w:lvl>
    <w:lvl w:ilvl="2" w:tplc="73F28458" w:tentative="1">
      <w:start w:val="1"/>
      <w:numFmt w:val="lowerRoman"/>
      <w:lvlText w:val="%3."/>
      <w:lvlJc w:val="right"/>
      <w:pPr>
        <w:ind w:left="2160" w:hanging="180"/>
      </w:pPr>
    </w:lvl>
    <w:lvl w:ilvl="3" w:tplc="AFFAAD70" w:tentative="1">
      <w:start w:val="1"/>
      <w:numFmt w:val="decimal"/>
      <w:lvlText w:val="%4."/>
      <w:lvlJc w:val="left"/>
      <w:pPr>
        <w:ind w:left="2880" w:hanging="360"/>
      </w:pPr>
    </w:lvl>
    <w:lvl w:ilvl="4" w:tplc="52E4750E" w:tentative="1">
      <w:start w:val="1"/>
      <w:numFmt w:val="lowerLetter"/>
      <w:lvlText w:val="%5."/>
      <w:lvlJc w:val="left"/>
      <w:pPr>
        <w:ind w:left="3600" w:hanging="360"/>
      </w:pPr>
    </w:lvl>
    <w:lvl w:ilvl="5" w:tplc="04E872DC">
      <w:start w:val="1"/>
      <w:numFmt w:val="lowerRoman"/>
      <w:lvlText w:val="%6."/>
      <w:lvlJc w:val="right"/>
      <w:pPr>
        <w:ind w:left="4320" w:hanging="180"/>
      </w:pPr>
    </w:lvl>
    <w:lvl w:ilvl="6" w:tplc="BE0C72E0" w:tentative="1">
      <w:start w:val="1"/>
      <w:numFmt w:val="decimal"/>
      <w:lvlText w:val="%7."/>
      <w:lvlJc w:val="left"/>
      <w:pPr>
        <w:ind w:left="5040" w:hanging="360"/>
      </w:pPr>
    </w:lvl>
    <w:lvl w:ilvl="7" w:tplc="628C02B6" w:tentative="1">
      <w:start w:val="1"/>
      <w:numFmt w:val="lowerLetter"/>
      <w:lvlText w:val="%8."/>
      <w:lvlJc w:val="left"/>
      <w:pPr>
        <w:ind w:left="5760" w:hanging="360"/>
      </w:pPr>
    </w:lvl>
    <w:lvl w:ilvl="8" w:tplc="837A5C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4AE"/>
    <w:rsid w:val="00085AD6"/>
    <w:rsid w:val="002141C6"/>
    <w:rsid w:val="002E50FF"/>
    <w:rsid w:val="00400326"/>
    <w:rsid w:val="00517F76"/>
    <w:rsid w:val="00531CC0"/>
    <w:rsid w:val="005A3EA1"/>
    <w:rsid w:val="007F74AE"/>
    <w:rsid w:val="00A62FE1"/>
    <w:rsid w:val="00BE51DC"/>
    <w:rsid w:val="00BE7DBE"/>
    <w:rsid w:val="00E57CDE"/>
    <w:rsid w:val="00F11392"/>
    <w:rsid w:val="00FB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088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NNEX,Bullets,Bullets 1 space,Colorful List - Accent 11,List Bullet-OpsManual,List Paragraph (numbered (a)),List_Paragraph,Liste 1,Main numbered paragraph,MC Paragraphe Liste,Multilevel para_II,Normal 2,References,Source,Title Style 1"/>
    <w:basedOn w:val="Normal"/>
    <w:link w:val="ListParagraphChar"/>
    <w:qFormat/>
    <w:rsid w:val="004A3EE8"/>
    <w:pPr>
      <w:ind w:left="720"/>
      <w:contextualSpacing/>
    </w:pPr>
  </w:style>
  <w:style w:type="character" w:customStyle="1" w:styleId="ListParagraphChar">
    <w:name w:val="List Paragraph Char"/>
    <w:aliases w:val="ANNEX Char,Bullets Char,Bullets 1 space Char,Colorful List - Accent 11 Char,List Bullet-OpsManual Char,List Paragraph (numbered (a)) Char,List_Paragraph Char,Liste 1 Char,Main numbered paragraph Char,MC Paragraphe Liste Char"/>
    <w:link w:val="ListParagraph"/>
    <w:locked/>
    <w:rsid w:val="00D0364C"/>
  </w:style>
  <w:style w:type="paragraph" w:styleId="Header">
    <w:name w:val="header"/>
    <w:basedOn w:val="Normal"/>
    <w:link w:val="HeaderChar"/>
    <w:rsid w:val="00F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3C6B"/>
  </w:style>
  <w:style w:type="paragraph" w:styleId="Footer">
    <w:name w:val="footer"/>
    <w:basedOn w:val="Normal"/>
    <w:link w:val="FooterChar"/>
    <w:semiHidden/>
    <w:rsid w:val="00F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F03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KUMKUM</dc:creator>
  <cp:lastModifiedBy>Rezual Karim</cp:lastModifiedBy>
  <cp:revision>485</cp:revision>
  <cp:lastPrinted>2021-02-06T08:38:00Z</cp:lastPrinted>
  <dcterms:created xsi:type="dcterms:W3CDTF">2014-12-29T04:32:00Z</dcterms:created>
  <dcterms:modified xsi:type="dcterms:W3CDTF">2021-02-06T11:17:00Z</dcterms:modified>
</cp:coreProperties>
</file>