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93192" w14:textId="77777777" w:rsidR="00966F0D" w:rsidRPr="00E842DA" w:rsidRDefault="003D40D9" w:rsidP="00947112">
      <w:pPr>
        <w:jc w:val="center"/>
        <w:rPr>
          <w:rFonts w:ascii="Nikosh" w:eastAsia="Nikosh" w:hAnsi="Nikosh" w:cs="Nikosh"/>
          <w:lang w:bidi="bn-BD"/>
        </w:rPr>
      </w:pPr>
      <w:proofErr w:type="spellStart"/>
      <w:r w:rsidRPr="00E842DA">
        <w:rPr>
          <w:rFonts w:ascii="Nikosh" w:eastAsia="Nikosh" w:hAnsi="Nikosh" w:cs="Nikosh"/>
          <w:lang w:bidi="bn-BD"/>
        </w:rPr>
        <w:t>গণপ্রজাতন্ত্রী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বাংলাদেশ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সরকার</w:t>
      </w:r>
      <w:proofErr w:type="spellEnd"/>
    </w:p>
    <w:p w14:paraId="4C6F73CC" w14:textId="0DBF3A0C" w:rsidR="003D40D9" w:rsidRPr="00E842DA" w:rsidRDefault="003D40D9" w:rsidP="00947112">
      <w:pPr>
        <w:jc w:val="center"/>
        <w:rPr>
          <w:rFonts w:ascii="Nikosh" w:eastAsia="Nikosh" w:hAnsi="Nikosh" w:cs="Nikosh"/>
          <w:lang w:bidi="bn-BD"/>
        </w:rPr>
      </w:pPr>
      <w:proofErr w:type="spellStart"/>
      <w:r w:rsidRPr="00E842DA">
        <w:rPr>
          <w:rFonts w:ascii="Nikosh" w:eastAsia="Nikosh" w:hAnsi="Nikosh" w:cs="Nikosh"/>
          <w:lang w:bidi="bn-BD"/>
        </w:rPr>
        <w:t>মন্ত্রণালয়</w:t>
      </w:r>
      <w:proofErr w:type="spellEnd"/>
      <w:r w:rsidRPr="00E842DA">
        <w:rPr>
          <w:rFonts w:ascii="Nikosh" w:eastAsia="Nikosh" w:hAnsi="Nikosh" w:cs="Nikosh"/>
          <w:lang w:bidi="bn-BD"/>
        </w:rPr>
        <w:t>/</w:t>
      </w:r>
      <w:r w:rsidR="0062542F" w:rsidRPr="00E842DA">
        <w:rPr>
          <w:rFonts w:ascii="Nikosh" w:eastAsia="Nikosh" w:hAnsi="Nikosh" w:cs="Nikosh"/>
          <w:lang w:bidi="bn-IN"/>
        </w:rPr>
        <w:t xml:space="preserve"> </w:t>
      </w:r>
      <w:proofErr w:type="spellStart"/>
      <w:r w:rsidR="0062542F" w:rsidRPr="00E842DA">
        <w:rPr>
          <w:rFonts w:ascii="Nikosh" w:eastAsia="Nikosh" w:hAnsi="Nikosh" w:cs="Nikosh"/>
          <w:lang w:bidi="bn-IN"/>
        </w:rPr>
        <w:t>দপ্তরের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নাম</w:t>
      </w:r>
      <w:proofErr w:type="spellEnd"/>
      <w:r w:rsidRPr="00E842DA">
        <w:rPr>
          <w:rFonts w:ascii="Nikosh" w:eastAsia="Nikosh" w:hAnsi="Nikosh" w:cs="Nikosh"/>
          <w:lang w:bidi="bn-BD"/>
        </w:rPr>
        <w:t>:</w:t>
      </w:r>
      <w:r w:rsidR="00424228"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="00424228" w:rsidRPr="00E842DA">
        <w:rPr>
          <w:rFonts w:ascii="Nikosh" w:eastAsia="Nikosh" w:hAnsi="Nikosh" w:cs="Nikosh"/>
          <w:lang w:bidi="bn-BD"/>
        </w:rPr>
        <w:t>শ্রম</w:t>
      </w:r>
      <w:proofErr w:type="spellEnd"/>
      <w:r w:rsidR="00424228"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="00424228" w:rsidRPr="00E842DA">
        <w:rPr>
          <w:rFonts w:ascii="Nikosh" w:eastAsia="Nikosh" w:hAnsi="Nikosh" w:cs="Nikosh"/>
          <w:lang w:bidi="bn-BD"/>
        </w:rPr>
        <w:t>অধিদপ্তর</w:t>
      </w:r>
      <w:proofErr w:type="spellEnd"/>
    </w:p>
    <w:p w14:paraId="1C43D530" w14:textId="77777777" w:rsidR="00E45B71" w:rsidRPr="00E842DA" w:rsidRDefault="00E45B71" w:rsidP="00570D86">
      <w:pPr>
        <w:rPr>
          <w:rFonts w:ascii="Nikosh" w:eastAsia="Nikosh" w:hAnsi="Nikosh" w:cs="Nikosh"/>
          <w:lang w:bidi="bn-BD"/>
        </w:rPr>
      </w:pPr>
    </w:p>
    <w:p w14:paraId="0D11B4A8" w14:textId="174E2A46" w:rsidR="00966F0D" w:rsidRPr="00E842DA" w:rsidRDefault="0042465F" w:rsidP="00E45B71">
      <w:pPr>
        <w:rPr>
          <w:rFonts w:ascii="Nikosh" w:eastAsia="Nikosh" w:hAnsi="Nikosh" w:cs="Nikosh"/>
          <w:lang w:bidi="bn-BD"/>
        </w:rPr>
      </w:pPr>
      <w:proofErr w:type="spellStart"/>
      <w:r w:rsidRPr="00E842DA">
        <w:rPr>
          <w:rFonts w:ascii="Nikosh" w:eastAsia="Nikosh" w:hAnsi="Nikosh" w:cs="Nikosh"/>
          <w:lang w:bidi="bn-BD"/>
        </w:rPr>
        <w:t>বিষয়ঃ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ইতঃপূর্বে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বাস্তবায়িত</w:t>
      </w:r>
      <w:proofErr w:type="spellEnd"/>
      <w:r w:rsidRPr="00E842DA">
        <w:rPr>
          <w:rFonts w:ascii="Nikosh" w:eastAsia="Nikosh" w:hAnsi="Nikosh" w:cs="Nikosh"/>
          <w:u w:val="single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উদ্ভাবনী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ধারণা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, </w:t>
      </w:r>
      <w:proofErr w:type="spellStart"/>
      <w:r w:rsidRPr="00E842DA">
        <w:rPr>
          <w:rFonts w:ascii="Nikosh" w:eastAsia="Nikosh" w:hAnsi="Nikosh" w:cs="Nikosh"/>
          <w:lang w:bidi="bn-BD"/>
        </w:rPr>
        <w:t>সহজিকৃত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ও </w:t>
      </w:r>
      <w:proofErr w:type="spellStart"/>
      <w:r w:rsidRPr="00E842DA">
        <w:rPr>
          <w:rFonts w:ascii="Nikosh" w:eastAsia="Nikosh" w:hAnsi="Nikosh" w:cs="Nikosh"/>
          <w:lang w:bidi="bn-BD"/>
        </w:rPr>
        <w:t>ডিজিটাইজকৃত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="008421EE" w:rsidRPr="00E842DA">
        <w:rPr>
          <w:rFonts w:ascii="Nikosh" w:eastAsia="Nikosh" w:hAnsi="Nikosh" w:cs="Nikosh"/>
          <w:lang w:bidi="bn-BD"/>
        </w:rPr>
        <w:t>সেবার</w:t>
      </w:r>
      <w:proofErr w:type="spellEnd"/>
      <w:r w:rsidRPr="00E842DA">
        <w:rPr>
          <w:rFonts w:ascii="Nikosh" w:eastAsia="Nikosh" w:hAnsi="Nikosh" w:cs="Nikosh"/>
          <w:lang w:bidi="bn-BD"/>
        </w:rPr>
        <w:t xml:space="preserve"> </w:t>
      </w:r>
      <w:proofErr w:type="spellStart"/>
      <w:r w:rsidRPr="00E842DA">
        <w:rPr>
          <w:rFonts w:ascii="Nikosh" w:eastAsia="Nikosh" w:hAnsi="Nikosh" w:cs="Nikosh"/>
          <w:lang w:bidi="bn-BD"/>
        </w:rPr>
        <w:t>ডাটাবেজ</w:t>
      </w:r>
      <w:proofErr w:type="spellEnd"/>
      <w:r w:rsidRPr="00E842DA">
        <w:rPr>
          <w:rFonts w:ascii="Nikosh" w:eastAsia="Nikosh" w:hAnsi="Nikosh" w:cs="Nikosh"/>
          <w:lang w:bidi="bn-BD"/>
        </w:rPr>
        <w:t>।</w:t>
      </w:r>
    </w:p>
    <w:p w14:paraId="4BAA3FCC" w14:textId="77777777" w:rsidR="00D82E7D" w:rsidRPr="00E842DA" w:rsidRDefault="00D82E7D" w:rsidP="00570D86">
      <w:pPr>
        <w:rPr>
          <w:rFonts w:ascii="Nikosh" w:eastAsia="Nikosh" w:hAnsi="Nikosh" w:cs="Nikosh"/>
          <w:lang w:bidi="bn-BD"/>
        </w:rPr>
      </w:pPr>
    </w:p>
    <w:tbl>
      <w:tblPr>
        <w:tblStyle w:val="TableGrid"/>
        <w:tblW w:w="5310" w:type="pct"/>
        <w:tblLayout w:type="fixed"/>
        <w:tblLook w:val="04A0" w:firstRow="1" w:lastRow="0" w:firstColumn="1" w:lastColumn="0" w:noHBand="0" w:noVBand="1"/>
      </w:tblPr>
      <w:tblGrid>
        <w:gridCol w:w="738"/>
        <w:gridCol w:w="4051"/>
        <w:gridCol w:w="2429"/>
        <w:gridCol w:w="1351"/>
        <w:gridCol w:w="1258"/>
        <w:gridCol w:w="4412"/>
        <w:gridCol w:w="810"/>
      </w:tblGrid>
      <w:tr w:rsidR="00C14B66" w:rsidRPr="00E842DA" w14:paraId="01ED5595" w14:textId="409D9A2A" w:rsidTr="00DE4A2F">
        <w:tc>
          <w:tcPr>
            <w:tcW w:w="245" w:type="pct"/>
          </w:tcPr>
          <w:p w14:paraId="1DA00A3F" w14:textId="77777777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১</w:t>
            </w:r>
          </w:p>
        </w:tc>
        <w:tc>
          <w:tcPr>
            <w:tcW w:w="1346" w:type="pct"/>
          </w:tcPr>
          <w:p w14:paraId="1FB5E203" w14:textId="77777777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807" w:type="pct"/>
          </w:tcPr>
          <w:p w14:paraId="1FAC5FBD" w14:textId="77777777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449" w:type="pct"/>
          </w:tcPr>
          <w:p w14:paraId="32E1968D" w14:textId="77777777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৪</w:t>
            </w:r>
          </w:p>
        </w:tc>
        <w:tc>
          <w:tcPr>
            <w:tcW w:w="418" w:type="pct"/>
          </w:tcPr>
          <w:p w14:paraId="13595E3E" w14:textId="77777777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৫</w:t>
            </w:r>
          </w:p>
        </w:tc>
        <w:tc>
          <w:tcPr>
            <w:tcW w:w="1466" w:type="pct"/>
          </w:tcPr>
          <w:p w14:paraId="66811AC8" w14:textId="77777777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৬</w:t>
            </w:r>
          </w:p>
        </w:tc>
        <w:tc>
          <w:tcPr>
            <w:tcW w:w="269" w:type="pct"/>
          </w:tcPr>
          <w:p w14:paraId="793002B7" w14:textId="2D4F5E01" w:rsidR="000F7878" w:rsidRPr="00E842DA" w:rsidRDefault="000F7878" w:rsidP="00EC41BB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৭</w:t>
            </w:r>
          </w:p>
        </w:tc>
      </w:tr>
      <w:tr w:rsidR="00C14B66" w:rsidRPr="00E842DA" w14:paraId="41C4C86B" w14:textId="41E50EEE" w:rsidTr="00DE4A2F">
        <w:trPr>
          <w:trHeight w:val="1628"/>
        </w:trPr>
        <w:tc>
          <w:tcPr>
            <w:tcW w:w="245" w:type="pct"/>
          </w:tcPr>
          <w:p w14:paraId="3945F161" w14:textId="488235F7" w:rsidR="007143DB" w:rsidRPr="00E842DA" w:rsidRDefault="007143D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ক্রমিক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1346" w:type="pct"/>
          </w:tcPr>
          <w:p w14:paraId="4B49F3F9" w14:textId="7B6DCF99" w:rsidR="007143DB" w:rsidRPr="00E842DA" w:rsidRDefault="007143D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ইতঃপূর্বে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বাস্তবায়িত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উদ্ভাবনী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ধারণা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সহজিকৃত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ডিজিটাইজকৃত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নাম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তারিখসহ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)</w:t>
            </w:r>
          </w:p>
        </w:tc>
        <w:tc>
          <w:tcPr>
            <w:tcW w:w="807" w:type="pct"/>
          </w:tcPr>
          <w:p w14:paraId="6F217A36" w14:textId="38737090" w:rsidR="007143DB" w:rsidRPr="00E842DA" w:rsidRDefault="007143D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সংক্ষিপ্ত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বিবরণ</w:t>
            </w:r>
            <w:proofErr w:type="spellEnd"/>
          </w:p>
        </w:tc>
        <w:tc>
          <w:tcPr>
            <w:tcW w:w="449" w:type="pct"/>
          </w:tcPr>
          <w:p w14:paraId="725A52E4" w14:textId="2E8C37BB" w:rsidR="007143DB" w:rsidRPr="00E842DA" w:rsidRDefault="007143D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আইডিয়াটি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কার্যকর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আছে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কি-না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/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না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থাকলে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কারণ</w:t>
            </w:r>
            <w:proofErr w:type="spellEnd"/>
          </w:p>
        </w:tc>
        <w:tc>
          <w:tcPr>
            <w:tcW w:w="418" w:type="pct"/>
          </w:tcPr>
          <w:p w14:paraId="0E2AD69D" w14:textId="212C2DFF" w:rsidR="007143DB" w:rsidRPr="00E842DA" w:rsidRDefault="007143DB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গ্রহীতাগণ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প্রত্যাশিত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ফলাফল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পাচ্ছে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কি-না</w:t>
            </w:r>
            <w:proofErr w:type="spellEnd"/>
          </w:p>
        </w:tc>
        <w:tc>
          <w:tcPr>
            <w:tcW w:w="1466" w:type="pct"/>
          </w:tcPr>
          <w:p w14:paraId="1C77FA29" w14:textId="488A91D1" w:rsidR="007143DB" w:rsidRPr="00E842DA" w:rsidRDefault="007143DB" w:rsidP="005F3ADD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লিংক</w:t>
            </w:r>
            <w:proofErr w:type="spellEnd"/>
          </w:p>
        </w:tc>
        <w:tc>
          <w:tcPr>
            <w:tcW w:w="269" w:type="pct"/>
          </w:tcPr>
          <w:p w14:paraId="0B7AA265" w14:textId="7A9E7B4B" w:rsidR="007143DB" w:rsidRPr="00E842DA" w:rsidRDefault="007143DB" w:rsidP="005F3ADD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মন্তব্য</w:t>
            </w:r>
            <w:proofErr w:type="spellEnd"/>
          </w:p>
        </w:tc>
      </w:tr>
      <w:tr w:rsidR="00C14B66" w:rsidRPr="00E842DA" w14:paraId="0DC4ADA1" w14:textId="7AB4BFAD" w:rsidTr="00DE4A2F">
        <w:trPr>
          <w:trHeight w:val="2357"/>
        </w:trPr>
        <w:tc>
          <w:tcPr>
            <w:tcW w:w="245" w:type="pct"/>
          </w:tcPr>
          <w:p w14:paraId="20051291" w14:textId="77777777" w:rsidR="00C14B66" w:rsidRPr="00E842DA" w:rsidRDefault="00C14B6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০১.</w:t>
            </w:r>
          </w:p>
        </w:tc>
        <w:tc>
          <w:tcPr>
            <w:tcW w:w="1346" w:type="pct"/>
          </w:tcPr>
          <w:p w14:paraId="16DBF771" w14:textId="77777777" w:rsidR="00E842DA" w:rsidRPr="00E842DA" w:rsidRDefault="00C14B6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স্বাস্থ্যকথা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অ্যাপস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7DA603E9" w14:textId="0FB05C8E" w:rsidR="00C14B66" w:rsidRPr="00E842DA" w:rsidRDefault="00C14B6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(০১-০১-২০১৮)</w:t>
            </w:r>
          </w:p>
        </w:tc>
        <w:tc>
          <w:tcPr>
            <w:tcW w:w="807" w:type="pct"/>
          </w:tcPr>
          <w:p w14:paraId="64F10D89" w14:textId="1005F5D8" w:rsidR="00C14B66" w:rsidRPr="00E842DA" w:rsidRDefault="00C14B6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স্বাস্থ্যকথা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অ্যাপস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মাধ্যমে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স্বাস্থ্যসেবা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। </w:t>
            </w:r>
            <w:r w:rsidRPr="00E842DA">
              <w:rPr>
                <w:rFonts w:ascii="Nikosh" w:hAnsi="Nikosh" w:cs="Nikosh"/>
                <w:color w:val="000000"/>
              </w:rPr>
              <w:t xml:space="preserve">৩২টি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শ্রম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কল্যাণ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কেন্দ্র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থেকে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শ্রমিক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ও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তার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পরিবারের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সদস্যগণ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এই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অ্যাপস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ব্যবহার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করে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স্বাস্থ্য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সেবা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গ্রহণে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করতে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পারেন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>।</w:t>
            </w:r>
          </w:p>
        </w:tc>
        <w:tc>
          <w:tcPr>
            <w:tcW w:w="449" w:type="pct"/>
          </w:tcPr>
          <w:p w14:paraId="0EA11F68" w14:textId="2F398E13" w:rsidR="00C14B66" w:rsidRPr="00E842DA" w:rsidRDefault="00C14B6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563E9C11" w14:textId="4E0C448B" w:rsidR="00C14B66" w:rsidRPr="00E842DA" w:rsidRDefault="00C14B6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46216B37" w14:textId="77777777" w:rsidR="00AC6002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4DCAC520" w14:textId="77777777" w:rsidR="00AC6002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3AF6165C" w14:textId="47AE79F0" w:rsidR="00C14B66" w:rsidRPr="00E842DA" w:rsidRDefault="00C14B66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r w:rsidRPr="00E842DA">
              <w:rPr>
                <w:rFonts w:ascii="Nikosh" w:eastAsia="Nikosh" w:hAnsi="Nikosh" w:cs="Nikosh"/>
                <w:sz w:val="22"/>
                <w:lang w:bidi="bn-BD"/>
              </w:rPr>
              <w:t>Google play store</w:t>
            </w:r>
          </w:p>
        </w:tc>
        <w:tc>
          <w:tcPr>
            <w:tcW w:w="269" w:type="pct"/>
          </w:tcPr>
          <w:p w14:paraId="032A3887" w14:textId="14AE8C59" w:rsidR="00C14B66" w:rsidRPr="00E842DA" w:rsidRDefault="00C14B6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7A5D7103" w14:textId="77777777" w:rsidTr="00DE4A2F">
        <w:tc>
          <w:tcPr>
            <w:tcW w:w="245" w:type="pct"/>
          </w:tcPr>
          <w:p w14:paraId="6C0E68EB" w14:textId="29C07BB7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০২.</w:t>
            </w:r>
          </w:p>
        </w:tc>
        <w:tc>
          <w:tcPr>
            <w:tcW w:w="1346" w:type="pct"/>
          </w:tcPr>
          <w:p w14:paraId="34D17F45" w14:textId="77777777" w:rsidR="00570D86" w:rsidRPr="00E842DA" w:rsidRDefault="00570D86" w:rsidP="00813E2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সামাজিক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সুরক্ষা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কার্যক্রমের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আধুনিকায়ন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7FDBF47B" w14:textId="640C5CAC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(০১-১১-২০২০)</w:t>
            </w:r>
          </w:p>
        </w:tc>
        <w:tc>
          <w:tcPr>
            <w:tcW w:w="807" w:type="pct"/>
          </w:tcPr>
          <w:p w14:paraId="343F0F4A" w14:textId="494C0DD2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hAnsi="Nikosh" w:cs="Nikosh"/>
                <w:sz w:val="20"/>
              </w:rPr>
              <w:t>MIS</w:t>
            </w:r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এর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মাধ্যমে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শ্রম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অধিদপ্তর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কর্তৃক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রপ্তানীমুখী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পণ্য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শিল্পে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কর্মহীন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শ্রমিকে</w:t>
            </w:r>
            <w:proofErr w:type="spellEnd"/>
            <w:r w:rsidRPr="00E842DA">
              <w:rPr>
                <w:rFonts w:ascii="Nikosh" w:hAnsi="Nikosh" w:cs="Nikosh"/>
              </w:rPr>
              <w:t xml:space="preserve">  </w:t>
            </w:r>
            <w:proofErr w:type="spellStart"/>
            <w:r w:rsidRPr="00E842DA">
              <w:rPr>
                <w:rFonts w:ascii="Nikosh" w:hAnsi="Nikosh" w:cs="Nikosh"/>
              </w:rPr>
              <w:t>তিন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মাস</w:t>
            </w:r>
            <w:proofErr w:type="spellEnd"/>
            <w:r w:rsidRPr="00E842DA">
              <w:rPr>
                <w:rFonts w:ascii="Nikosh" w:hAnsi="Nikosh" w:cs="Nikosh"/>
              </w:rPr>
              <w:t xml:space="preserve"> ৩০০০/- </w:t>
            </w:r>
            <w:proofErr w:type="spellStart"/>
            <w:r w:rsidRPr="00E842DA">
              <w:rPr>
                <w:rFonts w:ascii="Nikosh" w:hAnsi="Nikosh" w:cs="Nikosh"/>
              </w:rPr>
              <w:t>টাকা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হারে</w:t>
            </w:r>
            <w:proofErr w:type="spellEnd"/>
            <w:r w:rsidRPr="00E842DA">
              <w:rPr>
                <w:rFonts w:ascii="Nikosh" w:hAnsi="Nikosh" w:cs="Nikosh"/>
              </w:rPr>
              <w:t xml:space="preserve"> ৯০০০/- </w:t>
            </w:r>
            <w:proofErr w:type="spellStart"/>
            <w:r w:rsidRPr="00E842DA">
              <w:rPr>
                <w:rFonts w:ascii="Nikosh" w:hAnsi="Nikosh" w:cs="Nikosh"/>
              </w:rPr>
              <w:t>টাকা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আর্থিক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সহায়তা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প্রদান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করা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হয়</w:t>
            </w:r>
            <w:proofErr w:type="spellEnd"/>
            <w:r w:rsidRPr="00E842DA">
              <w:rPr>
                <w:rFonts w:ascii="Nikosh" w:hAnsi="Nikosh" w:cs="Nikosh"/>
              </w:rPr>
              <w:t>।</w:t>
            </w:r>
          </w:p>
        </w:tc>
        <w:tc>
          <w:tcPr>
            <w:tcW w:w="449" w:type="pct"/>
          </w:tcPr>
          <w:p w14:paraId="723A666B" w14:textId="05BB1B3E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4577FD39" w14:textId="7610C6DA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1909B673" w14:textId="6A8894FF" w:rsidR="00AC6002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hyperlink r:id="rId7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https://spmis.dol.gov.bd/</w:t>
              </w:r>
            </w:hyperlink>
          </w:p>
          <w:p w14:paraId="1E6B138B" w14:textId="77777777" w:rsidR="00AC6002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69E571B4" w14:textId="77777777" w:rsidR="00AC6002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273A5232" w14:textId="7CA99546" w:rsidR="00AC6002" w:rsidRPr="00E842DA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036FFD84" w14:textId="77777777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6867BD3D" w14:textId="77777777" w:rsidTr="00DE4A2F">
        <w:tc>
          <w:tcPr>
            <w:tcW w:w="245" w:type="pct"/>
          </w:tcPr>
          <w:p w14:paraId="5BBA8EB7" w14:textId="5856F265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০৩.</w:t>
            </w:r>
          </w:p>
        </w:tc>
        <w:tc>
          <w:tcPr>
            <w:tcW w:w="1346" w:type="pct"/>
          </w:tcPr>
          <w:p w14:paraId="7BDB7765" w14:textId="77777777" w:rsidR="00E842DA" w:rsidRPr="00E842DA" w:rsidRDefault="00570D86" w:rsidP="00813E2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পাবলিকলি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এক্সেসিবল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ডাটাবেইজ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1F01F426" w14:textId="2D80464B" w:rsidR="00570D86" w:rsidRPr="00E842DA" w:rsidRDefault="00570D86" w:rsidP="00813E2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(৩০-০৯-২০২১)</w:t>
            </w:r>
          </w:p>
        </w:tc>
        <w:tc>
          <w:tcPr>
            <w:tcW w:w="807" w:type="pct"/>
          </w:tcPr>
          <w:p w14:paraId="29001E56" w14:textId="063344A8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hAnsi="Nikosh" w:cs="Nikosh"/>
              </w:rPr>
            </w:pPr>
            <w:proofErr w:type="spellStart"/>
            <w:r w:rsidRPr="00E842DA">
              <w:rPr>
                <w:rFonts w:ascii="Nikosh" w:hAnsi="Nikosh" w:cs="Nikosh"/>
              </w:rPr>
              <w:t>শ্রম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অধিদপ্তরের</w:t>
            </w:r>
            <w:proofErr w:type="spellEnd"/>
            <w:r w:rsidRPr="00E842DA">
              <w:rPr>
                <w:rFonts w:ascii="Nikosh" w:hAnsi="Nikosh" w:cs="Nikosh"/>
              </w:rPr>
              <w:t> </w:t>
            </w:r>
            <w:proofErr w:type="spellStart"/>
            <w:r w:rsidRPr="00E842DA">
              <w:rPr>
                <w:rFonts w:ascii="Nikosh" w:hAnsi="Nikosh" w:cs="Nikosh"/>
              </w:rPr>
              <w:t>ট্রেড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ইউনিয়ন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সম্পর্কিত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সহজে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প্রাপ্তিযোগ্য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করতে</w:t>
            </w:r>
            <w:proofErr w:type="spellEnd"/>
            <w:r w:rsidRPr="00E842DA">
              <w:rPr>
                <w:rFonts w:ascii="Nikosh" w:hAnsi="Nikosh" w:cs="Nikosh"/>
              </w:rPr>
              <w:t> </w:t>
            </w:r>
            <w:proofErr w:type="spellStart"/>
            <w:r w:rsidRPr="00E842DA">
              <w:rPr>
                <w:rFonts w:ascii="Nikosh" w:hAnsi="Nikosh" w:cs="Nikosh"/>
              </w:rPr>
              <w:t>পাবলিকলি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lastRenderedPageBreak/>
              <w:t>এক্সেসিবল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ডাটাবেইজ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চালু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করা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হয়েছে</w:t>
            </w:r>
            <w:proofErr w:type="spellEnd"/>
            <w:r w:rsidRPr="00E842DA">
              <w:rPr>
                <w:rFonts w:ascii="Nikosh" w:hAnsi="Nikosh" w:cs="Nikosh"/>
              </w:rPr>
              <w:t xml:space="preserve">। </w:t>
            </w:r>
            <w:proofErr w:type="spellStart"/>
            <w:r w:rsidRPr="00E842DA">
              <w:rPr>
                <w:rFonts w:ascii="Nikosh" w:hAnsi="Nikosh" w:cs="Nikosh"/>
              </w:rPr>
              <w:t>উক্ত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ডাটাবেইজটিতে</w:t>
            </w:r>
            <w:proofErr w:type="spellEnd"/>
            <w:r w:rsidRPr="00E842DA">
              <w:rPr>
                <w:rFonts w:ascii="Nikosh" w:hAnsi="Nikosh" w:cs="Nikosh"/>
              </w:rPr>
              <w:t xml:space="preserve"> ১. </w:t>
            </w:r>
            <w:proofErr w:type="spellStart"/>
            <w:r w:rsidRPr="00E842DA">
              <w:rPr>
                <w:rFonts w:ascii="Nikosh" w:hAnsi="Nikosh" w:cs="Nikosh"/>
              </w:rPr>
              <w:t>ট্রেড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ইউনিয়ন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নিবন্ধন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২. </w:t>
            </w:r>
            <w:proofErr w:type="spellStart"/>
            <w:r w:rsidRPr="00E842DA">
              <w:rPr>
                <w:rFonts w:ascii="Nikosh" w:hAnsi="Nikosh" w:cs="Nikosh"/>
              </w:rPr>
              <w:t>ট্রেড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ইউনিয়ন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প্রত্যাখ্যান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৩. </w:t>
            </w:r>
            <w:proofErr w:type="spellStart"/>
            <w:r w:rsidRPr="00E842DA">
              <w:rPr>
                <w:rFonts w:ascii="Nikosh" w:hAnsi="Nikosh" w:cs="Nikosh"/>
              </w:rPr>
              <w:t>সেক্টর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ভিত্তিক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ফেডারেশন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নিবন্ধন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৪. </w:t>
            </w:r>
            <w:proofErr w:type="spellStart"/>
            <w:r w:rsidRPr="00E842DA">
              <w:rPr>
                <w:rFonts w:ascii="Nikosh" w:hAnsi="Nikosh" w:cs="Nikosh"/>
              </w:rPr>
              <w:t>জাতীয়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ফেডারেশন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৫. </w:t>
            </w:r>
            <w:proofErr w:type="spellStart"/>
            <w:r w:rsidRPr="00E842DA">
              <w:rPr>
                <w:rFonts w:ascii="Nikosh" w:hAnsi="Nikosh" w:cs="Nikosh"/>
              </w:rPr>
              <w:t>কনফেডারেশন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নিবন্ধন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৬. </w:t>
            </w:r>
            <w:proofErr w:type="spellStart"/>
            <w:r w:rsidRPr="00E842DA">
              <w:rPr>
                <w:rFonts w:ascii="Nikosh" w:hAnsi="Nikosh" w:cs="Nikosh"/>
              </w:rPr>
              <w:t>ট্রেড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ইউনিয়ন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মামলা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৭. </w:t>
            </w:r>
            <w:proofErr w:type="spellStart"/>
            <w:r w:rsidRPr="00E842DA">
              <w:rPr>
                <w:rFonts w:ascii="Nikosh" w:hAnsi="Nikosh" w:cs="Nikosh"/>
              </w:rPr>
              <w:t>সালিশী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৮. </w:t>
            </w:r>
            <w:proofErr w:type="spellStart"/>
            <w:r w:rsidRPr="00E842DA">
              <w:rPr>
                <w:rFonts w:ascii="Nikosh" w:hAnsi="Nikosh" w:cs="Nikosh"/>
              </w:rPr>
              <w:t>সিবিএ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নির্বাচন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৯. </w:t>
            </w:r>
            <w:proofErr w:type="spellStart"/>
            <w:r w:rsidRPr="00E842DA">
              <w:rPr>
                <w:rFonts w:ascii="Nikosh" w:hAnsi="Nikosh" w:cs="Nikosh"/>
              </w:rPr>
              <w:t>অস</w:t>
            </w:r>
            <w:proofErr w:type="spellEnd"/>
            <w:r w:rsidRPr="00E842DA">
              <w:rPr>
                <w:rFonts w:ascii="Nikosh" w:hAnsi="Nikosh" w:cs="Nikosh"/>
              </w:rPr>
              <w:t xml:space="preserve">ৎ </w:t>
            </w:r>
            <w:proofErr w:type="spellStart"/>
            <w:r w:rsidRPr="00E842DA">
              <w:rPr>
                <w:rFonts w:ascii="Nikosh" w:hAnsi="Nikosh" w:cs="Nikosh"/>
              </w:rPr>
              <w:t>শ্রম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আচরণ</w:t>
            </w:r>
            <w:proofErr w:type="spellEnd"/>
            <w:r w:rsidRPr="00E842DA">
              <w:rPr>
                <w:rFonts w:ascii="Nikosh" w:hAnsi="Nikosh" w:cs="Nikosh"/>
              </w:rPr>
              <w:t>/</w:t>
            </w:r>
            <w:proofErr w:type="spellStart"/>
            <w:r w:rsidRPr="00E842DA">
              <w:rPr>
                <w:rFonts w:ascii="Nikosh" w:hAnsi="Nikosh" w:cs="Nikosh"/>
              </w:rPr>
              <w:t>এন্টি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ইউনিয়ন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ডিস্ক্রিমিনেশন</w:t>
            </w:r>
            <w:proofErr w:type="spellEnd"/>
            <w:r w:rsidRPr="00E842DA">
              <w:rPr>
                <w:rFonts w:ascii="Nikosh" w:hAnsi="Nikosh" w:cs="Nikosh"/>
              </w:rPr>
              <w:t xml:space="preserve">, ১০. </w:t>
            </w:r>
            <w:proofErr w:type="spellStart"/>
            <w:r w:rsidRPr="00E842DA">
              <w:rPr>
                <w:rFonts w:ascii="Nikosh" w:hAnsi="Nikosh" w:cs="Nikosh"/>
              </w:rPr>
              <w:t>অংশগ্রহণকারী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কমিটি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 xml:space="preserve">, ১১. </w:t>
            </w:r>
            <w:proofErr w:type="spellStart"/>
            <w:r w:rsidRPr="00E842DA">
              <w:rPr>
                <w:rFonts w:ascii="Nikosh" w:hAnsi="Nikosh" w:cs="Nikosh"/>
              </w:rPr>
              <w:t>নথিজাত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সংক্রান্ত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তথ্য</w:t>
            </w:r>
            <w:proofErr w:type="spellEnd"/>
            <w:r w:rsidRPr="00E842DA">
              <w:rPr>
                <w:rFonts w:ascii="Nikosh" w:hAnsi="Nikosh" w:cs="Nikosh"/>
              </w:rPr>
              <w:t>।</w:t>
            </w:r>
          </w:p>
        </w:tc>
        <w:tc>
          <w:tcPr>
            <w:tcW w:w="449" w:type="pct"/>
          </w:tcPr>
          <w:p w14:paraId="04989C7E" w14:textId="77DD8FA2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lastRenderedPageBreak/>
              <w:t>হ্যাঁ</w:t>
            </w:r>
            <w:proofErr w:type="spellEnd"/>
          </w:p>
        </w:tc>
        <w:tc>
          <w:tcPr>
            <w:tcW w:w="418" w:type="pct"/>
          </w:tcPr>
          <w:p w14:paraId="6DB839AE" w14:textId="09DC394F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5F00A345" w14:textId="2FC4728B" w:rsidR="00570D86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hyperlink r:id="rId8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http://www.dol.gov.bd/forms/form/feedback/-</w:t>
              </w:r>
            </w:hyperlink>
          </w:p>
          <w:p w14:paraId="4F89B2FC" w14:textId="608F3E20" w:rsidR="00AC6002" w:rsidRPr="00E842DA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70A4413D" w14:textId="77777777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666F8936" w14:textId="05C73D15" w:rsidTr="00DE4A2F">
        <w:trPr>
          <w:trHeight w:val="1502"/>
        </w:trPr>
        <w:tc>
          <w:tcPr>
            <w:tcW w:w="245" w:type="pct"/>
          </w:tcPr>
          <w:p w14:paraId="4D45A3AC" w14:textId="75B6E181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lastRenderedPageBreak/>
              <w:t>০৪.</w:t>
            </w:r>
          </w:p>
        </w:tc>
        <w:tc>
          <w:tcPr>
            <w:tcW w:w="1346" w:type="pct"/>
          </w:tcPr>
          <w:p w14:paraId="2D15749A" w14:textId="77777777" w:rsidR="00E842DA" w:rsidRPr="00E842DA" w:rsidRDefault="00570D86" w:rsidP="00B86AC3">
            <w:pPr>
              <w:spacing w:after="200" w:line="276" w:lineRule="auto"/>
              <w:jc w:val="both"/>
              <w:rPr>
                <w:rFonts w:ascii="Nikosh" w:eastAsia="Nikosh" w:hAnsi="Nikosh" w:cs="Nikosh"/>
                <w:sz w:val="20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Online Requisition and Inventory Management System </w:t>
            </w:r>
          </w:p>
          <w:p w14:paraId="03A4E171" w14:textId="2B270B1E" w:rsidR="00570D86" w:rsidRPr="00E842DA" w:rsidRDefault="00570D86" w:rsidP="00B86AC3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(০১-০৬-২০২২)</w:t>
            </w:r>
          </w:p>
        </w:tc>
        <w:tc>
          <w:tcPr>
            <w:tcW w:w="807" w:type="pct"/>
          </w:tcPr>
          <w:p w14:paraId="67696B5D" w14:textId="329AC2D6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অধিদপ্তরের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কর্মকর্তা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কর্মচারী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দাপ্তরিক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প্রয়োজনে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পণ্যের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চাহিদা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সহজে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। </w:t>
            </w:r>
          </w:p>
        </w:tc>
        <w:tc>
          <w:tcPr>
            <w:tcW w:w="449" w:type="pct"/>
          </w:tcPr>
          <w:p w14:paraId="5248BB48" w14:textId="2B695C1D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4B459398" w14:textId="03FF9D67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14C8F5AC" w14:textId="2BE44E62" w:rsidR="00570D86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  <w:hyperlink r:id="rId9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https://labour.orionisbd.com/</w:t>
              </w:r>
            </w:hyperlink>
          </w:p>
          <w:p w14:paraId="473C1146" w14:textId="00463C3B" w:rsidR="00AC6002" w:rsidRPr="00E842DA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477EFE49" w14:textId="074AF000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17A338EB" w14:textId="77777777" w:rsidTr="00DE4A2F">
        <w:tc>
          <w:tcPr>
            <w:tcW w:w="245" w:type="pct"/>
          </w:tcPr>
          <w:p w14:paraId="40EB3D97" w14:textId="03F60063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০৫.</w:t>
            </w:r>
          </w:p>
        </w:tc>
        <w:tc>
          <w:tcPr>
            <w:tcW w:w="1346" w:type="pct"/>
          </w:tcPr>
          <w:p w14:paraId="13E24934" w14:textId="77777777" w:rsidR="00E842DA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গ্রন্থাগারে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রিপ্রোগ্রাফী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1BA68E7E" w14:textId="6B1F186B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(০৫-০৫-২০২২)</w:t>
            </w:r>
          </w:p>
        </w:tc>
        <w:tc>
          <w:tcPr>
            <w:tcW w:w="807" w:type="pct"/>
          </w:tcPr>
          <w:p w14:paraId="5FB539EF" w14:textId="30F12F6F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গ্রন্থাগারের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দুর্লভ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পুস্তকসমূহের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রিপ্রোগ্রাফী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(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কপি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)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। </w:t>
            </w:r>
            <w:r w:rsidRPr="00E842DA">
              <w:rPr>
                <w:rFonts w:ascii="Nikosh" w:hAnsi="Nikosh" w:cs="Nikosh"/>
                <w:color w:val="000000"/>
              </w:rPr>
              <w:t xml:space="preserve">০৪টি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শিল্প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সম্পর্ক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শিক্ষায়তনে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শ্রমিকগন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এসে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এই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সেবা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গ্রহণ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  <w:color w:val="000000"/>
              </w:rPr>
              <w:t>করেন</w:t>
            </w:r>
            <w:proofErr w:type="spellEnd"/>
            <w:r w:rsidRPr="00E842DA">
              <w:rPr>
                <w:rFonts w:ascii="Nikosh" w:hAnsi="Nikosh" w:cs="Nikosh"/>
                <w:color w:val="000000"/>
              </w:rPr>
              <w:t>।</w:t>
            </w:r>
          </w:p>
        </w:tc>
        <w:tc>
          <w:tcPr>
            <w:tcW w:w="449" w:type="pct"/>
          </w:tcPr>
          <w:p w14:paraId="467C6E93" w14:textId="66DAF7C6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2EAAD4B2" w14:textId="7960676E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6AAE7B97" w14:textId="525B03A4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42C84245" w14:textId="60E5F648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2C5F62F3" w14:textId="77777777" w:rsidTr="00DE4A2F">
        <w:tc>
          <w:tcPr>
            <w:tcW w:w="245" w:type="pct"/>
          </w:tcPr>
          <w:p w14:paraId="0693719C" w14:textId="0F798672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lastRenderedPageBreak/>
              <w:t>০৬.</w:t>
            </w:r>
          </w:p>
        </w:tc>
        <w:tc>
          <w:tcPr>
            <w:tcW w:w="1346" w:type="pct"/>
          </w:tcPr>
          <w:p w14:paraId="22F8BA7B" w14:textId="77777777" w:rsidR="00E842DA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প্রশিক্ষণ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কোর্স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সমূহের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ই-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সার্টিফিকেট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প্রবর্তন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617A202C" w14:textId="3B16D308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(০১-০১-২০২২)</w:t>
            </w:r>
          </w:p>
        </w:tc>
        <w:tc>
          <w:tcPr>
            <w:tcW w:w="807" w:type="pct"/>
          </w:tcPr>
          <w:p w14:paraId="25312229" w14:textId="1123D08B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শিক্ষা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সম্পর্ক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কোর্সসমূহে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অংশগ্রহণকারী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প্রশিক্ষণার্থীগণকে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ই-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সার্টিফিকেট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।</w:t>
            </w:r>
          </w:p>
        </w:tc>
        <w:tc>
          <w:tcPr>
            <w:tcW w:w="449" w:type="pct"/>
          </w:tcPr>
          <w:p w14:paraId="68F84121" w14:textId="26041008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16E77EB6" w14:textId="04E7CAD7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709FE1FC" w14:textId="766D30A1" w:rsidR="00570D86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  <w:hyperlink r:id="rId10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https://lw.orionisbd.com/</w:t>
              </w:r>
            </w:hyperlink>
          </w:p>
          <w:p w14:paraId="49F4B8ED" w14:textId="4B5D5BF8" w:rsidR="00AC6002" w:rsidRPr="00E842DA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4C672766" w14:textId="71261087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40FA7C3D" w14:textId="77777777" w:rsidTr="00DE4A2F">
        <w:tc>
          <w:tcPr>
            <w:tcW w:w="245" w:type="pct"/>
          </w:tcPr>
          <w:p w14:paraId="5B24A9DA" w14:textId="4DA1117C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০৭.</w:t>
            </w:r>
          </w:p>
        </w:tc>
        <w:tc>
          <w:tcPr>
            <w:tcW w:w="1346" w:type="pct"/>
          </w:tcPr>
          <w:p w14:paraId="75AAA548" w14:textId="77777777" w:rsidR="00E842DA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0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Online Trade Union </w:t>
            </w:r>
            <w:proofErr w:type="spellStart"/>
            <w:r w:rsidRPr="00E842DA">
              <w:rPr>
                <w:rFonts w:ascii="Nikosh" w:eastAsia="Nikosh" w:hAnsi="Nikosh" w:cs="Nikosh"/>
                <w:sz w:val="20"/>
                <w:lang w:bidi="bn-BD"/>
              </w:rPr>
              <w:t>Ragistration</w:t>
            </w:r>
            <w:proofErr w:type="spellEnd"/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 System </w:t>
            </w:r>
          </w:p>
          <w:p w14:paraId="2894EE75" w14:textId="2E93B105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(০১-১০-২০২২)</w:t>
            </w:r>
          </w:p>
        </w:tc>
        <w:tc>
          <w:tcPr>
            <w:tcW w:w="807" w:type="pct"/>
          </w:tcPr>
          <w:p w14:paraId="748CC54F" w14:textId="708DF0DC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hAnsi="Nikosh" w:cs="Nikosh"/>
              </w:rPr>
              <w:t>শ্রমিক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কর্মচারীগণ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অনলাইনে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ট্রেড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ইউনিয়ন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রেজিস্ট্রেশনের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জন্য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আবেদন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দাখিল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করতে</w:t>
            </w:r>
            <w:proofErr w:type="spellEnd"/>
            <w:r w:rsidRPr="00E842DA">
              <w:rPr>
                <w:rFonts w:ascii="Nikosh" w:hAnsi="Nikosh" w:cs="Nikosh"/>
              </w:rPr>
              <w:t xml:space="preserve"> </w:t>
            </w:r>
            <w:proofErr w:type="spellStart"/>
            <w:r w:rsidRPr="00E842DA">
              <w:rPr>
                <w:rFonts w:ascii="Nikosh" w:hAnsi="Nikosh" w:cs="Nikosh"/>
              </w:rPr>
              <w:t>পারবেন</w:t>
            </w:r>
            <w:proofErr w:type="spellEnd"/>
            <w:r w:rsidRPr="00E842DA">
              <w:rPr>
                <w:rFonts w:ascii="Nikosh" w:hAnsi="Nikosh" w:cs="Nikosh"/>
              </w:rPr>
              <w:t>। </w:t>
            </w:r>
          </w:p>
        </w:tc>
        <w:tc>
          <w:tcPr>
            <w:tcW w:w="449" w:type="pct"/>
          </w:tcPr>
          <w:p w14:paraId="577A5A7D" w14:textId="39D65638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0BEE51BE" w14:textId="6EB66A1F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55EF8680" w14:textId="795A57E2" w:rsidR="00570D86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hyperlink r:id="rId11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https://www.mygov.bd</w:t>
              </w:r>
            </w:hyperlink>
          </w:p>
          <w:p w14:paraId="50C2A1D1" w14:textId="671227E9" w:rsidR="00AC6002" w:rsidRPr="00E842DA" w:rsidRDefault="00AC6002" w:rsidP="00570D86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55C6A6D1" w14:textId="567C44EB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  <w:tr w:rsidR="00570D86" w:rsidRPr="00E842DA" w14:paraId="1E43C5FD" w14:textId="77777777" w:rsidTr="00DE4A2F">
        <w:tc>
          <w:tcPr>
            <w:tcW w:w="245" w:type="pct"/>
          </w:tcPr>
          <w:p w14:paraId="4385B4F5" w14:textId="696C2D82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০৮.</w:t>
            </w:r>
          </w:p>
        </w:tc>
        <w:tc>
          <w:tcPr>
            <w:tcW w:w="1346" w:type="pct"/>
          </w:tcPr>
          <w:p w14:paraId="72FADC03" w14:textId="77777777" w:rsidR="00E842DA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0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LWC Health Management System </w:t>
            </w:r>
          </w:p>
          <w:p w14:paraId="7B7C0433" w14:textId="1CD75F12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(০৩-০৫-২০২৩)</w:t>
            </w:r>
          </w:p>
        </w:tc>
        <w:tc>
          <w:tcPr>
            <w:tcW w:w="807" w:type="pct"/>
          </w:tcPr>
          <w:p w14:paraId="5FBA2517" w14:textId="395208A6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LWC Health Management System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মাধ্যমে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অধিদপ্তরের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অধীন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 ৩২টি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কল্যাণ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কেন্দ্র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হতে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একযোগে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শ্রমিকদের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স্বাস্থ্য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অল্পসময়ে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সঠিক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উপায়ে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এবং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ঔষধ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ক্ষেত্রে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‍Standard Operating procedure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হিসেবে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কাজ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করবে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।</w:t>
            </w:r>
          </w:p>
        </w:tc>
        <w:tc>
          <w:tcPr>
            <w:tcW w:w="449" w:type="pct"/>
          </w:tcPr>
          <w:p w14:paraId="032DDA45" w14:textId="1B228E97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418" w:type="pct"/>
          </w:tcPr>
          <w:p w14:paraId="111B46A9" w14:textId="17C4F8DF" w:rsidR="00570D86" w:rsidRPr="00E842DA" w:rsidRDefault="00570D86" w:rsidP="002D7C50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হ্যাঁ</w:t>
            </w:r>
            <w:proofErr w:type="spellEnd"/>
          </w:p>
        </w:tc>
        <w:tc>
          <w:tcPr>
            <w:tcW w:w="1466" w:type="pct"/>
          </w:tcPr>
          <w:p w14:paraId="506DD76A" w14:textId="55D9141E" w:rsidR="00AC6002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  <w:hyperlink r:id="rId12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http://health.imtiaz.xyz/cgi-sys/suspendedpage.cgi</w:t>
              </w:r>
            </w:hyperlink>
          </w:p>
          <w:p w14:paraId="204B0AFA" w14:textId="77777777" w:rsidR="00AC6002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5E7280B6" w14:textId="0E941AF0" w:rsidR="00AC6002" w:rsidRPr="00E842DA" w:rsidRDefault="00AC6002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  <w:tc>
          <w:tcPr>
            <w:tcW w:w="269" w:type="pct"/>
          </w:tcPr>
          <w:p w14:paraId="69C0A340" w14:textId="1D5D081D" w:rsidR="00570D86" w:rsidRPr="00E842DA" w:rsidRDefault="00570D86" w:rsidP="008D3E00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</w:tr>
    </w:tbl>
    <w:p w14:paraId="10AFBF33" w14:textId="36A885E2" w:rsidR="00AC6002" w:rsidRDefault="00AC6002" w:rsidP="008D3E00">
      <w:pPr>
        <w:spacing w:after="200" w:line="276" w:lineRule="auto"/>
        <w:jc w:val="both"/>
        <w:rPr>
          <w:rFonts w:ascii="Nikosh" w:eastAsia="Nikosh" w:hAnsi="Nikosh" w:cs="Nikosh"/>
          <w:lang w:bidi="bn-BD"/>
        </w:rPr>
      </w:pPr>
    </w:p>
    <w:p w14:paraId="7A250FFB" w14:textId="77777777" w:rsidR="00AC6002" w:rsidRDefault="00AC6002">
      <w:pPr>
        <w:spacing w:after="200" w:line="276" w:lineRule="auto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lang w:bidi="bn-BD"/>
        </w:rPr>
        <w:br w:type="page"/>
      </w:r>
    </w:p>
    <w:tbl>
      <w:tblPr>
        <w:tblStyle w:val="TableGrid"/>
        <w:tblW w:w="4104" w:type="pct"/>
        <w:tblLayout w:type="fixed"/>
        <w:tblLook w:val="04A0" w:firstRow="1" w:lastRow="0" w:firstColumn="1" w:lastColumn="0" w:noHBand="0" w:noVBand="1"/>
      </w:tblPr>
      <w:tblGrid>
        <w:gridCol w:w="740"/>
        <w:gridCol w:w="4052"/>
        <w:gridCol w:w="2429"/>
        <w:gridCol w:w="4410"/>
      </w:tblGrid>
      <w:tr w:rsidR="00AC6002" w:rsidRPr="00E842DA" w14:paraId="0AD01723" w14:textId="77777777" w:rsidTr="00AC6002">
        <w:tc>
          <w:tcPr>
            <w:tcW w:w="318" w:type="pct"/>
          </w:tcPr>
          <w:p w14:paraId="7AE30B10" w14:textId="466424A8" w:rsidR="00AC6002" w:rsidRPr="00E842DA" w:rsidRDefault="00AC6002" w:rsidP="00F854C1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bookmarkStart w:id="0" w:name="_GoBack"/>
          </w:p>
        </w:tc>
        <w:tc>
          <w:tcPr>
            <w:tcW w:w="1742" w:type="pct"/>
          </w:tcPr>
          <w:p w14:paraId="732C60D1" w14:textId="1A3034BE" w:rsidR="00AC6002" w:rsidRPr="00E842DA" w:rsidRDefault="00AC6002" w:rsidP="00F854C1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088B2372" w14:textId="14624CFD" w:rsidR="00AC6002" w:rsidRPr="00E842DA" w:rsidRDefault="00AC6002" w:rsidP="00F854C1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051B0066" w14:textId="0A665F4A" w:rsidR="00AC6002" w:rsidRPr="00E842DA" w:rsidRDefault="00AC6002" w:rsidP="00F854C1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</w:p>
        </w:tc>
      </w:tr>
      <w:tr w:rsidR="00AC6002" w:rsidRPr="00E842DA" w14:paraId="3BF1D2A8" w14:textId="77777777" w:rsidTr="00AC6002">
        <w:trPr>
          <w:trHeight w:val="1628"/>
        </w:trPr>
        <w:tc>
          <w:tcPr>
            <w:tcW w:w="318" w:type="pct"/>
          </w:tcPr>
          <w:p w14:paraId="6C144BFD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ক্রমিক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নং</w:t>
            </w:r>
            <w:proofErr w:type="spellEnd"/>
          </w:p>
        </w:tc>
        <w:tc>
          <w:tcPr>
            <w:tcW w:w="1742" w:type="pct"/>
          </w:tcPr>
          <w:p w14:paraId="61B4248A" w14:textId="79A7E8CA" w:rsidR="00AC6002" w:rsidRPr="00E842DA" w:rsidRDefault="00AC6002" w:rsidP="00AC6002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উদ্ভাবনী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ধারণা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,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সহজিকৃত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ও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ডিজিটাইজকৃত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সেবা্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>/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আইডিয়ার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নাম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</w:tc>
        <w:tc>
          <w:tcPr>
            <w:tcW w:w="1044" w:type="pct"/>
          </w:tcPr>
          <w:p w14:paraId="56EAB718" w14:textId="4F3A7D2C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lang w:bidi="bn-BD"/>
              </w:rPr>
              <w:t>ধরণ</w:t>
            </w:r>
            <w:proofErr w:type="spellEnd"/>
          </w:p>
        </w:tc>
        <w:tc>
          <w:tcPr>
            <w:tcW w:w="1896" w:type="pct"/>
          </w:tcPr>
          <w:p w14:paraId="36C138DE" w14:textId="77777777" w:rsidR="00AC6002" w:rsidRPr="00E842DA" w:rsidRDefault="00AC6002" w:rsidP="00F854C1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লিংক</w:t>
            </w:r>
            <w:proofErr w:type="spellEnd"/>
          </w:p>
        </w:tc>
      </w:tr>
      <w:tr w:rsidR="00AC6002" w:rsidRPr="00E842DA" w14:paraId="2F168B2F" w14:textId="77777777" w:rsidTr="00AC6002">
        <w:trPr>
          <w:trHeight w:val="512"/>
        </w:trPr>
        <w:tc>
          <w:tcPr>
            <w:tcW w:w="318" w:type="pct"/>
          </w:tcPr>
          <w:p w14:paraId="1F1B8103" w14:textId="104CBECD" w:rsidR="00AC6002" w:rsidRPr="00E842DA" w:rsidRDefault="00AC6002" w:rsidP="00AC6002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০১</w:t>
            </w:r>
          </w:p>
        </w:tc>
        <w:tc>
          <w:tcPr>
            <w:tcW w:w="1742" w:type="pct"/>
          </w:tcPr>
          <w:p w14:paraId="7D3105BC" w14:textId="6B40740B" w:rsidR="00AC6002" w:rsidRPr="00E842DA" w:rsidRDefault="00AC6002" w:rsidP="00AC6002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</w:t>
            </w:r>
            <w:r w:rsidRPr="00E842DA">
              <w:rPr>
                <w:rFonts w:ascii="Nikosh" w:eastAsia="Nikosh" w:hAnsi="Nikosh" w:cs="Nikosh"/>
                <w:lang w:bidi="bn-BD"/>
              </w:rPr>
              <w:t>২</w:t>
            </w:r>
          </w:p>
        </w:tc>
        <w:tc>
          <w:tcPr>
            <w:tcW w:w="1044" w:type="pct"/>
          </w:tcPr>
          <w:p w14:paraId="5CB5FF99" w14:textId="22B0C555" w:rsidR="00AC6002" w:rsidRPr="00E842DA" w:rsidRDefault="00AC6002" w:rsidP="00AC6002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</w:t>
            </w:r>
            <w:r w:rsidRPr="00E842DA">
              <w:rPr>
                <w:rFonts w:ascii="Nikosh" w:eastAsia="Nikosh" w:hAnsi="Nikosh" w:cs="Nikosh"/>
                <w:lang w:bidi="bn-BD"/>
              </w:rPr>
              <w:t>৩</w:t>
            </w:r>
          </w:p>
        </w:tc>
        <w:tc>
          <w:tcPr>
            <w:tcW w:w="1896" w:type="pct"/>
          </w:tcPr>
          <w:p w14:paraId="4D1B65A0" w14:textId="728F009A" w:rsidR="00AC6002" w:rsidRPr="00E842DA" w:rsidRDefault="00AC6002" w:rsidP="00AC6002">
            <w:pPr>
              <w:spacing w:after="200" w:line="276" w:lineRule="auto"/>
              <w:jc w:val="center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০৪</w:t>
            </w:r>
          </w:p>
        </w:tc>
      </w:tr>
      <w:tr w:rsidR="00AC6002" w:rsidRPr="00E842DA" w14:paraId="12221ADD" w14:textId="77777777" w:rsidTr="00AC6002">
        <w:trPr>
          <w:trHeight w:val="2357"/>
        </w:trPr>
        <w:tc>
          <w:tcPr>
            <w:tcW w:w="318" w:type="pct"/>
          </w:tcPr>
          <w:p w14:paraId="472B4B7A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০১.</w:t>
            </w:r>
          </w:p>
        </w:tc>
        <w:tc>
          <w:tcPr>
            <w:tcW w:w="1742" w:type="pct"/>
          </w:tcPr>
          <w:p w14:paraId="62FB55FE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স্বাস্থ্যকথা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অ্যাপস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5F1EE6D6" w14:textId="399A7502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3F8A795B" w14:textId="0D84765E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00EB273B" w14:textId="77777777" w:rsidR="00AC6002" w:rsidRPr="00E842DA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r w:rsidRPr="00E842DA">
              <w:rPr>
                <w:rFonts w:ascii="Nikosh" w:eastAsia="Nikosh" w:hAnsi="Nikosh" w:cs="Nikosh"/>
                <w:sz w:val="22"/>
                <w:lang w:bidi="bn-BD"/>
              </w:rPr>
              <w:t>Google play store</w:t>
            </w:r>
          </w:p>
        </w:tc>
      </w:tr>
      <w:tr w:rsidR="00AC6002" w:rsidRPr="00E842DA" w14:paraId="7F2849D0" w14:textId="77777777" w:rsidTr="00AC6002">
        <w:tc>
          <w:tcPr>
            <w:tcW w:w="318" w:type="pct"/>
          </w:tcPr>
          <w:p w14:paraId="416D4D34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০২.</w:t>
            </w:r>
          </w:p>
        </w:tc>
        <w:tc>
          <w:tcPr>
            <w:tcW w:w="1742" w:type="pct"/>
          </w:tcPr>
          <w:p w14:paraId="19379138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সামাজিক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সুরক্ষা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কার্যক্রমের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আধুনিকায়ন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03CAD635" w14:textId="7587AFA8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17885FF6" w14:textId="2DBDB3B0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0312A9C1" w14:textId="77777777" w:rsidR="00AC6002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hyperlink r:id="rId13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https://spmis.dol.gov.bd/</w:t>
              </w:r>
            </w:hyperlink>
          </w:p>
          <w:p w14:paraId="7E0705B6" w14:textId="77777777" w:rsidR="00AC6002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6E730496" w14:textId="77777777" w:rsidR="00AC6002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4D83EDCB" w14:textId="77777777" w:rsidR="00AC6002" w:rsidRPr="00E842DA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tr w:rsidR="00AC6002" w:rsidRPr="00E842DA" w14:paraId="087721B1" w14:textId="77777777" w:rsidTr="00AC6002">
        <w:tc>
          <w:tcPr>
            <w:tcW w:w="318" w:type="pct"/>
          </w:tcPr>
          <w:p w14:paraId="47A49C89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০৩.</w:t>
            </w:r>
          </w:p>
        </w:tc>
        <w:tc>
          <w:tcPr>
            <w:tcW w:w="1742" w:type="pct"/>
          </w:tcPr>
          <w:p w14:paraId="111603DF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পাবলিকলি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এক্সেসিবল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ডাটাবেইজ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149F3C29" w14:textId="716AA961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3BD3A293" w14:textId="61A341F9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896" w:type="pct"/>
          </w:tcPr>
          <w:p w14:paraId="78DF2496" w14:textId="77777777" w:rsidR="00AC6002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hyperlink r:id="rId14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http://www.dol.gov.bd/forms/form/feedback/-</w:t>
              </w:r>
            </w:hyperlink>
          </w:p>
          <w:p w14:paraId="238B8867" w14:textId="77777777" w:rsidR="00AC6002" w:rsidRPr="00E842DA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tr w:rsidR="00AC6002" w:rsidRPr="00E842DA" w14:paraId="3F15C4A5" w14:textId="77777777" w:rsidTr="00AC6002">
        <w:trPr>
          <w:trHeight w:val="1502"/>
        </w:trPr>
        <w:tc>
          <w:tcPr>
            <w:tcW w:w="318" w:type="pct"/>
          </w:tcPr>
          <w:p w14:paraId="5D542DEF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lastRenderedPageBreak/>
              <w:t>০৪.</w:t>
            </w:r>
          </w:p>
        </w:tc>
        <w:tc>
          <w:tcPr>
            <w:tcW w:w="1742" w:type="pct"/>
          </w:tcPr>
          <w:p w14:paraId="0173113B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0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Online Requisition and Inventory Management System </w:t>
            </w:r>
          </w:p>
          <w:p w14:paraId="3668AB06" w14:textId="23F0D6EA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6875CD8F" w14:textId="4F26E1E5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6B75C8B9" w14:textId="77777777" w:rsidR="00AC6002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  <w:hyperlink r:id="rId15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https://labour.orionisbd.com/</w:t>
              </w:r>
            </w:hyperlink>
          </w:p>
          <w:p w14:paraId="20A24ED5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tr w:rsidR="00AC6002" w:rsidRPr="00E842DA" w14:paraId="27DC5A13" w14:textId="77777777" w:rsidTr="00AC6002">
        <w:tc>
          <w:tcPr>
            <w:tcW w:w="318" w:type="pct"/>
          </w:tcPr>
          <w:p w14:paraId="4125C1A3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০৫.</w:t>
            </w:r>
          </w:p>
        </w:tc>
        <w:tc>
          <w:tcPr>
            <w:tcW w:w="1742" w:type="pct"/>
          </w:tcPr>
          <w:p w14:paraId="60825FEE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গ্রন্থাগারে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রিপ্রোগ্রাফী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সেবা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প্রদান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04A725E0" w14:textId="69719F6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1B64B1E2" w14:textId="21B4F25F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79187E1C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tr w:rsidR="00AC6002" w:rsidRPr="00E842DA" w14:paraId="000A293D" w14:textId="77777777" w:rsidTr="00AC6002">
        <w:tc>
          <w:tcPr>
            <w:tcW w:w="318" w:type="pct"/>
          </w:tcPr>
          <w:p w14:paraId="4B784B7D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০৬.</w:t>
            </w:r>
          </w:p>
        </w:tc>
        <w:tc>
          <w:tcPr>
            <w:tcW w:w="1742" w:type="pct"/>
          </w:tcPr>
          <w:p w14:paraId="60F4EA47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শ্রমিক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প্রশিক্ষণ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কোর্স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সমূহের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ই-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সার্টিফিকেট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  <w:proofErr w:type="spellStart"/>
            <w:r w:rsidRPr="00E842DA">
              <w:rPr>
                <w:rFonts w:ascii="Nikosh" w:eastAsia="Nikosh" w:hAnsi="Nikosh" w:cs="Nikosh"/>
                <w:lang w:bidi="bn-BD"/>
              </w:rPr>
              <w:t>প্রবর্তন</w:t>
            </w:r>
            <w:proofErr w:type="spellEnd"/>
            <w:r w:rsidRPr="00E842DA">
              <w:rPr>
                <w:rFonts w:ascii="Nikosh" w:eastAsia="Nikosh" w:hAnsi="Nikosh" w:cs="Nikosh"/>
                <w:lang w:bidi="bn-BD"/>
              </w:rPr>
              <w:t xml:space="preserve"> </w:t>
            </w:r>
          </w:p>
          <w:p w14:paraId="2ECC86E7" w14:textId="46FD2ECD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77600EFA" w14:textId="35C2FABB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14D44AC0" w14:textId="77777777" w:rsidR="00AC6002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  <w:hyperlink r:id="rId16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https://lw.orionisbd.com/</w:t>
              </w:r>
            </w:hyperlink>
          </w:p>
          <w:p w14:paraId="2F446FE8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tr w:rsidR="00AC6002" w:rsidRPr="00E842DA" w14:paraId="4105CA11" w14:textId="77777777" w:rsidTr="00AC6002">
        <w:tc>
          <w:tcPr>
            <w:tcW w:w="318" w:type="pct"/>
          </w:tcPr>
          <w:p w14:paraId="20DCCBC6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০৭.</w:t>
            </w:r>
          </w:p>
        </w:tc>
        <w:tc>
          <w:tcPr>
            <w:tcW w:w="1742" w:type="pct"/>
          </w:tcPr>
          <w:p w14:paraId="518230C3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0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Online Trade Union </w:t>
            </w:r>
            <w:proofErr w:type="spellStart"/>
            <w:r w:rsidRPr="00E842DA">
              <w:rPr>
                <w:rFonts w:ascii="Nikosh" w:eastAsia="Nikosh" w:hAnsi="Nikosh" w:cs="Nikosh"/>
                <w:sz w:val="20"/>
                <w:lang w:bidi="bn-BD"/>
              </w:rPr>
              <w:t>Ragistration</w:t>
            </w:r>
            <w:proofErr w:type="spellEnd"/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 System </w:t>
            </w:r>
          </w:p>
          <w:p w14:paraId="0A959B69" w14:textId="79F9360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2877B435" w14:textId="1419B812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740DA085" w14:textId="77777777" w:rsidR="00AC6002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  <w:hyperlink r:id="rId17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https://www.mygov.bd</w:t>
              </w:r>
            </w:hyperlink>
          </w:p>
          <w:p w14:paraId="49D3F74A" w14:textId="77777777" w:rsidR="00AC6002" w:rsidRPr="00E842DA" w:rsidRDefault="00AC6002" w:rsidP="00F854C1">
            <w:pPr>
              <w:spacing w:after="200" w:line="276" w:lineRule="auto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tr w:rsidR="00AC6002" w:rsidRPr="00E842DA" w14:paraId="6F775960" w14:textId="77777777" w:rsidTr="00AC6002">
        <w:tc>
          <w:tcPr>
            <w:tcW w:w="318" w:type="pct"/>
          </w:tcPr>
          <w:p w14:paraId="1625B73C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  <w:r w:rsidRPr="00E842DA">
              <w:rPr>
                <w:rFonts w:ascii="Nikosh" w:eastAsia="Nikosh" w:hAnsi="Nikosh" w:cs="Nikosh"/>
                <w:lang w:bidi="bn-BD"/>
              </w:rPr>
              <w:t>০৮.</w:t>
            </w:r>
          </w:p>
        </w:tc>
        <w:tc>
          <w:tcPr>
            <w:tcW w:w="1742" w:type="pct"/>
          </w:tcPr>
          <w:p w14:paraId="3FF33018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0"/>
                <w:lang w:bidi="bn-BD"/>
              </w:rPr>
            </w:pPr>
            <w:r w:rsidRPr="00E842DA">
              <w:rPr>
                <w:rFonts w:ascii="Nikosh" w:eastAsia="Nikosh" w:hAnsi="Nikosh" w:cs="Nikosh"/>
                <w:sz w:val="20"/>
                <w:lang w:bidi="bn-BD"/>
              </w:rPr>
              <w:t xml:space="preserve">LWC Health Management System </w:t>
            </w:r>
          </w:p>
          <w:p w14:paraId="6F88E481" w14:textId="689A964A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044" w:type="pct"/>
          </w:tcPr>
          <w:p w14:paraId="71B31642" w14:textId="39B73FBD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lang w:bidi="bn-BD"/>
              </w:rPr>
            </w:pPr>
          </w:p>
        </w:tc>
        <w:tc>
          <w:tcPr>
            <w:tcW w:w="1896" w:type="pct"/>
          </w:tcPr>
          <w:p w14:paraId="6FF58DFB" w14:textId="77777777" w:rsidR="00AC6002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  <w:hyperlink r:id="rId18" w:history="1">
              <w:r w:rsidRPr="001A2428">
                <w:rPr>
                  <w:rStyle w:val="Hyperlink"/>
                  <w:rFonts w:ascii="Nikosh" w:eastAsia="Nikosh" w:hAnsi="Nikosh" w:cs="Nikosh"/>
                  <w:sz w:val="22"/>
                  <w:lang w:bidi="bn-BD"/>
                </w:rPr>
                <w:t>http://health.imtiaz.xyz/cgi-sys/suspendedpage.cgi</w:t>
              </w:r>
            </w:hyperlink>
          </w:p>
          <w:p w14:paraId="3A54CCB9" w14:textId="77777777" w:rsidR="00AC6002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  <w:p w14:paraId="623E9651" w14:textId="77777777" w:rsidR="00AC6002" w:rsidRPr="00E842DA" w:rsidRDefault="00AC6002" w:rsidP="00F854C1">
            <w:pPr>
              <w:spacing w:after="200" w:line="276" w:lineRule="auto"/>
              <w:jc w:val="both"/>
              <w:rPr>
                <w:rFonts w:ascii="Nikosh" w:eastAsia="Nikosh" w:hAnsi="Nikosh" w:cs="Nikosh"/>
                <w:sz w:val="22"/>
                <w:lang w:bidi="bn-BD"/>
              </w:rPr>
            </w:pPr>
          </w:p>
        </w:tc>
      </w:tr>
      <w:bookmarkEnd w:id="0"/>
    </w:tbl>
    <w:p w14:paraId="786E3307" w14:textId="77777777" w:rsidR="00220E82" w:rsidRPr="00E842DA" w:rsidRDefault="00220E82" w:rsidP="008D3E00">
      <w:pPr>
        <w:spacing w:after="200" w:line="276" w:lineRule="auto"/>
        <w:jc w:val="both"/>
        <w:rPr>
          <w:rFonts w:ascii="Nikosh" w:eastAsia="Nikosh" w:hAnsi="Nikosh" w:cs="Nikosh"/>
          <w:lang w:bidi="bn-BD"/>
        </w:rPr>
      </w:pPr>
    </w:p>
    <w:sectPr w:rsidR="00220E82" w:rsidRPr="00E842DA" w:rsidSect="00E82046">
      <w:headerReference w:type="even" r:id="rId19"/>
      <w:pgSz w:w="16834" w:h="11909" w:orient="landscape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3FFB5" w14:textId="77777777" w:rsidR="00116ECB" w:rsidRDefault="00116ECB">
      <w:r>
        <w:separator/>
      </w:r>
    </w:p>
  </w:endnote>
  <w:endnote w:type="continuationSeparator" w:id="0">
    <w:p w14:paraId="7CD5C144" w14:textId="77777777" w:rsidR="00116ECB" w:rsidRDefault="001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464A9" w14:textId="77777777" w:rsidR="00116ECB" w:rsidRDefault="00116ECB">
      <w:r>
        <w:separator/>
      </w:r>
    </w:p>
  </w:footnote>
  <w:footnote w:type="continuationSeparator" w:id="0">
    <w:p w14:paraId="3F95C232" w14:textId="77777777" w:rsidR="00116ECB" w:rsidRDefault="00116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2FC8B" w14:textId="77777777" w:rsidR="004A0407" w:rsidRDefault="00AC2CBB" w:rsidP="005F7D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F3744" w14:textId="77777777" w:rsidR="004A0407" w:rsidRDefault="00116E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01"/>
    <w:rsid w:val="000406C3"/>
    <w:rsid w:val="00057D2D"/>
    <w:rsid w:val="000704C9"/>
    <w:rsid w:val="000957E4"/>
    <w:rsid w:val="000B4701"/>
    <w:rsid w:val="000F7878"/>
    <w:rsid w:val="00116ECB"/>
    <w:rsid w:val="001A5E11"/>
    <w:rsid w:val="001B22D4"/>
    <w:rsid w:val="001C1204"/>
    <w:rsid w:val="001C29E8"/>
    <w:rsid w:val="001D7C2C"/>
    <w:rsid w:val="001E2430"/>
    <w:rsid w:val="001E7E3D"/>
    <w:rsid w:val="00220E82"/>
    <w:rsid w:val="00227044"/>
    <w:rsid w:val="0023118A"/>
    <w:rsid w:val="00261012"/>
    <w:rsid w:val="002D7C50"/>
    <w:rsid w:val="002F3AB6"/>
    <w:rsid w:val="003036B4"/>
    <w:rsid w:val="00320CFF"/>
    <w:rsid w:val="00334649"/>
    <w:rsid w:val="00370AFD"/>
    <w:rsid w:val="003D40D9"/>
    <w:rsid w:val="00413F87"/>
    <w:rsid w:val="00424228"/>
    <w:rsid w:val="0042465F"/>
    <w:rsid w:val="004618EC"/>
    <w:rsid w:val="004639F2"/>
    <w:rsid w:val="004660A0"/>
    <w:rsid w:val="004A38E2"/>
    <w:rsid w:val="004B3358"/>
    <w:rsid w:val="00503E4C"/>
    <w:rsid w:val="00510EA6"/>
    <w:rsid w:val="00570D86"/>
    <w:rsid w:val="00580755"/>
    <w:rsid w:val="005D1E52"/>
    <w:rsid w:val="005F0E53"/>
    <w:rsid w:val="005F3ADD"/>
    <w:rsid w:val="005F3C43"/>
    <w:rsid w:val="005F7E8B"/>
    <w:rsid w:val="00625338"/>
    <w:rsid w:val="0062542F"/>
    <w:rsid w:val="006C220A"/>
    <w:rsid w:val="006C6276"/>
    <w:rsid w:val="007140AB"/>
    <w:rsid w:val="007143DB"/>
    <w:rsid w:val="0078018B"/>
    <w:rsid w:val="00793CC5"/>
    <w:rsid w:val="007F42F7"/>
    <w:rsid w:val="0084213C"/>
    <w:rsid w:val="008421EE"/>
    <w:rsid w:val="008858C9"/>
    <w:rsid w:val="0088710B"/>
    <w:rsid w:val="00892204"/>
    <w:rsid w:val="00896C87"/>
    <w:rsid w:val="008D3E00"/>
    <w:rsid w:val="00907ABF"/>
    <w:rsid w:val="00947112"/>
    <w:rsid w:val="00951B5E"/>
    <w:rsid w:val="00966F0D"/>
    <w:rsid w:val="009A70D5"/>
    <w:rsid w:val="009B4D70"/>
    <w:rsid w:val="009E5609"/>
    <w:rsid w:val="00A7131A"/>
    <w:rsid w:val="00AA5DD3"/>
    <w:rsid w:val="00AB0D49"/>
    <w:rsid w:val="00AC2CBB"/>
    <w:rsid w:val="00AC6002"/>
    <w:rsid w:val="00B42620"/>
    <w:rsid w:val="00B50C81"/>
    <w:rsid w:val="00B627C2"/>
    <w:rsid w:val="00B86AC3"/>
    <w:rsid w:val="00B91228"/>
    <w:rsid w:val="00C048D7"/>
    <w:rsid w:val="00C14B66"/>
    <w:rsid w:val="00C43301"/>
    <w:rsid w:val="00C5572A"/>
    <w:rsid w:val="00C85B5F"/>
    <w:rsid w:val="00CA012A"/>
    <w:rsid w:val="00CA5494"/>
    <w:rsid w:val="00D27802"/>
    <w:rsid w:val="00D41217"/>
    <w:rsid w:val="00D70496"/>
    <w:rsid w:val="00D70811"/>
    <w:rsid w:val="00D82E7D"/>
    <w:rsid w:val="00D83CF3"/>
    <w:rsid w:val="00DA44E5"/>
    <w:rsid w:val="00DD47AF"/>
    <w:rsid w:val="00DD4994"/>
    <w:rsid w:val="00DE4A2F"/>
    <w:rsid w:val="00DF3CDC"/>
    <w:rsid w:val="00E45B71"/>
    <w:rsid w:val="00E82046"/>
    <w:rsid w:val="00E842DA"/>
    <w:rsid w:val="00E90D4D"/>
    <w:rsid w:val="00E93066"/>
    <w:rsid w:val="00E94E93"/>
    <w:rsid w:val="00F232AF"/>
    <w:rsid w:val="00F83598"/>
    <w:rsid w:val="00FB143B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3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no">
    <w:name w:val="noteno"/>
    <w:basedOn w:val="DefaultParagraphFont"/>
    <w:rsid w:val="00C43301"/>
  </w:style>
  <w:style w:type="character" w:customStyle="1" w:styleId="showforpopup">
    <w:name w:val="showforpopup"/>
    <w:basedOn w:val="DefaultParagraphFont"/>
    <w:rsid w:val="00C43301"/>
  </w:style>
  <w:style w:type="character" w:customStyle="1" w:styleId="canedit">
    <w:name w:val="canedit"/>
    <w:basedOn w:val="DefaultParagraphFont"/>
    <w:rsid w:val="00896C87"/>
  </w:style>
  <w:style w:type="paragraph" w:styleId="NormalWeb">
    <w:name w:val="Normal (Web)"/>
    <w:basedOn w:val="Normal"/>
    <w:uiPriority w:val="99"/>
    <w:semiHidden/>
    <w:unhideWhenUsed/>
    <w:rsid w:val="00896C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C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C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C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BB"/>
  </w:style>
  <w:style w:type="table" w:styleId="TableGrid">
    <w:name w:val="Table Grid"/>
    <w:basedOn w:val="TableNormal"/>
    <w:uiPriority w:val="59"/>
    <w:rsid w:val="008D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no">
    <w:name w:val="noteno"/>
    <w:basedOn w:val="DefaultParagraphFont"/>
    <w:rsid w:val="00C43301"/>
  </w:style>
  <w:style w:type="character" w:customStyle="1" w:styleId="showforpopup">
    <w:name w:val="showforpopup"/>
    <w:basedOn w:val="DefaultParagraphFont"/>
    <w:rsid w:val="00C43301"/>
  </w:style>
  <w:style w:type="character" w:customStyle="1" w:styleId="canedit">
    <w:name w:val="canedit"/>
    <w:basedOn w:val="DefaultParagraphFont"/>
    <w:rsid w:val="00896C87"/>
  </w:style>
  <w:style w:type="paragraph" w:styleId="NormalWeb">
    <w:name w:val="Normal (Web)"/>
    <w:basedOn w:val="Normal"/>
    <w:uiPriority w:val="99"/>
    <w:semiHidden/>
    <w:unhideWhenUsed/>
    <w:rsid w:val="00896C8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C8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2C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C2CB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C2CBB"/>
  </w:style>
  <w:style w:type="table" w:styleId="TableGrid">
    <w:name w:val="Table Grid"/>
    <w:basedOn w:val="TableNormal"/>
    <w:uiPriority w:val="59"/>
    <w:rsid w:val="008D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C6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7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818">
              <w:marLeft w:val="0"/>
              <w:marRight w:val="0"/>
              <w:marTop w:val="0"/>
              <w:marBottom w:val="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</w:div>
          </w:divsChild>
        </w:div>
        <w:div w:id="2025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621">
              <w:marLeft w:val="0"/>
              <w:marRight w:val="0"/>
              <w:marTop w:val="75"/>
              <w:marBottom w:val="75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  <w:divsChild>
                <w:div w:id="8173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.bd/forms/form/feedback/-" TargetMode="External"/><Relationship Id="rId13" Type="http://schemas.openxmlformats.org/officeDocument/2006/relationships/hyperlink" Target="https://spmis.dol.gov.bd/" TargetMode="External"/><Relationship Id="rId18" Type="http://schemas.openxmlformats.org/officeDocument/2006/relationships/hyperlink" Target="http://health.imtiaz.xyz/cgi-sys/suspendedpage.cg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pmis.dol.gov.bd/" TargetMode="External"/><Relationship Id="rId12" Type="http://schemas.openxmlformats.org/officeDocument/2006/relationships/hyperlink" Target="http://health.imtiaz.xyz/cgi-sys/suspendedpage.cgi" TargetMode="External"/><Relationship Id="rId17" Type="http://schemas.openxmlformats.org/officeDocument/2006/relationships/hyperlink" Target="https://www.mygov.b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w.orionisbd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mygov.b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bour.orionisbd.com/" TargetMode="External"/><Relationship Id="rId10" Type="http://schemas.openxmlformats.org/officeDocument/2006/relationships/hyperlink" Target="https://lw.orionisbd.co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ur.orionisbd.com/" TargetMode="External"/><Relationship Id="rId14" Type="http://schemas.openxmlformats.org/officeDocument/2006/relationships/hyperlink" Target="http://www.dol.gov.bd/forms/form/feedback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akterujzaman001@gmail.com</dc:creator>
  <cp:lastModifiedBy>Yeanur</cp:lastModifiedBy>
  <cp:revision>23</cp:revision>
  <cp:lastPrinted>2023-09-05T05:37:00Z</cp:lastPrinted>
  <dcterms:created xsi:type="dcterms:W3CDTF">2022-09-15T04:45:00Z</dcterms:created>
  <dcterms:modified xsi:type="dcterms:W3CDTF">2024-01-08T10:32:00Z</dcterms:modified>
</cp:coreProperties>
</file>