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9EF4B" w14:textId="77777777" w:rsidR="0053658F" w:rsidRPr="004D407A" w:rsidRDefault="0053658F" w:rsidP="00B74F94">
      <w:pPr>
        <w:pStyle w:val="Title"/>
        <w:jc w:val="center"/>
        <w:rPr>
          <w:b/>
        </w:rPr>
      </w:pPr>
      <w:r w:rsidRPr="004D407A">
        <w:rPr>
          <w:b/>
        </w:rPr>
        <w:t>Government of People’s Republic of Bangladesh</w:t>
      </w:r>
    </w:p>
    <w:p w14:paraId="75BDFE17" w14:textId="77777777" w:rsidR="0053658F" w:rsidRPr="004D407A" w:rsidRDefault="0053658F" w:rsidP="0053658F"/>
    <w:sdt>
      <w:sdtPr>
        <w:rPr>
          <w:spacing w:val="0"/>
          <w:kern w:val="48"/>
        </w:rPr>
        <w:alias w:val="Title"/>
        <w:tag w:val=""/>
        <w:id w:val="-1596012181"/>
        <w:placeholder>
          <w:docPart w:val="F40F3FA2DE2F4009AB69DA1173F12623"/>
        </w:placeholder>
        <w:dataBinding w:prefixMappings="xmlns:ns0='http://purl.org/dc/elements/1.1/' xmlns:ns1='http://schemas.openxmlformats.org/package/2006/metadata/core-properties' " w:xpath="/ns1:coreProperties[1]/ns0:title[1]" w:storeItemID="{6C3C8BC8-F283-45AE-878A-BAB7291924A1}"/>
        <w:text/>
      </w:sdtPr>
      <w:sdtEndPr/>
      <w:sdtContent>
        <w:p w14:paraId="14C99D23" w14:textId="743BD827" w:rsidR="006B23EC" w:rsidRPr="004D407A" w:rsidRDefault="00FF4AFE" w:rsidP="00B74F94">
          <w:pPr>
            <w:pStyle w:val="Title"/>
            <w:jc w:val="center"/>
          </w:pPr>
          <w:r w:rsidRPr="004D407A">
            <w:rPr>
              <w:spacing w:val="0"/>
              <w:kern w:val="48"/>
            </w:rPr>
            <w:t>National Immunization Strategy (NIS) 2023-2027</w:t>
          </w:r>
        </w:p>
      </w:sdtContent>
    </w:sdt>
    <w:sdt>
      <w:sdtPr>
        <w:rPr>
          <w:color w:val="auto"/>
        </w:rPr>
        <w:alias w:val="Subject"/>
        <w:tag w:val=""/>
        <w:id w:val="-689069780"/>
        <w:placeholder>
          <w:docPart w:val="87671F44B2C645BC9E7CA8209C71E05A"/>
        </w:placeholder>
        <w:dataBinding w:prefixMappings="xmlns:ns0='http://purl.org/dc/elements/1.1/' xmlns:ns1='http://schemas.openxmlformats.org/package/2006/metadata/core-properties' " w:xpath="/ns1:coreProperties[1]/ns0:subject[1]" w:storeItemID="{6C3C8BC8-F283-45AE-878A-BAB7291924A1}"/>
        <w:text/>
      </w:sdtPr>
      <w:sdtEndPr/>
      <w:sdtContent>
        <w:p w14:paraId="159E0708" w14:textId="2422B8C5" w:rsidR="006B23EC" w:rsidRPr="004D407A" w:rsidRDefault="00FF4AFE" w:rsidP="00B74F94">
          <w:pPr>
            <w:pStyle w:val="Subtitle"/>
            <w:jc w:val="center"/>
            <w:rPr>
              <w:color w:val="auto"/>
            </w:rPr>
          </w:pPr>
          <w:r w:rsidRPr="004D407A">
            <w:rPr>
              <w:color w:val="auto"/>
            </w:rPr>
            <w:t xml:space="preserve">for </w:t>
          </w:r>
          <w:r w:rsidR="00936205" w:rsidRPr="004D407A">
            <w:rPr>
              <w:color w:val="auto"/>
            </w:rPr>
            <w:t xml:space="preserve">Expanded Program on Immunization (EPI) </w:t>
          </w:r>
          <w:r w:rsidRPr="004D407A">
            <w:rPr>
              <w:color w:val="auto"/>
            </w:rPr>
            <w:t>of Bangladesh</w:t>
          </w:r>
        </w:p>
      </w:sdtContent>
    </w:sdt>
    <w:p w14:paraId="6A808409" w14:textId="77777777" w:rsidR="00FE378B" w:rsidRPr="004D407A" w:rsidRDefault="001526E1" w:rsidP="001526E1">
      <w:pPr>
        <w:tabs>
          <w:tab w:val="left" w:pos="1336"/>
        </w:tabs>
      </w:pPr>
      <w:r w:rsidRPr="004D407A">
        <w:tab/>
      </w:r>
    </w:p>
    <w:p w14:paraId="5F564E12" w14:textId="42902A6C" w:rsidR="00FE378B" w:rsidRPr="004D407A" w:rsidRDefault="00D557ED" w:rsidP="00FE378B">
      <w:r>
        <w:t xml:space="preserve">                                                        </w:t>
      </w:r>
    </w:p>
    <w:p w14:paraId="0CFDEB99" w14:textId="77777777" w:rsidR="0053658F" w:rsidRPr="004D407A" w:rsidRDefault="0053658F">
      <w:pPr>
        <w:rPr>
          <w:rFonts w:asciiTheme="majorHAnsi" w:eastAsiaTheme="majorEastAsia" w:hAnsiTheme="majorHAnsi" w:cstheme="majorBidi"/>
          <w:spacing w:val="20"/>
          <w:kern w:val="32"/>
          <w:sz w:val="28"/>
          <w:szCs w:val="32"/>
        </w:rPr>
      </w:pPr>
      <w:r w:rsidRPr="004D407A">
        <w:br w:type="page"/>
      </w:r>
    </w:p>
    <w:p w14:paraId="04440502" w14:textId="77777777" w:rsidR="00050C68" w:rsidRPr="004D407A" w:rsidRDefault="00050C68" w:rsidP="00050C68">
      <w:pPr>
        <w:pStyle w:val="TOCHeading"/>
        <w:rPr>
          <w:color w:val="auto"/>
        </w:rPr>
      </w:pPr>
      <w:r w:rsidRPr="004D407A">
        <w:rPr>
          <w:color w:val="auto"/>
        </w:rPr>
        <w:lastRenderedPageBreak/>
        <w:t>Table of contents</w:t>
      </w:r>
    </w:p>
    <w:p w14:paraId="5B70484D" w14:textId="42F2FC65" w:rsidR="00D80429" w:rsidRPr="004D407A" w:rsidRDefault="00050C68">
      <w:pPr>
        <w:pStyle w:val="TOC1"/>
        <w:rPr>
          <w:rFonts w:eastAsiaTheme="minorEastAsia"/>
          <w:b w:val="0"/>
          <w:color w:val="auto"/>
        </w:rPr>
      </w:pPr>
      <w:r w:rsidRPr="004D407A">
        <w:rPr>
          <w:noProof w:val="0"/>
          <w:color w:val="auto"/>
        </w:rPr>
        <w:fldChar w:fldCharType="begin"/>
      </w:r>
      <w:r w:rsidRPr="004D407A">
        <w:rPr>
          <w:noProof w:val="0"/>
          <w:color w:val="auto"/>
        </w:rPr>
        <w:instrText xml:space="preserve"> TOC \o "1-4" \h \z \u </w:instrText>
      </w:r>
      <w:r w:rsidRPr="004D407A">
        <w:rPr>
          <w:noProof w:val="0"/>
          <w:color w:val="auto"/>
        </w:rPr>
        <w:fldChar w:fldCharType="separate"/>
      </w:r>
      <w:hyperlink w:anchor="_Toc111910214" w:history="1">
        <w:r w:rsidR="00D80429" w:rsidRPr="004D407A">
          <w:rPr>
            <w:rStyle w:val="Hyperlink"/>
            <w:color w:val="auto"/>
          </w:rPr>
          <w:t>Executive Summary (Dashboard)</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_Toc111910214 \h </w:instrText>
        </w:r>
        <w:r w:rsidR="00D80429" w:rsidRPr="004D407A">
          <w:rPr>
            <w:webHidden/>
            <w:color w:val="auto"/>
          </w:rPr>
        </w:r>
        <w:r w:rsidR="00D80429" w:rsidRPr="004D407A">
          <w:rPr>
            <w:webHidden/>
            <w:color w:val="auto"/>
          </w:rPr>
          <w:fldChar w:fldCharType="separate"/>
        </w:r>
        <w:r w:rsidR="00D80429" w:rsidRPr="004D407A">
          <w:rPr>
            <w:webHidden/>
            <w:color w:val="auto"/>
          </w:rPr>
          <w:t>i</w:t>
        </w:r>
        <w:r w:rsidR="00D80429" w:rsidRPr="004D407A">
          <w:rPr>
            <w:webHidden/>
            <w:color w:val="auto"/>
          </w:rPr>
          <w:fldChar w:fldCharType="end"/>
        </w:r>
      </w:hyperlink>
    </w:p>
    <w:p w14:paraId="7D928E22" w14:textId="5485411B" w:rsidR="00D80429" w:rsidRPr="004D407A" w:rsidRDefault="00C54AE0">
      <w:pPr>
        <w:pStyle w:val="TOC1"/>
        <w:rPr>
          <w:rFonts w:eastAsiaTheme="minorEastAsia"/>
          <w:b w:val="0"/>
          <w:color w:val="auto"/>
        </w:rPr>
      </w:pPr>
      <w:hyperlink w:anchor="_Toc111910215" w:history="1">
        <w:r w:rsidR="00D80429" w:rsidRPr="004D407A">
          <w:rPr>
            <w:rStyle w:val="Hyperlink"/>
            <w:color w:val="auto"/>
          </w:rPr>
          <w:t>1</w:t>
        </w:r>
        <w:r w:rsidR="00D80429" w:rsidRPr="004D407A">
          <w:rPr>
            <w:rFonts w:eastAsiaTheme="minorEastAsia"/>
            <w:b w:val="0"/>
            <w:color w:val="auto"/>
          </w:rPr>
          <w:tab/>
        </w:r>
        <w:r w:rsidR="00D80429" w:rsidRPr="004D407A">
          <w:rPr>
            <w:rStyle w:val="Hyperlink"/>
            <w:color w:val="auto"/>
          </w:rPr>
          <w:t>Positioning of NIS in Changing Environment</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_Toc111910215 \h </w:instrText>
        </w:r>
        <w:r w:rsidR="00D80429" w:rsidRPr="004D407A">
          <w:rPr>
            <w:webHidden/>
            <w:color w:val="auto"/>
          </w:rPr>
        </w:r>
        <w:r w:rsidR="00D80429" w:rsidRPr="004D407A">
          <w:rPr>
            <w:webHidden/>
            <w:color w:val="auto"/>
          </w:rPr>
          <w:fldChar w:fldCharType="separate"/>
        </w:r>
        <w:r w:rsidR="00D80429" w:rsidRPr="004D407A">
          <w:rPr>
            <w:webHidden/>
            <w:color w:val="auto"/>
          </w:rPr>
          <w:t>1</w:t>
        </w:r>
        <w:r w:rsidR="00D80429" w:rsidRPr="004D407A">
          <w:rPr>
            <w:webHidden/>
            <w:color w:val="auto"/>
          </w:rPr>
          <w:fldChar w:fldCharType="end"/>
        </w:r>
      </w:hyperlink>
    </w:p>
    <w:p w14:paraId="7A639839" w14:textId="55DEA24F" w:rsidR="00D80429" w:rsidRPr="004D407A" w:rsidRDefault="00C54AE0">
      <w:pPr>
        <w:pStyle w:val="TOC2"/>
        <w:rPr>
          <w:rFonts w:eastAsiaTheme="minorEastAsia"/>
          <w:noProof/>
        </w:rPr>
      </w:pPr>
      <w:hyperlink w:anchor="_Toc111910216" w:history="1">
        <w:r w:rsidR="00D80429" w:rsidRPr="004D407A">
          <w:rPr>
            <w:rStyle w:val="Hyperlink"/>
            <w:noProof/>
            <w:color w:val="auto"/>
            <w:lang w:val="en-GB"/>
          </w:rPr>
          <w:t>1.1</w:t>
        </w:r>
        <w:r w:rsidR="00D80429" w:rsidRPr="004D407A">
          <w:rPr>
            <w:rFonts w:eastAsiaTheme="minorEastAsia"/>
            <w:noProof/>
          </w:rPr>
          <w:tab/>
        </w:r>
        <w:r w:rsidR="00D80429" w:rsidRPr="004D407A">
          <w:rPr>
            <w:rStyle w:val="Hyperlink"/>
            <w:noProof/>
            <w:color w:val="auto"/>
          </w:rPr>
          <w:t>Immunization</w:t>
        </w:r>
        <w:r w:rsidR="00D80429" w:rsidRPr="004D407A">
          <w:rPr>
            <w:rStyle w:val="Hyperlink"/>
            <w:noProof/>
            <w:color w:val="auto"/>
            <w:lang w:val="en-GB"/>
          </w:rPr>
          <w:t xml:space="preserve"> Agenda 2030 and National Health Plan 2021-2025</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_Toc111910216 \h </w:instrText>
        </w:r>
        <w:r w:rsidR="00D80429" w:rsidRPr="004D407A">
          <w:rPr>
            <w:noProof/>
            <w:webHidden/>
          </w:rPr>
        </w:r>
        <w:r w:rsidR="00D80429" w:rsidRPr="004D407A">
          <w:rPr>
            <w:noProof/>
            <w:webHidden/>
          </w:rPr>
          <w:fldChar w:fldCharType="separate"/>
        </w:r>
        <w:r w:rsidR="00D80429" w:rsidRPr="004D407A">
          <w:rPr>
            <w:noProof/>
            <w:webHidden/>
          </w:rPr>
          <w:t>1</w:t>
        </w:r>
        <w:r w:rsidR="00D80429" w:rsidRPr="004D407A">
          <w:rPr>
            <w:noProof/>
            <w:webHidden/>
          </w:rPr>
          <w:fldChar w:fldCharType="end"/>
        </w:r>
      </w:hyperlink>
    </w:p>
    <w:p w14:paraId="59D3B5DF" w14:textId="08371812" w:rsidR="00D80429" w:rsidRPr="004D407A" w:rsidRDefault="00C54AE0">
      <w:pPr>
        <w:pStyle w:val="TOC2"/>
        <w:rPr>
          <w:rFonts w:eastAsiaTheme="minorEastAsia"/>
          <w:noProof/>
        </w:rPr>
      </w:pPr>
      <w:hyperlink w:anchor="_Toc111910217" w:history="1">
        <w:r w:rsidR="00D80429" w:rsidRPr="004D407A">
          <w:rPr>
            <w:rStyle w:val="Hyperlink"/>
            <w:noProof/>
            <w:color w:val="auto"/>
            <w:lang w:val="en-GB"/>
          </w:rPr>
          <w:t>1.2</w:t>
        </w:r>
        <w:r w:rsidR="00D80429" w:rsidRPr="004D407A">
          <w:rPr>
            <w:rFonts w:eastAsiaTheme="minorEastAsia"/>
            <w:noProof/>
          </w:rPr>
          <w:tab/>
        </w:r>
        <w:r w:rsidR="00D80429" w:rsidRPr="004D407A">
          <w:rPr>
            <w:rStyle w:val="Hyperlink"/>
            <w:noProof/>
            <w:color w:val="auto"/>
            <w:lang w:val="en-GB"/>
          </w:rPr>
          <w:t>From cMYP to NIS</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_Toc111910217 \h </w:instrText>
        </w:r>
        <w:r w:rsidR="00D80429" w:rsidRPr="004D407A">
          <w:rPr>
            <w:noProof/>
            <w:webHidden/>
          </w:rPr>
        </w:r>
        <w:r w:rsidR="00D80429" w:rsidRPr="004D407A">
          <w:rPr>
            <w:noProof/>
            <w:webHidden/>
          </w:rPr>
          <w:fldChar w:fldCharType="separate"/>
        </w:r>
        <w:r w:rsidR="00D80429" w:rsidRPr="004D407A">
          <w:rPr>
            <w:noProof/>
            <w:webHidden/>
          </w:rPr>
          <w:t>1</w:t>
        </w:r>
        <w:r w:rsidR="00D80429" w:rsidRPr="004D407A">
          <w:rPr>
            <w:noProof/>
            <w:webHidden/>
          </w:rPr>
          <w:fldChar w:fldCharType="end"/>
        </w:r>
      </w:hyperlink>
    </w:p>
    <w:p w14:paraId="29F50CE5" w14:textId="2A0D6091" w:rsidR="00D80429" w:rsidRPr="004D407A" w:rsidRDefault="00C54AE0">
      <w:pPr>
        <w:pStyle w:val="TOC2"/>
        <w:rPr>
          <w:rFonts w:eastAsiaTheme="minorEastAsia"/>
          <w:noProof/>
        </w:rPr>
      </w:pPr>
      <w:hyperlink w:anchor="_Toc111910218" w:history="1">
        <w:r w:rsidR="00D80429" w:rsidRPr="004D407A">
          <w:rPr>
            <w:rStyle w:val="Hyperlink"/>
            <w:noProof/>
            <w:color w:val="auto"/>
            <w:lang w:val="en-GB"/>
          </w:rPr>
          <w:t>1.3</w:t>
        </w:r>
        <w:r w:rsidR="00D80429" w:rsidRPr="004D407A">
          <w:rPr>
            <w:rFonts w:eastAsiaTheme="minorEastAsia"/>
            <w:noProof/>
          </w:rPr>
          <w:tab/>
        </w:r>
        <w:r w:rsidR="00D80429" w:rsidRPr="004D407A">
          <w:rPr>
            <w:rStyle w:val="Hyperlink"/>
            <w:noProof/>
            <w:color w:val="auto"/>
            <w:lang w:val="en-GB"/>
          </w:rPr>
          <w:t>The COVID-19 context</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_Toc111910218 \h </w:instrText>
        </w:r>
        <w:r w:rsidR="00D80429" w:rsidRPr="004D407A">
          <w:rPr>
            <w:noProof/>
            <w:webHidden/>
          </w:rPr>
        </w:r>
        <w:r w:rsidR="00D80429" w:rsidRPr="004D407A">
          <w:rPr>
            <w:noProof/>
            <w:webHidden/>
          </w:rPr>
          <w:fldChar w:fldCharType="separate"/>
        </w:r>
        <w:r w:rsidR="00D80429" w:rsidRPr="004D407A">
          <w:rPr>
            <w:noProof/>
            <w:webHidden/>
          </w:rPr>
          <w:t>1</w:t>
        </w:r>
        <w:r w:rsidR="00D80429" w:rsidRPr="004D407A">
          <w:rPr>
            <w:noProof/>
            <w:webHidden/>
          </w:rPr>
          <w:fldChar w:fldCharType="end"/>
        </w:r>
      </w:hyperlink>
    </w:p>
    <w:p w14:paraId="38FC81B6" w14:textId="2747CA8A" w:rsidR="00D80429" w:rsidRPr="004D407A" w:rsidRDefault="00C54AE0">
      <w:pPr>
        <w:pStyle w:val="TOC1"/>
        <w:rPr>
          <w:rFonts w:eastAsiaTheme="minorEastAsia"/>
          <w:b w:val="0"/>
          <w:color w:val="auto"/>
        </w:rPr>
      </w:pPr>
      <w:hyperlink w:anchor="_Toc111910219" w:history="1">
        <w:r w:rsidR="00D80429" w:rsidRPr="004D407A">
          <w:rPr>
            <w:rStyle w:val="Hyperlink"/>
            <w:color w:val="auto"/>
          </w:rPr>
          <w:t>2</w:t>
        </w:r>
        <w:r w:rsidR="00D80429" w:rsidRPr="004D407A">
          <w:rPr>
            <w:rFonts w:eastAsiaTheme="minorEastAsia"/>
            <w:b w:val="0"/>
            <w:color w:val="auto"/>
          </w:rPr>
          <w:tab/>
        </w:r>
        <w:r w:rsidR="00D80429" w:rsidRPr="004D407A">
          <w:rPr>
            <w:rStyle w:val="Hyperlink"/>
            <w:color w:val="auto"/>
          </w:rPr>
          <w:t>Situation analysis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_Toc111910219 \h </w:instrText>
        </w:r>
        <w:r w:rsidR="00D80429" w:rsidRPr="004D407A">
          <w:rPr>
            <w:webHidden/>
            <w:color w:val="auto"/>
          </w:rPr>
        </w:r>
        <w:r w:rsidR="00D80429" w:rsidRPr="004D407A">
          <w:rPr>
            <w:webHidden/>
            <w:color w:val="auto"/>
          </w:rPr>
          <w:fldChar w:fldCharType="separate"/>
        </w:r>
        <w:r w:rsidR="00D80429" w:rsidRPr="004D407A">
          <w:rPr>
            <w:webHidden/>
            <w:color w:val="auto"/>
          </w:rPr>
          <w:t>2</w:t>
        </w:r>
        <w:r w:rsidR="00D80429" w:rsidRPr="004D407A">
          <w:rPr>
            <w:webHidden/>
            <w:color w:val="auto"/>
          </w:rPr>
          <w:fldChar w:fldCharType="end"/>
        </w:r>
      </w:hyperlink>
    </w:p>
    <w:p w14:paraId="4A08F8C3" w14:textId="4E8EFA6D" w:rsidR="00D80429" w:rsidRPr="004D407A" w:rsidRDefault="00C54AE0">
      <w:pPr>
        <w:pStyle w:val="TOC2"/>
        <w:rPr>
          <w:rFonts w:eastAsiaTheme="minorEastAsia"/>
          <w:noProof/>
        </w:rPr>
      </w:pPr>
      <w:hyperlink w:anchor="_Toc111910220" w:history="1">
        <w:r w:rsidR="00D80429" w:rsidRPr="004D407A">
          <w:rPr>
            <w:rStyle w:val="Hyperlink"/>
            <w:noProof/>
            <w:color w:val="auto"/>
          </w:rPr>
          <w:t>2.1</w:t>
        </w:r>
        <w:r w:rsidR="00D80429" w:rsidRPr="004D407A">
          <w:rPr>
            <w:rFonts w:eastAsiaTheme="minorEastAsia"/>
            <w:noProof/>
          </w:rPr>
          <w:tab/>
        </w:r>
        <w:r w:rsidR="00D80429" w:rsidRPr="004D407A">
          <w:rPr>
            <w:rStyle w:val="Hyperlink"/>
            <w:noProof/>
            <w:color w:val="auto"/>
          </w:rPr>
          <w:t>Country context</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_Toc111910220 \h </w:instrText>
        </w:r>
        <w:r w:rsidR="00D80429" w:rsidRPr="004D407A">
          <w:rPr>
            <w:noProof/>
            <w:webHidden/>
          </w:rPr>
        </w:r>
        <w:r w:rsidR="00D80429" w:rsidRPr="004D407A">
          <w:rPr>
            <w:noProof/>
            <w:webHidden/>
          </w:rPr>
          <w:fldChar w:fldCharType="separate"/>
        </w:r>
        <w:r w:rsidR="00D80429" w:rsidRPr="004D407A">
          <w:rPr>
            <w:noProof/>
            <w:webHidden/>
          </w:rPr>
          <w:t>2</w:t>
        </w:r>
        <w:r w:rsidR="00D80429" w:rsidRPr="004D407A">
          <w:rPr>
            <w:noProof/>
            <w:webHidden/>
          </w:rPr>
          <w:fldChar w:fldCharType="end"/>
        </w:r>
      </w:hyperlink>
    </w:p>
    <w:p w14:paraId="553C1BEB" w14:textId="7DA972B4" w:rsidR="00D80429" w:rsidRPr="004D407A" w:rsidRDefault="00C54AE0">
      <w:pPr>
        <w:pStyle w:val="TOC3"/>
        <w:rPr>
          <w:rFonts w:eastAsiaTheme="minorEastAsia"/>
          <w:color w:val="auto"/>
        </w:rPr>
      </w:pPr>
      <w:hyperlink w:anchor="_Toc111910221" w:history="1">
        <w:r w:rsidR="00D80429" w:rsidRPr="004D407A">
          <w:rPr>
            <w:rStyle w:val="Hyperlink"/>
            <w:color w:val="auto"/>
          </w:rPr>
          <w:t>2.1.1</w:t>
        </w:r>
        <w:r w:rsidR="00D80429" w:rsidRPr="004D407A">
          <w:rPr>
            <w:rFonts w:eastAsiaTheme="minorEastAsia"/>
            <w:color w:val="auto"/>
          </w:rPr>
          <w:tab/>
        </w:r>
        <w:r w:rsidR="00D80429" w:rsidRPr="004D407A">
          <w:rPr>
            <w:rStyle w:val="Hyperlink"/>
            <w:color w:val="auto"/>
          </w:rPr>
          <w:t>Administrative and political structure</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_Toc111910221 \h </w:instrText>
        </w:r>
        <w:r w:rsidR="00D80429" w:rsidRPr="004D407A">
          <w:rPr>
            <w:webHidden/>
            <w:color w:val="auto"/>
          </w:rPr>
        </w:r>
        <w:r w:rsidR="00D80429" w:rsidRPr="004D407A">
          <w:rPr>
            <w:webHidden/>
            <w:color w:val="auto"/>
          </w:rPr>
          <w:fldChar w:fldCharType="separate"/>
        </w:r>
        <w:r w:rsidR="00D80429" w:rsidRPr="004D407A">
          <w:rPr>
            <w:webHidden/>
            <w:color w:val="auto"/>
          </w:rPr>
          <w:t>2</w:t>
        </w:r>
        <w:r w:rsidR="00D80429" w:rsidRPr="004D407A">
          <w:rPr>
            <w:webHidden/>
            <w:color w:val="auto"/>
          </w:rPr>
          <w:fldChar w:fldCharType="end"/>
        </w:r>
      </w:hyperlink>
    </w:p>
    <w:p w14:paraId="7E07E05B" w14:textId="05969311" w:rsidR="00D80429" w:rsidRPr="004D407A" w:rsidRDefault="00C54AE0">
      <w:pPr>
        <w:pStyle w:val="TOC3"/>
        <w:rPr>
          <w:rFonts w:eastAsiaTheme="minorEastAsia"/>
          <w:color w:val="auto"/>
        </w:rPr>
      </w:pPr>
      <w:hyperlink w:anchor="_Toc111910222" w:history="1">
        <w:r w:rsidR="00D80429" w:rsidRPr="004D407A">
          <w:rPr>
            <w:rStyle w:val="Hyperlink"/>
            <w:color w:val="auto"/>
          </w:rPr>
          <w:t>2.1.2</w:t>
        </w:r>
        <w:r w:rsidR="00D80429" w:rsidRPr="004D407A">
          <w:rPr>
            <w:rFonts w:eastAsiaTheme="minorEastAsia"/>
            <w:color w:val="auto"/>
          </w:rPr>
          <w:tab/>
        </w:r>
        <w:r w:rsidR="00D80429" w:rsidRPr="004D407A">
          <w:rPr>
            <w:rStyle w:val="Hyperlink"/>
            <w:color w:val="auto"/>
          </w:rPr>
          <w:t>Demography</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_Toc111910222 \h </w:instrText>
        </w:r>
        <w:r w:rsidR="00D80429" w:rsidRPr="004D407A">
          <w:rPr>
            <w:webHidden/>
            <w:color w:val="auto"/>
          </w:rPr>
        </w:r>
        <w:r w:rsidR="00D80429" w:rsidRPr="004D407A">
          <w:rPr>
            <w:webHidden/>
            <w:color w:val="auto"/>
          </w:rPr>
          <w:fldChar w:fldCharType="separate"/>
        </w:r>
        <w:r w:rsidR="00D80429" w:rsidRPr="004D407A">
          <w:rPr>
            <w:webHidden/>
            <w:color w:val="auto"/>
          </w:rPr>
          <w:t>2</w:t>
        </w:r>
        <w:r w:rsidR="00D80429" w:rsidRPr="004D407A">
          <w:rPr>
            <w:webHidden/>
            <w:color w:val="auto"/>
          </w:rPr>
          <w:fldChar w:fldCharType="end"/>
        </w:r>
      </w:hyperlink>
    </w:p>
    <w:p w14:paraId="0F370909" w14:textId="15480D96" w:rsidR="00D80429" w:rsidRPr="004D407A" w:rsidRDefault="00C54AE0">
      <w:pPr>
        <w:pStyle w:val="TOC4"/>
        <w:rPr>
          <w:rFonts w:eastAsiaTheme="minorEastAsia"/>
          <w:color w:val="auto"/>
          <w:sz w:val="22"/>
        </w:rPr>
      </w:pPr>
      <w:hyperlink w:anchor="_Toc111910223" w:history="1">
        <w:r w:rsidR="00D80429" w:rsidRPr="004D407A">
          <w:rPr>
            <w:rStyle w:val="Hyperlink"/>
            <w:color w:val="auto"/>
          </w:rPr>
          <w:t>(1)</w:t>
        </w:r>
        <w:r w:rsidR="00D80429" w:rsidRPr="004D407A">
          <w:rPr>
            <w:rFonts w:eastAsiaTheme="minorEastAsia"/>
            <w:color w:val="auto"/>
            <w:sz w:val="22"/>
          </w:rPr>
          <w:tab/>
        </w:r>
        <w:r w:rsidR="00D80429" w:rsidRPr="004D407A">
          <w:rPr>
            <w:rStyle w:val="Hyperlink"/>
            <w:color w:val="auto"/>
          </w:rPr>
          <w:t>Population estimates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_Toc111910223 \h </w:instrText>
        </w:r>
        <w:r w:rsidR="00D80429" w:rsidRPr="004D407A">
          <w:rPr>
            <w:webHidden/>
            <w:color w:val="auto"/>
          </w:rPr>
        </w:r>
        <w:r w:rsidR="00D80429" w:rsidRPr="004D407A">
          <w:rPr>
            <w:webHidden/>
            <w:color w:val="auto"/>
          </w:rPr>
          <w:fldChar w:fldCharType="separate"/>
        </w:r>
        <w:r w:rsidR="00D80429" w:rsidRPr="004D407A">
          <w:rPr>
            <w:webHidden/>
            <w:color w:val="auto"/>
          </w:rPr>
          <w:t>2</w:t>
        </w:r>
        <w:r w:rsidR="00D80429" w:rsidRPr="004D407A">
          <w:rPr>
            <w:webHidden/>
            <w:color w:val="auto"/>
          </w:rPr>
          <w:fldChar w:fldCharType="end"/>
        </w:r>
      </w:hyperlink>
    </w:p>
    <w:p w14:paraId="4D62490E" w14:textId="7F849C6E" w:rsidR="00D80429" w:rsidRPr="004D407A" w:rsidRDefault="00C54AE0">
      <w:pPr>
        <w:pStyle w:val="TOC4"/>
        <w:rPr>
          <w:rFonts w:eastAsiaTheme="minorEastAsia"/>
          <w:color w:val="auto"/>
          <w:sz w:val="22"/>
        </w:rPr>
      </w:pPr>
      <w:hyperlink w:anchor="_Toc111910224" w:history="1">
        <w:r w:rsidR="00D80429" w:rsidRPr="004D407A">
          <w:rPr>
            <w:rStyle w:val="Hyperlink"/>
            <w:color w:val="auto"/>
          </w:rPr>
          <w:t>(2)</w:t>
        </w:r>
        <w:r w:rsidR="00D80429" w:rsidRPr="004D407A">
          <w:rPr>
            <w:rFonts w:eastAsiaTheme="minorEastAsia"/>
            <w:color w:val="auto"/>
            <w:sz w:val="22"/>
          </w:rPr>
          <w:tab/>
        </w:r>
        <w:r w:rsidR="00D80429" w:rsidRPr="004D407A">
          <w:rPr>
            <w:rStyle w:val="Hyperlink"/>
            <w:color w:val="auto"/>
          </w:rPr>
          <w:t>Population distribution and ethnic composition</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_Toc111910224 \h </w:instrText>
        </w:r>
        <w:r w:rsidR="00D80429" w:rsidRPr="004D407A">
          <w:rPr>
            <w:webHidden/>
            <w:color w:val="auto"/>
          </w:rPr>
        </w:r>
        <w:r w:rsidR="00D80429" w:rsidRPr="004D407A">
          <w:rPr>
            <w:webHidden/>
            <w:color w:val="auto"/>
          </w:rPr>
          <w:fldChar w:fldCharType="separate"/>
        </w:r>
        <w:r w:rsidR="00D80429" w:rsidRPr="004D407A">
          <w:rPr>
            <w:webHidden/>
            <w:color w:val="auto"/>
          </w:rPr>
          <w:t>3</w:t>
        </w:r>
        <w:r w:rsidR="00D80429" w:rsidRPr="004D407A">
          <w:rPr>
            <w:webHidden/>
            <w:color w:val="auto"/>
          </w:rPr>
          <w:fldChar w:fldCharType="end"/>
        </w:r>
      </w:hyperlink>
    </w:p>
    <w:p w14:paraId="4E996D0F" w14:textId="76211D06" w:rsidR="00D80429" w:rsidRPr="004D407A" w:rsidRDefault="00C54AE0">
      <w:pPr>
        <w:pStyle w:val="TOC2"/>
        <w:rPr>
          <w:rFonts w:eastAsiaTheme="minorEastAsia"/>
          <w:noProof/>
        </w:rPr>
      </w:pPr>
      <w:hyperlink w:anchor="_Toc111910225" w:history="1">
        <w:r w:rsidR="00D80429" w:rsidRPr="004D407A">
          <w:rPr>
            <w:rStyle w:val="Hyperlink"/>
            <w:noProof/>
            <w:color w:val="auto"/>
          </w:rPr>
          <w:t>2.2</w:t>
        </w:r>
        <w:r w:rsidR="00D80429" w:rsidRPr="004D407A">
          <w:rPr>
            <w:rFonts w:eastAsiaTheme="minorEastAsia"/>
            <w:noProof/>
          </w:rPr>
          <w:tab/>
        </w:r>
        <w:r w:rsidR="00D80429" w:rsidRPr="004D407A">
          <w:rPr>
            <w:rStyle w:val="Hyperlink"/>
            <w:noProof/>
            <w:color w:val="auto"/>
          </w:rPr>
          <w:t>Health system context</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_Toc111910225 \h </w:instrText>
        </w:r>
        <w:r w:rsidR="00D80429" w:rsidRPr="004D407A">
          <w:rPr>
            <w:noProof/>
            <w:webHidden/>
          </w:rPr>
        </w:r>
        <w:r w:rsidR="00D80429" w:rsidRPr="004D407A">
          <w:rPr>
            <w:noProof/>
            <w:webHidden/>
          </w:rPr>
          <w:fldChar w:fldCharType="separate"/>
        </w:r>
        <w:r w:rsidR="00D80429" w:rsidRPr="004D407A">
          <w:rPr>
            <w:noProof/>
            <w:webHidden/>
          </w:rPr>
          <w:t>3</w:t>
        </w:r>
        <w:r w:rsidR="00D80429" w:rsidRPr="004D407A">
          <w:rPr>
            <w:noProof/>
            <w:webHidden/>
          </w:rPr>
          <w:fldChar w:fldCharType="end"/>
        </w:r>
      </w:hyperlink>
    </w:p>
    <w:p w14:paraId="6EF9C385" w14:textId="44548276" w:rsidR="00D80429" w:rsidRPr="004D407A" w:rsidRDefault="00C54AE0">
      <w:pPr>
        <w:pStyle w:val="TOC3"/>
        <w:rPr>
          <w:rFonts w:eastAsiaTheme="minorEastAsia"/>
          <w:color w:val="auto"/>
        </w:rPr>
      </w:pPr>
      <w:hyperlink w:anchor="_Toc111910226" w:history="1">
        <w:r w:rsidR="00D80429" w:rsidRPr="004D407A">
          <w:rPr>
            <w:rStyle w:val="Hyperlink"/>
            <w:color w:val="auto"/>
          </w:rPr>
          <w:t>2.2.1</w:t>
        </w:r>
        <w:r w:rsidR="00D80429" w:rsidRPr="004D407A">
          <w:rPr>
            <w:rFonts w:eastAsiaTheme="minorEastAsia"/>
            <w:color w:val="auto"/>
          </w:rPr>
          <w:tab/>
        </w:r>
        <w:r w:rsidR="00D80429" w:rsidRPr="004D407A">
          <w:rPr>
            <w:rStyle w:val="Hyperlink"/>
            <w:color w:val="auto"/>
          </w:rPr>
          <w:t>Governance</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_Toc111910226 \h </w:instrText>
        </w:r>
        <w:r w:rsidR="00D80429" w:rsidRPr="004D407A">
          <w:rPr>
            <w:webHidden/>
            <w:color w:val="auto"/>
          </w:rPr>
        </w:r>
        <w:r w:rsidR="00D80429" w:rsidRPr="004D407A">
          <w:rPr>
            <w:webHidden/>
            <w:color w:val="auto"/>
          </w:rPr>
          <w:fldChar w:fldCharType="separate"/>
        </w:r>
        <w:r w:rsidR="00D80429" w:rsidRPr="004D407A">
          <w:rPr>
            <w:webHidden/>
            <w:color w:val="auto"/>
          </w:rPr>
          <w:t>3</w:t>
        </w:r>
        <w:r w:rsidR="00D80429" w:rsidRPr="004D407A">
          <w:rPr>
            <w:webHidden/>
            <w:color w:val="auto"/>
          </w:rPr>
          <w:fldChar w:fldCharType="end"/>
        </w:r>
      </w:hyperlink>
    </w:p>
    <w:p w14:paraId="7ECEB4CE" w14:textId="6A4B9EC2" w:rsidR="00D80429" w:rsidRPr="004D407A" w:rsidRDefault="00C54AE0">
      <w:pPr>
        <w:pStyle w:val="TOC4"/>
        <w:rPr>
          <w:rFonts w:eastAsiaTheme="minorEastAsia"/>
          <w:color w:val="auto"/>
          <w:sz w:val="22"/>
        </w:rPr>
      </w:pPr>
      <w:hyperlink w:anchor="_Toc111910227" w:history="1">
        <w:r w:rsidR="00D80429" w:rsidRPr="004D407A">
          <w:rPr>
            <w:rStyle w:val="Hyperlink"/>
            <w:color w:val="auto"/>
          </w:rPr>
          <w:t>(1)</w:t>
        </w:r>
        <w:r w:rsidR="00D80429" w:rsidRPr="004D407A">
          <w:rPr>
            <w:rFonts w:eastAsiaTheme="minorEastAsia"/>
            <w:color w:val="auto"/>
            <w:sz w:val="22"/>
          </w:rPr>
          <w:tab/>
        </w:r>
        <w:r w:rsidR="00D80429" w:rsidRPr="004D407A">
          <w:rPr>
            <w:rStyle w:val="Hyperlink"/>
            <w:color w:val="auto"/>
          </w:rPr>
          <w:t>Policy framework</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_Toc111910227 \h </w:instrText>
        </w:r>
        <w:r w:rsidR="00D80429" w:rsidRPr="004D407A">
          <w:rPr>
            <w:webHidden/>
            <w:color w:val="auto"/>
          </w:rPr>
        </w:r>
        <w:r w:rsidR="00D80429" w:rsidRPr="004D407A">
          <w:rPr>
            <w:webHidden/>
            <w:color w:val="auto"/>
          </w:rPr>
          <w:fldChar w:fldCharType="separate"/>
        </w:r>
        <w:r w:rsidR="00D80429" w:rsidRPr="004D407A">
          <w:rPr>
            <w:webHidden/>
            <w:color w:val="auto"/>
          </w:rPr>
          <w:t>3</w:t>
        </w:r>
        <w:r w:rsidR="00D80429" w:rsidRPr="004D407A">
          <w:rPr>
            <w:webHidden/>
            <w:color w:val="auto"/>
          </w:rPr>
          <w:fldChar w:fldCharType="end"/>
        </w:r>
      </w:hyperlink>
    </w:p>
    <w:p w14:paraId="5AFB4DD4" w14:textId="3A79A67F" w:rsidR="00D80429" w:rsidRPr="004D407A" w:rsidRDefault="00C54AE0">
      <w:pPr>
        <w:pStyle w:val="TOC4"/>
        <w:rPr>
          <w:rFonts w:eastAsiaTheme="minorEastAsia"/>
          <w:color w:val="auto"/>
          <w:sz w:val="22"/>
        </w:rPr>
      </w:pPr>
      <w:hyperlink w:anchor="_Toc111910228" w:history="1">
        <w:r w:rsidR="00D80429" w:rsidRPr="004D407A">
          <w:rPr>
            <w:rStyle w:val="Hyperlink"/>
            <w:color w:val="auto"/>
          </w:rPr>
          <w:t>(2)</w:t>
        </w:r>
        <w:r w:rsidR="00D80429" w:rsidRPr="004D407A">
          <w:rPr>
            <w:rFonts w:eastAsiaTheme="minorEastAsia"/>
            <w:color w:val="auto"/>
            <w:sz w:val="22"/>
          </w:rPr>
          <w:tab/>
        </w:r>
        <w:r w:rsidR="00D80429" w:rsidRPr="004D407A">
          <w:rPr>
            <w:rStyle w:val="Hyperlink"/>
            <w:color w:val="auto"/>
          </w:rPr>
          <w:t>Health policy implementation instruments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_Toc111910228 \h </w:instrText>
        </w:r>
        <w:r w:rsidR="00D80429" w:rsidRPr="004D407A">
          <w:rPr>
            <w:webHidden/>
            <w:color w:val="auto"/>
          </w:rPr>
        </w:r>
        <w:r w:rsidR="00D80429" w:rsidRPr="004D407A">
          <w:rPr>
            <w:webHidden/>
            <w:color w:val="auto"/>
          </w:rPr>
          <w:fldChar w:fldCharType="separate"/>
        </w:r>
        <w:r w:rsidR="00D80429" w:rsidRPr="004D407A">
          <w:rPr>
            <w:webHidden/>
            <w:color w:val="auto"/>
          </w:rPr>
          <w:t>4</w:t>
        </w:r>
        <w:r w:rsidR="00D80429" w:rsidRPr="004D407A">
          <w:rPr>
            <w:webHidden/>
            <w:color w:val="auto"/>
          </w:rPr>
          <w:fldChar w:fldCharType="end"/>
        </w:r>
      </w:hyperlink>
    </w:p>
    <w:p w14:paraId="75E595C1" w14:textId="167AEE2A" w:rsidR="00D80429" w:rsidRPr="004D407A" w:rsidRDefault="00C54AE0">
      <w:pPr>
        <w:pStyle w:val="TOC4"/>
        <w:rPr>
          <w:rFonts w:eastAsiaTheme="minorEastAsia"/>
          <w:color w:val="auto"/>
          <w:sz w:val="22"/>
        </w:rPr>
      </w:pPr>
      <w:hyperlink w:anchor="_Toc111910229" w:history="1">
        <w:r w:rsidR="00D80429" w:rsidRPr="004D407A">
          <w:rPr>
            <w:rStyle w:val="Hyperlink"/>
            <w:color w:val="auto"/>
          </w:rPr>
          <w:t>(3)</w:t>
        </w:r>
        <w:r w:rsidR="00D80429" w:rsidRPr="004D407A">
          <w:rPr>
            <w:rFonts w:eastAsiaTheme="minorEastAsia"/>
            <w:color w:val="auto"/>
            <w:sz w:val="22"/>
          </w:rPr>
          <w:tab/>
        </w:r>
        <w:r w:rsidR="00D80429" w:rsidRPr="004D407A">
          <w:rPr>
            <w:rStyle w:val="Hyperlink"/>
            <w:color w:val="auto"/>
          </w:rPr>
          <w:t>Leadership and management</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_Toc111910229 \h </w:instrText>
        </w:r>
        <w:r w:rsidR="00D80429" w:rsidRPr="004D407A">
          <w:rPr>
            <w:webHidden/>
            <w:color w:val="auto"/>
          </w:rPr>
        </w:r>
        <w:r w:rsidR="00D80429" w:rsidRPr="004D407A">
          <w:rPr>
            <w:webHidden/>
            <w:color w:val="auto"/>
          </w:rPr>
          <w:fldChar w:fldCharType="separate"/>
        </w:r>
        <w:r w:rsidR="00D80429" w:rsidRPr="004D407A">
          <w:rPr>
            <w:webHidden/>
            <w:color w:val="auto"/>
          </w:rPr>
          <w:t>4</w:t>
        </w:r>
        <w:r w:rsidR="00D80429" w:rsidRPr="004D407A">
          <w:rPr>
            <w:webHidden/>
            <w:color w:val="auto"/>
          </w:rPr>
          <w:fldChar w:fldCharType="end"/>
        </w:r>
      </w:hyperlink>
    </w:p>
    <w:p w14:paraId="03AF01DB" w14:textId="4CB10B17" w:rsidR="00D80429" w:rsidRPr="004D407A" w:rsidRDefault="00C54AE0">
      <w:pPr>
        <w:pStyle w:val="TOC3"/>
        <w:rPr>
          <w:rFonts w:eastAsiaTheme="minorEastAsia"/>
          <w:color w:val="auto"/>
        </w:rPr>
      </w:pPr>
      <w:hyperlink w:anchor="_Toc111910230" w:history="1">
        <w:r w:rsidR="00D80429" w:rsidRPr="004D407A">
          <w:rPr>
            <w:rStyle w:val="Hyperlink"/>
            <w:color w:val="auto"/>
          </w:rPr>
          <w:t>2.2.2</w:t>
        </w:r>
        <w:r w:rsidR="00D80429" w:rsidRPr="004D407A">
          <w:rPr>
            <w:rFonts w:eastAsiaTheme="minorEastAsia"/>
            <w:color w:val="auto"/>
          </w:rPr>
          <w:tab/>
        </w:r>
        <w:r w:rsidR="00D80429" w:rsidRPr="004D407A">
          <w:rPr>
            <w:rStyle w:val="Hyperlink"/>
            <w:color w:val="auto"/>
          </w:rPr>
          <w:t>Health Service delivery</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_Toc111910230 \h </w:instrText>
        </w:r>
        <w:r w:rsidR="00D80429" w:rsidRPr="004D407A">
          <w:rPr>
            <w:webHidden/>
            <w:color w:val="auto"/>
          </w:rPr>
        </w:r>
        <w:r w:rsidR="00D80429" w:rsidRPr="004D407A">
          <w:rPr>
            <w:webHidden/>
            <w:color w:val="auto"/>
          </w:rPr>
          <w:fldChar w:fldCharType="separate"/>
        </w:r>
        <w:r w:rsidR="00D80429" w:rsidRPr="004D407A">
          <w:rPr>
            <w:webHidden/>
            <w:color w:val="auto"/>
          </w:rPr>
          <w:t>5</w:t>
        </w:r>
        <w:r w:rsidR="00D80429" w:rsidRPr="004D407A">
          <w:rPr>
            <w:webHidden/>
            <w:color w:val="auto"/>
          </w:rPr>
          <w:fldChar w:fldCharType="end"/>
        </w:r>
      </w:hyperlink>
    </w:p>
    <w:p w14:paraId="6BE6E208" w14:textId="3AABA425" w:rsidR="00D80429" w:rsidRPr="004D407A" w:rsidRDefault="00C54AE0">
      <w:pPr>
        <w:pStyle w:val="TOC4"/>
        <w:rPr>
          <w:rFonts w:eastAsiaTheme="minorEastAsia"/>
          <w:color w:val="auto"/>
          <w:sz w:val="22"/>
        </w:rPr>
      </w:pPr>
      <w:hyperlink w:anchor="_Toc111910231" w:history="1">
        <w:r w:rsidR="00D80429" w:rsidRPr="004D407A">
          <w:rPr>
            <w:rStyle w:val="Hyperlink"/>
            <w:color w:val="auto"/>
          </w:rPr>
          <w:t>(1)</w:t>
        </w:r>
        <w:r w:rsidR="00D80429" w:rsidRPr="004D407A">
          <w:rPr>
            <w:rFonts w:eastAsiaTheme="minorEastAsia"/>
            <w:color w:val="auto"/>
            <w:sz w:val="22"/>
          </w:rPr>
          <w:tab/>
        </w:r>
        <w:r w:rsidR="00D80429" w:rsidRPr="004D407A">
          <w:rPr>
            <w:rStyle w:val="Hyperlink"/>
            <w:color w:val="auto"/>
          </w:rPr>
          <w:t>Health Care Service delivery organization and capacity</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_Toc111910231 \h </w:instrText>
        </w:r>
        <w:r w:rsidR="00D80429" w:rsidRPr="004D407A">
          <w:rPr>
            <w:webHidden/>
            <w:color w:val="auto"/>
          </w:rPr>
        </w:r>
        <w:r w:rsidR="00D80429" w:rsidRPr="004D407A">
          <w:rPr>
            <w:webHidden/>
            <w:color w:val="auto"/>
          </w:rPr>
          <w:fldChar w:fldCharType="separate"/>
        </w:r>
        <w:r w:rsidR="00D80429" w:rsidRPr="004D407A">
          <w:rPr>
            <w:webHidden/>
            <w:color w:val="auto"/>
          </w:rPr>
          <w:t>5</w:t>
        </w:r>
        <w:r w:rsidR="00D80429" w:rsidRPr="004D407A">
          <w:rPr>
            <w:webHidden/>
            <w:color w:val="auto"/>
          </w:rPr>
          <w:fldChar w:fldCharType="end"/>
        </w:r>
      </w:hyperlink>
    </w:p>
    <w:p w14:paraId="137A44F2" w14:textId="4A4907B3" w:rsidR="00D80429" w:rsidRPr="004D407A" w:rsidRDefault="00C54AE0">
      <w:pPr>
        <w:pStyle w:val="TOC4"/>
        <w:rPr>
          <w:rFonts w:eastAsiaTheme="minorEastAsia"/>
          <w:color w:val="auto"/>
          <w:sz w:val="22"/>
        </w:rPr>
      </w:pPr>
      <w:hyperlink w:anchor="_Toc111910232" w:history="1">
        <w:r w:rsidR="00D80429" w:rsidRPr="004D407A">
          <w:rPr>
            <w:rStyle w:val="Hyperlink"/>
            <w:color w:val="auto"/>
          </w:rPr>
          <w:t>(2)</w:t>
        </w:r>
        <w:r w:rsidR="00D80429" w:rsidRPr="004D407A">
          <w:rPr>
            <w:rFonts w:eastAsiaTheme="minorEastAsia"/>
            <w:color w:val="auto"/>
            <w:sz w:val="22"/>
          </w:rPr>
          <w:tab/>
        </w:r>
        <w:r w:rsidR="00D80429" w:rsidRPr="004D407A">
          <w:rPr>
            <w:rStyle w:val="Hyperlink"/>
            <w:color w:val="auto"/>
          </w:rPr>
          <w:t>Private Sector</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_Toc111910232 \h </w:instrText>
        </w:r>
        <w:r w:rsidR="00D80429" w:rsidRPr="004D407A">
          <w:rPr>
            <w:webHidden/>
            <w:color w:val="auto"/>
          </w:rPr>
        </w:r>
        <w:r w:rsidR="00D80429" w:rsidRPr="004D407A">
          <w:rPr>
            <w:webHidden/>
            <w:color w:val="auto"/>
          </w:rPr>
          <w:fldChar w:fldCharType="separate"/>
        </w:r>
        <w:r w:rsidR="00D80429" w:rsidRPr="004D407A">
          <w:rPr>
            <w:webHidden/>
            <w:color w:val="auto"/>
          </w:rPr>
          <w:t>9</w:t>
        </w:r>
        <w:r w:rsidR="00D80429" w:rsidRPr="004D407A">
          <w:rPr>
            <w:webHidden/>
            <w:color w:val="auto"/>
          </w:rPr>
          <w:fldChar w:fldCharType="end"/>
        </w:r>
      </w:hyperlink>
    </w:p>
    <w:p w14:paraId="54B3AB17" w14:textId="2F22F40F" w:rsidR="00D80429" w:rsidRPr="004D407A" w:rsidRDefault="00C54AE0">
      <w:pPr>
        <w:pStyle w:val="TOC3"/>
        <w:rPr>
          <w:rFonts w:eastAsiaTheme="minorEastAsia"/>
          <w:color w:val="auto"/>
        </w:rPr>
      </w:pPr>
      <w:hyperlink w:anchor="_Toc111910233" w:history="1">
        <w:r w:rsidR="00D80429" w:rsidRPr="004D407A">
          <w:rPr>
            <w:rStyle w:val="Hyperlink"/>
            <w:color w:val="auto"/>
          </w:rPr>
          <w:t>2.2.3</w:t>
        </w:r>
        <w:r w:rsidR="00D80429" w:rsidRPr="004D407A">
          <w:rPr>
            <w:rFonts w:eastAsiaTheme="minorEastAsia"/>
            <w:color w:val="auto"/>
          </w:rPr>
          <w:tab/>
        </w:r>
        <w:r w:rsidR="00D80429" w:rsidRPr="004D407A">
          <w:rPr>
            <w:rStyle w:val="Hyperlink"/>
            <w:color w:val="auto"/>
          </w:rPr>
          <w:t>Health workforce</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_Toc111910233 \h </w:instrText>
        </w:r>
        <w:r w:rsidR="00D80429" w:rsidRPr="004D407A">
          <w:rPr>
            <w:webHidden/>
            <w:color w:val="auto"/>
          </w:rPr>
        </w:r>
        <w:r w:rsidR="00D80429" w:rsidRPr="004D407A">
          <w:rPr>
            <w:webHidden/>
            <w:color w:val="auto"/>
          </w:rPr>
          <w:fldChar w:fldCharType="separate"/>
        </w:r>
        <w:r w:rsidR="00D80429" w:rsidRPr="004D407A">
          <w:rPr>
            <w:webHidden/>
            <w:color w:val="auto"/>
          </w:rPr>
          <w:t>9</w:t>
        </w:r>
        <w:r w:rsidR="00D80429" w:rsidRPr="004D407A">
          <w:rPr>
            <w:webHidden/>
            <w:color w:val="auto"/>
          </w:rPr>
          <w:fldChar w:fldCharType="end"/>
        </w:r>
      </w:hyperlink>
    </w:p>
    <w:p w14:paraId="0BB76D85" w14:textId="376FE2AB" w:rsidR="00D80429" w:rsidRPr="004D407A" w:rsidRDefault="00C54AE0">
      <w:pPr>
        <w:pStyle w:val="TOC4"/>
        <w:rPr>
          <w:rFonts w:eastAsiaTheme="minorEastAsia"/>
          <w:color w:val="auto"/>
          <w:sz w:val="22"/>
        </w:rPr>
      </w:pPr>
      <w:hyperlink w:anchor="_Toc111910234" w:history="1">
        <w:r w:rsidR="00D80429" w:rsidRPr="004D407A">
          <w:rPr>
            <w:rStyle w:val="Hyperlink"/>
            <w:color w:val="auto"/>
          </w:rPr>
          <w:t>(1)</w:t>
        </w:r>
        <w:r w:rsidR="00D80429" w:rsidRPr="004D407A">
          <w:rPr>
            <w:rFonts w:eastAsiaTheme="minorEastAsia"/>
            <w:color w:val="auto"/>
            <w:sz w:val="22"/>
          </w:rPr>
          <w:tab/>
        </w:r>
        <w:r w:rsidR="00D80429" w:rsidRPr="004D407A">
          <w:rPr>
            <w:rStyle w:val="Hyperlink"/>
            <w:color w:val="auto"/>
          </w:rPr>
          <w:t>Overview</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_Toc111910234 \h </w:instrText>
        </w:r>
        <w:r w:rsidR="00D80429" w:rsidRPr="004D407A">
          <w:rPr>
            <w:webHidden/>
            <w:color w:val="auto"/>
          </w:rPr>
        </w:r>
        <w:r w:rsidR="00D80429" w:rsidRPr="004D407A">
          <w:rPr>
            <w:webHidden/>
            <w:color w:val="auto"/>
          </w:rPr>
          <w:fldChar w:fldCharType="separate"/>
        </w:r>
        <w:r w:rsidR="00D80429" w:rsidRPr="004D407A">
          <w:rPr>
            <w:webHidden/>
            <w:color w:val="auto"/>
          </w:rPr>
          <w:t>9</w:t>
        </w:r>
        <w:r w:rsidR="00D80429" w:rsidRPr="004D407A">
          <w:rPr>
            <w:webHidden/>
            <w:color w:val="auto"/>
          </w:rPr>
          <w:fldChar w:fldCharType="end"/>
        </w:r>
      </w:hyperlink>
    </w:p>
    <w:p w14:paraId="16F14AD4" w14:textId="0114AA1C" w:rsidR="00D80429" w:rsidRPr="004D407A" w:rsidRDefault="00C54AE0">
      <w:pPr>
        <w:pStyle w:val="TOC4"/>
        <w:rPr>
          <w:rFonts w:eastAsiaTheme="minorEastAsia"/>
          <w:color w:val="auto"/>
          <w:sz w:val="22"/>
        </w:rPr>
      </w:pPr>
      <w:hyperlink w:anchor="_Toc111910235" w:history="1">
        <w:r w:rsidR="00D80429" w:rsidRPr="004D407A">
          <w:rPr>
            <w:rStyle w:val="Hyperlink"/>
            <w:color w:val="auto"/>
          </w:rPr>
          <w:t>(2)</w:t>
        </w:r>
        <w:r w:rsidR="00D80429" w:rsidRPr="004D407A">
          <w:rPr>
            <w:rFonts w:eastAsiaTheme="minorEastAsia"/>
            <w:color w:val="auto"/>
            <w:sz w:val="22"/>
          </w:rPr>
          <w:tab/>
        </w:r>
        <w:r w:rsidR="00D80429" w:rsidRPr="004D407A">
          <w:rPr>
            <w:rStyle w:val="Hyperlink"/>
            <w:color w:val="auto"/>
          </w:rPr>
          <w:t>Health workforce supply and distribution</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_Toc111910235 \h </w:instrText>
        </w:r>
        <w:r w:rsidR="00D80429" w:rsidRPr="004D407A">
          <w:rPr>
            <w:webHidden/>
            <w:color w:val="auto"/>
          </w:rPr>
        </w:r>
        <w:r w:rsidR="00D80429" w:rsidRPr="004D407A">
          <w:rPr>
            <w:webHidden/>
            <w:color w:val="auto"/>
          </w:rPr>
          <w:fldChar w:fldCharType="separate"/>
        </w:r>
        <w:r w:rsidR="00D80429" w:rsidRPr="004D407A">
          <w:rPr>
            <w:webHidden/>
            <w:color w:val="auto"/>
          </w:rPr>
          <w:t>9</w:t>
        </w:r>
        <w:r w:rsidR="00D80429" w:rsidRPr="004D407A">
          <w:rPr>
            <w:webHidden/>
            <w:color w:val="auto"/>
          </w:rPr>
          <w:fldChar w:fldCharType="end"/>
        </w:r>
      </w:hyperlink>
    </w:p>
    <w:p w14:paraId="41D073BE" w14:textId="242B9F57" w:rsidR="00D80429" w:rsidRPr="004D407A" w:rsidRDefault="00C54AE0">
      <w:pPr>
        <w:pStyle w:val="TOC4"/>
        <w:rPr>
          <w:rFonts w:eastAsiaTheme="minorEastAsia"/>
          <w:color w:val="auto"/>
          <w:sz w:val="22"/>
        </w:rPr>
      </w:pPr>
      <w:hyperlink w:anchor="_Toc111910236" w:history="1">
        <w:r w:rsidR="00D80429" w:rsidRPr="004D407A">
          <w:rPr>
            <w:rStyle w:val="Hyperlink"/>
            <w:color w:val="auto"/>
          </w:rPr>
          <w:t>(3)</w:t>
        </w:r>
        <w:r w:rsidR="00D80429" w:rsidRPr="004D407A">
          <w:rPr>
            <w:rFonts w:eastAsiaTheme="minorEastAsia"/>
            <w:color w:val="auto"/>
            <w:sz w:val="22"/>
          </w:rPr>
          <w:tab/>
        </w:r>
        <w:r w:rsidR="00D80429" w:rsidRPr="004D407A">
          <w:rPr>
            <w:rStyle w:val="Hyperlink"/>
            <w:color w:val="auto"/>
          </w:rPr>
          <w:t>Staffing practices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_Toc111910236 \h </w:instrText>
        </w:r>
        <w:r w:rsidR="00D80429" w:rsidRPr="004D407A">
          <w:rPr>
            <w:webHidden/>
            <w:color w:val="auto"/>
          </w:rPr>
        </w:r>
        <w:r w:rsidR="00D80429" w:rsidRPr="004D407A">
          <w:rPr>
            <w:webHidden/>
            <w:color w:val="auto"/>
          </w:rPr>
          <w:fldChar w:fldCharType="separate"/>
        </w:r>
        <w:r w:rsidR="00D80429" w:rsidRPr="004D407A">
          <w:rPr>
            <w:webHidden/>
            <w:color w:val="auto"/>
          </w:rPr>
          <w:t>11</w:t>
        </w:r>
        <w:r w:rsidR="00D80429" w:rsidRPr="004D407A">
          <w:rPr>
            <w:webHidden/>
            <w:color w:val="auto"/>
          </w:rPr>
          <w:fldChar w:fldCharType="end"/>
        </w:r>
      </w:hyperlink>
    </w:p>
    <w:p w14:paraId="74F519DC" w14:textId="55C543DF" w:rsidR="00D80429" w:rsidRPr="004D407A" w:rsidRDefault="00C54AE0">
      <w:pPr>
        <w:pStyle w:val="TOC4"/>
        <w:rPr>
          <w:rFonts w:eastAsiaTheme="minorEastAsia"/>
          <w:color w:val="auto"/>
          <w:sz w:val="22"/>
        </w:rPr>
      </w:pPr>
      <w:hyperlink w:anchor="_Toc111910237" w:history="1">
        <w:r w:rsidR="00D80429" w:rsidRPr="004D407A">
          <w:rPr>
            <w:rStyle w:val="Hyperlink"/>
            <w:color w:val="auto"/>
          </w:rPr>
          <w:t>(4)</w:t>
        </w:r>
        <w:r w:rsidR="00D80429" w:rsidRPr="004D407A">
          <w:rPr>
            <w:rFonts w:eastAsiaTheme="minorEastAsia"/>
            <w:color w:val="auto"/>
            <w:sz w:val="22"/>
          </w:rPr>
          <w:tab/>
        </w:r>
        <w:r w:rsidR="00D80429" w:rsidRPr="004D407A">
          <w:rPr>
            <w:rStyle w:val="Hyperlink"/>
            <w:color w:val="auto"/>
          </w:rPr>
          <w:t>NGOs and private sector</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_Toc111910237 \h </w:instrText>
        </w:r>
        <w:r w:rsidR="00D80429" w:rsidRPr="004D407A">
          <w:rPr>
            <w:webHidden/>
            <w:color w:val="auto"/>
          </w:rPr>
        </w:r>
        <w:r w:rsidR="00D80429" w:rsidRPr="004D407A">
          <w:rPr>
            <w:webHidden/>
            <w:color w:val="auto"/>
          </w:rPr>
          <w:fldChar w:fldCharType="separate"/>
        </w:r>
        <w:r w:rsidR="00D80429" w:rsidRPr="004D407A">
          <w:rPr>
            <w:webHidden/>
            <w:color w:val="auto"/>
          </w:rPr>
          <w:t>12</w:t>
        </w:r>
        <w:r w:rsidR="00D80429" w:rsidRPr="004D407A">
          <w:rPr>
            <w:webHidden/>
            <w:color w:val="auto"/>
          </w:rPr>
          <w:fldChar w:fldCharType="end"/>
        </w:r>
      </w:hyperlink>
    </w:p>
    <w:p w14:paraId="79EE04F4" w14:textId="6CAB2A3B" w:rsidR="00D80429" w:rsidRPr="004D407A" w:rsidRDefault="00C54AE0">
      <w:pPr>
        <w:pStyle w:val="TOC2"/>
        <w:rPr>
          <w:rFonts w:eastAsiaTheme="minorEastAsia"/>
          <w:noProof/>
        </w:rPr>
      </w:pPr>
      <w:hyperlink w:anchor="_Toc111910238" w:history="1">
        <w:r w:rsidR="00D80429" w:rsidRPr="004D407A">
          <w:rPr>
            <w:rStyle w:val="Hyperlink"/>
            <w:noProof/>
            <w:color w:val="auto"/>
          </w:rPr>
          <w:t>2.3</w:t>
        </w:r>
        <w:r w:rsidR="00D80429" w:rsidRPr="004D407A">
          <w:rPr>
            <w:rFonts w:eastAsiaTheme="minorEastAsia"/>
            <w:noProof/>
          </w:rPr>
          <w:tab/>
        </w:r>
        <w:r w:rsidR="00D80429" w:rsidRPr="004D407A">
          <w:rPr>
            <w:rStyle w:val="Hyperlink"/>
            <w:noProof/>
            <w:color w:val="auto"/>
          </w:rPr>
          <w:t>Immunization system</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_Toc111910238 \h </w:instrText>
        </w:r>
        <w:r w:rsidR="00D80429" w:rsidRPr="004D407A">
          <w:rPr>
            <w:noProof/>
            <w:webHidden/>
          </w:rPr>
        </w:r>
        <w:r w:rsidR="00D80429" w:rsidRPr="004D407A">
          <w:rPr>
            <w:noProof/>
            <w:webHidden/>
          </w:rPr>
          <w:fldChar w:fldCharType="separate"/>
        </w:r>
        <w:r w:rsidR="00D80429" w:rsidRPr="004D407A">
          <w:rPr>
            <w:noProof/>
            <w:webHidden/>
          </w:rPr>
          <w:t>12</w:t>
        </w:r>
        <w:r w:rsidR="00D80429" w:rsidRPr="004D407A">
          <w:rPr>
            <w:noProof/>
            <w:webHidden/>
          </w:rPr>
          <w:fldChar w:fldCharType="end"/>
        </w:r>
      </w:hyperlink>
    </w:p>
    <w:p w14:paraId="3B41048B" w14:textId="56E59A84" w:rsidR="00D80429" w:rsidRPr="004D407A" w:rsidRDefault="00C54AE0">
      <w:pPr>
        <w:pStyle w:val="TOC3"/>
        <w:rPr>
          <w:rFonts w:eastAsiaTheme="minorEastAsia"/>
          <w:color w:val="auto"/>
        </w:rPr>
      </w:pPr>
      <w:hyperlink w:anchor="_Toc111910239" w:history="1">
        <w:r w:rsidR="00D80429" w:rsidRPr="004D407A">
          <w:rPr>
            <w:rStyle w:val="Hyperlink"/>
            <w:color w:val="auto"/>
          </w:rPr>
          <w:t>2.3.1</w:t>
        </w:r>
        <w:r w:rsidR="00D80429" w:rsidRPr="004D407A">
          <w:rPr>
            <w:rFonts w:eastAsiaTheme="minorEastAsia"/>
            <w:color w:val="auto"/>
          </w:rPr>
          <w:tab/>
        </w:r>
        <w:r w:rsidR="00D80429" w:rsidRPr="004D407A">
          <w:rPr>
            <w:rStyle w:val="Hyperlink"/>
            <w:color w:val="auto"/>
          </w:rPr>
          <w:t>Background of the national immunization program</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_Toc111910239 \h </w:instrText>
        </w:r>
        <w:r w:rsidR="00D80429" w:rsidRPr="004D407A">
          <w:rPr>
            <w:webHidden/>
            <w:color w:val="auto"/>
          </w:rPr>
        </w:r>
        <w:r w:rsidR="00D80429" w:rsidRPr="004D407A">
          <w:rPr>
            <w:webHidden/>
            <w:color w:val="auto"/>
          </w:rPr>
          <w:fldChar w:fldCharType="separate"/>
        </w:r>
        <w:r w:rsidR="00D80429" w:rsidRPr="004D407A">
          <w:rPr>
            <w:webHidden/>
            <w:color w:val="auto"/>
          </w:rPr>
          <w:t>12</w:t>
        </w:r>
        <w:r w:rsidR="00D80429" w:rsidRPr="004D407A">
          <w:rPr>
            <w:webHidden/>
            <w:color w:val="auto"/>
          </w:rPr>
          <w:fldChar w:fldCharType="end"/>
        </w:r>
      </w:hyperlink>
    </w:p>
    <w:p w14:paraId="485824BC" w14:textId="6F536C64" w:rsidR="00D80429" w:rsidRPr="004D407A" w:rsidRDefault="00C54AE0">
      <w:pPr>
        <w:pStyle w:val="TOC3"/>
        <w:rPr>
          <w:rFonts w:eastAsiaTheme="minorEastAsia"/>
          <w:color w:val="auto"/>
        </w:rPr>
      </w:pPr>
      <w:hyperlink w:anchor="_Toc111910240" w:history="1">
        <w:r w:rsidR="00D80429" w:rsidRPr="004D407A">
          <w:rPr>
            <w:rStyle w:val="Hyperlink"/>
            <w:color w:val="auto"/>
          </w:rPr>
          <w:t>2.3.2</w:t>
        </w:r>
        <w:r w:rsidR="00D80429" w:rsidRPr="004D407A">
          <w:rPr>
            <w:rFonts w:eastAsiaTheme="minorEastAsia"/>
            <w:color w:val="auto"/>
          </w:rPr>
          <w:tab/>
        </w:r>
        <w:r w:rsidR="00D80429" w:rsidRPr="004D407A">
          <w:rPr>
            <w:rStyle w:val="Hyperlink"/>
            <w:color w:val="auto"/>
          </w:rPr>
          <w:t>Immunization system outcomes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_Toc111910240 \h </w:instrText>
        </w:r>
        <w:r w:rsidR="00D80429" w:rsidRPr="004D407A">
          <w:rPr>
            <w:webHidden/>
            <w:color w:val="auto"/>
          </w:rPr>
        </w:r>
        <w:r w:rsidR="00D80429" w:rsidRPr="004D407A">
          <w:rPr>
            <w:webHidden/>
            <w:color w:val="auto"/>
          </w:rPr>
          <w:fldChar w:fldCharType="separate"/>
        </w:r>
        <w:r w:rsidR="00D80429" w:rsidRPr="004D407A">
          <w:rPr>
            <w:webHidden/>
            <w:color w:val="auto"/>
          </w:rPr>
          <w:t>13</w:t>
        </w:r>
        <w:r w:rsidR="00D80429" w:rsidRPr="004D407A">
          <w:rPr>
            <w:webHidden/>
            <w:color w:val="auto"/>
          </w:rPr>
          <w:fldChar w:fldCharType="end"/>
        </w:r>
      </w:hyperlink>
    </w:p>
    <w:p w14:paraId="78860AC6" w14:textId="39A43916" w:rsidR="00D80429" w:rsidRPr="004D407A" w:rsidRDefault="00C54AE0">
      <w:pPr>
        <w:pStyle w:val="TOC4"/>
        <w:rPr>
          <w:rFonts w:eastAsiaTheme="minorEastAsia"/>
          <w:color w:val="auto"/>
          <w:sz w:val="22"/>
        </w:rPr>
      </w:pPr>
      <w:hyperlink w:anchor="_Toc111910241" w:history="1">
        <w:r w:rsidR="00D80429" w:rsidRPr="004D407A">
          <w:rPr>
            <w:rStyle w:val="Hyperlink"/>
            <w:color w:val="auto"/>
          </w:rPr>
          <w:t>(1)</w:t>
        </w:r>
        <w:r w:rsidR="00D80429" w:rsidRPr="004D407A">
          <w:rPr>
            <w:rFonts w:eastAsiaTheme="minorEastAsia"/>
            <w:color w:val="auto"/>
            <w:sz w:val="22"/>
          </w:rPr>
          <w:tab/>
        </w:r>
        <w:r w:rsidR="00D80429" w:rsidRPr="004D407A">
          <w:rPr>
            <w:rStyle w:val="Hyperlink"/>
            <w:color w:val="auto"/>
          </w:rPr>
          <w:t>Immunization coverage trends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_Toc111910241 \h </w:instrText>
        </w:r>
        <w:r w:rsidR="00D80429" w:rsidRPr="004D407A">
          <w:rPr>
            <w:webHidden/>
            <w:color w:val="auto"/>
          </w:rPr>
        </w:r>
        <w:r w:rsidR="00D80429" w:rsidRPr="004D407A">
          <w:rPr>
            <w:webHidden/>
            <w:color w:val="auto"/>
          </w:rPr>
          <w:fldChar w:fldCharType="separate"/>
        </w:r>
        <w:r w:rsidR="00D80429" w:rsidRPr="004D407A">
          <w:rPr>
            <w:webHidden/>
            <w:color w:val="auto"/>
          </w:rPr>
          <w:t>13</w:t>
        </w:r>
        <w:r w:rsidR="00D80429" w:rsidRPr="004D407A">
          <w:rPr>
            <w:webHidden/>
            <w:color w:val="auto"/>
          </w:rPr>
          <w:fldChar w:fldCharType="end"/>
        </w:r>
      </w:hyperlink>
    </w:p>
    <w:p w14:paraId="49583CE6" w14:textId="134812BF" w:rsidR="00D80429" w:rsidRPr="004D407A" w:rsidRDefault="00C54AE0">
      <w:pPr>
        <w:pStyle w:val="TOC4"/>
        <w:rPr>
          <w:rFonts w:eastAsiaTheme="minorEastAsia"/>
          <w:color w:val="auto"/>
          <w:sz w:val="22"/>
        </w:rPr>
      </w:pPr>
      <w:hyperlink w:anchor="_Toc111910242" w:history="1">
        <w:r w:rsidR="00D80429" w:rsidRPr="004D407A">
          <w:rPr>
            <w:rStyle w:val="Hyperlink"/>
            <w:color w:val="auto"/>
          </w:rPr>
          <w:t>(2)</w:t>
        </w:r>
        <w:r w:rsidR="00D80429" w:rsidRPr="004D407A">
          <w:rPr>
            <w:rFonts w:eastAsiaTheme="minorEastAsia"/>
            <w:color w:val="auto"/>
            <w:sz w:val="22"/>
          </w:rPr>
          <w:tab/>
        </w:r>
        <w:r w:rsidR="00D80429" w:rsidRPr="004D407A">
          <w:rPr>
            <w:rStyle w:val="Hyperlink"/>
            <w:color w:val="auto"/>
          </w:rPr>
          <w:t>Immunization coverage equity</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_Toc111910242 \h </w:instrText>
        </w:r>
        <w:r w:rsidR="00D80429" w:rsidRPr="004D407A">
          <w:rPr>
            <w:webHidden/>
            <w:color w:val="auto"/>
          </w:rPr>
        </w:r>
        <w:r w:rsidR="00D80429" w:rsidRPr="004D407A">
          <w:rPr>
            <w:webHidden/>
            <w:color w:val="auto"/>
          </w:rPr>
          <w:fldChar w:fldCharType="separate"/>
        </w:r>
        <w:r w:rsidR="00D80429" w:rsidRPr="004D407A">
          <w:rPr>
            <w:webHidden/>
            <w:color w:val="auto"/>
          </w:rPr>
          <w:t>14</w:t>
        </w:r>
        <w:r w:rsidR="00D80429" w:rsidRPr="004D407A">
          <w:rPr>
            <w:webHidden/>
            <w:color w:val="auto"/>
          </w:rPr>
          <w:fldChar w:fldCharType="end"/>
        </w:r>
      </w:hyperlink>
    </w:p>
    <w:p w14:paraId="59251DD8" w14:textId="1F3F3520" w:rsidR="00D80429" w:rsidRPr="004D407A" w:rsidRDefault="00C54AE0">
      <w:pPr>
        <w:pStyle w:val="TOC4"/>
        <w:rPr>
          <w:rFonts w:eastAsiaTheme="minorEastAsia"/>
          <w:color w:val="auto"/>
          <w:sz w:val="22"/>
        </w:rPr>
      </w:pPr>
      <w:hyperlink w:anchor="_Toc111910243" w:history="1">
        <w:r w:rsidR="00D80429" w:rsidRPr="004D407A">
          <w:rPr>
            <w:rStyle w:val="Hyperlink"/>
            <w:color w:val="auto"/>
          </w:rPr>
          <w:t>(3)</w:t>
        </w:r>
        <w:r w:rsidR="00D80429" w:rsidRPr="004D407A">
          <w:rPr>
            <w:rFonts w:eastAsiaTheme="minorEastAsia"/>
            <w:color w:val="auto"/>
            <w:sz w:val="22"/>
          </w:rPr>
          <w:tab/>
        </w:r>
        <w:r w:rsidR="00D80429" w:rsidRPr="004D407A">
          <w:rPr>
            <w:rStyle w:val="Hyperlink"/>
            <w:color w:val="auto"/>
          </w:rPr>
          <w:t>Neonatal Mortality Rate</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_Toc111910243 \h </w:instrText>
        </w:r>
        <w:r w:rsidR="00D80429" w:rsidRPr="004D407A">
          <w:rPr>
            <w:webHidden/>
            <w:color w:val="auto"/>
          </w:rPr>
        </w:r>
        <w:r w:rsidR="00D80429" w:rsidRPr="004D407A">
          <w:rPr>
            <w:webHidden/>
            <w:color w:val="auto"/>
          </w:rPr>
          <w:fldChar w:fldCharType="separate"/>
        </w:r>
        <w:r w:rsidR="00D80429" w:rsidRPr="004D407A">
          <w:rPr>
            <w:webHidden/>
            <w:color w:val="auto"/>
          </w:rPr>
          <w:t>18</w:t>
        </w:r>
        <w:r w:rsidR="00D80429" w:rsidRPr="004D407A">
          <w:rPr>
            <w:webHidden/>
            <w:color w:val="auto"/>
          </w:rPr>
          <w:fldChar w:fldCharType="end"/>
        </w:r>
      </w:hyperlink>
    </w:p>
    <w:p w14:paraId="7FF6BC95" w14:textId="1D64C2CE" w:rsidR="00D80429" w:rsidRPr="004D407A" w:rsidRDefault="00C54AE0">
      <w:pPr>
        <w:pStyle w:val="TOC4"/>
        <w:rPr>
          <w:rFonts w:eastAsiaTheme="minorEastAsia"/>
          <w:color w:val="auto"/>
          <w:sz w:val="22"/>
        </w:rPr>
      </w:pPr>
      <w:hyperlink w:anchor="_Toc111910244" w:history="1">
        <w:r w:rsidR="00D80429" w:rsidRPr="004D407A">
          <w:rPr>
            <w:rStyle w:val="Hyperlink"/>
            <w:color w:val="auto"/>
          </w:rPr>
          <w:t>(4)</w:t>
        </w:r>
        <w:r w:rsidR="00D80429" w:rsidRPr="004D407A">
          <w:rPr>
            <w:rFonts w:eastAsiaTheme="minorEastAsia"/>
            <w:color w:val="auto"/>
            <w:sz w:val="22"/>
          </w:rPr>
          <w:tab/>
        </w:r>
        <w:r w:rsidR="00D80429" w:rsidRPr="004D407A">
          <w:rPr>
            <w:rStyle w:val="Hyperlink"/>
            <w:color w:val="auto"/>
          </w:rPr>
          <w:t>Under-five Mortality Rate</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_Toc111910244 \h </w:instrText>
        </w:r>
        <w:r w:rsidR="00D80429" w:rsidRPr="004D407A">
          <w:rPr>
            <w:webHidden/>
            <w:color w:val="auto"/>
          </w:rPr>
        </w:r>
        <w:r w:rsidR="00D80429" w:rsidRPr="004D407A">
          <w:rPr>
            <w:webHidden/>
            <w:color w:val="auto"/>
          </w:rPr>
          <w:fldChar w:fldCharType="separate"/>
        </w:r>
        <w:r w:rsidR="00D80429" w:rsidRPr="004D407A">
          <w:rPr>
            <w:webHidden/>
            <w:color w:val="auto"/>
          </w:rPr>
          <w:t>18</w:t>
        </w:r>
        <w:r w:rsidR="00D80429" w:rsidRPr="004D407A">
          <w:rPr>
            <w:webHidden/>
            <w:color w:val="auto"/>
          </w:rPr>
          <w:fldChar w:fldCharType="end"/>
        </w:r>
      </w:hyperlink>
    </w:p>
    <w:p w14:paraId="37ADAD85" w14:textId="543616D8" w:rsidR="00D80429" w:rsidRPr="004D407A" w:rsidRDefault="00C54AE0">
      <w:pPr>
        <w:pStyle w:val="TOC4"/>
        <w:rPr>
          <w:rFonts w:eastAsiaTheme="minorEastAsia"/>
          <w:color w:val="auto"/>
          <w:sz w:val="22"/>
        </w:rPr>
      </w:pPr>
      <w:hyperlink w:anchor="_Toc111910245" w:history="1">
        <w:r w:rsidR="00D80429" w:rsidRPr="004D407A">
          <w:rPr>
            <w:rStyle w:val="Hyperlink"/>
            <w:color w:val="auto"/>
          </w:rPr>
          <w:t>(5)</w:t>
        </w:r>
        <w:r w:rsidR="00D80429" w:rsidRPr="004D407A">
          <w:rPr>
            <w:rFonts w:eastAsiaTheme="minorEastAsia"/>
            <w:color w:val="auto"/>
            <w:sz w:val="22"/>
          </w:rPr>
          <w:tab/>
        </w:r>
        <w:r w:rsidR="00D80429" w:rsidRPr="004D407A">
          <w:rPr>
            <w:rStyle w:val="Hyperlink"/>
            <w:color w:val="auto"/>
          </w:rPr>
          <w:t>Maternal Mortality Ratio</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_Toc111910245 \h </w:instrText>
        </w:r>
        <w:r w:rsidR="00D80429" w:rsidRPr="004D407A">
          <w:rPr>
            <w:webHidden/>
            <w:color w:val="auto"/>
          </w:rPr>
        </w:r>
        <w:r w:rsidR="00D80429" w:rsidRPr="004D407A">
          <w:rPr>
            <w:webHidden/>
            <w:color w:val="auto"/>
          </w:rPr>
          <w:fldChar w:fldCharType="separate"/>
        </w:r>
        <w:r w:rsidR="00D80429" w:rsidRPr="004D407A">
          <w:rPr>
            <w:webHidden/>
            <w:color w:val="auto"/>
          </w:rPr>
          <w:t>19</w:t>
        </w:r>
        <w:r w:rsidR="00D80429" w:rsidRPr="004D407A">
          <w:rPr>
            <w:webHidden/>
            <w:color w:val="auto"/>
          </w:rPr>
          <w:fldChar w:fldCharType="end"/>
        </w:r>
      </w:hyperlink>
    </w:p>
    <w:p w14:paraId="1CE697DE" w14:textId="44B705FC" w:rsidR="00D80429" w:rsidRPr="004D407A" w:rsidRDefault="00C54AE0">
      <w:pPr>
        <w:pStyle w:val="TOC3"/>
        <w:rPr>
          <w:rFonts w:eastAsiaTheme="minorEastAsia"/>
          <w:color w:val="auto"/>
        </w:rPr>
      </w:pPr>
      <w:hyperlink w:anchor="_Toc111910246" w:history="1">
        <w:r w:rsidR="00D80429" w:rsidRPr="004D407A">
          <w:rPr>
            <w:rStyle w:val="Hyperlink"/>
            <w:color w:val="auto"/>
          </w:rPr>
          <w:t>2.3.3</w:t>
        </w:r>
        <w:r w:rsidR="00D80429" w:rsidRPr="004D407A">
          <w:rPr>
            <w:rFonts w:eastAsiaTheme="minorEastAsia"/>
            <w:color w:val="auto"/>
          </w:rPr>
          <w:tab/>
        </w:r>
        <w:r w:rsidR="00D80429" w:rsidRPr="004D407A">
          <w:rPr>
            <w:rStyle w:val="Hyperlink"/>
            <w:color w:val="auto"/>
          </w:rPr>
          <w:t>Immunization system performance by components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_Toc111910246 \h </w:instrText>
        </w:r>
        <w:r w:rsidR="00D80429" w:rsidRPr="004D407A">
          <w:rPr>
            <w:webHidden/>
            <w:color w:val="auto"/>
          </w:rPr>
        </w:r>
        <w:r w:rsidR="00D80429" w:rsidRPr="004D407A">
          <w:rPr>
            <w:webHidden/>
            <w:color w:val="auto"/>
          </w:rPr>
          <w:fldChar w:fldCharType="separate"/>
        </w:r>
        <w:r w:rsidR="00D80429" w:rsidRPr="004D407A">
          <w:rPr>
            <w:webHidden/>
            <w:color w:val="auto"/>
          </w:rPr>
          <w:t>19</w:t>
        </w:r>
        <w:r w:rsidR="00D80429" w:rsidRPr="004D407A">
          <w:rPr>
            <w:webHidden/>
            <w:color w:val="auto"/>
          </w:rPr>
          <w:fldChar w:fldCharType="end"/>
        </w:r>
      </w:hyperlink>
    </w:p>
    <w:p w14:paraId="555CDD3D" w14:textId="074DB048" w:rsidR="00D80429" w:rsidRPr="004D407A" w:rsidRDefault="00C54AE0">
      <w:pPr>
        <w:pStyle w:val="TOC4"/>
        <w:rPr>
          <w:rFonts w:eastAsiaTheme="minorEastAsia"/>
          <w:color w:val="auto"/>
          <w:sz w:val="22"/>
        </w:rPr>
      </w:pPr>
      <w:hyperlink w:anchor="_Toc111910247" w:history="1">
        <w:r w:rsidR="00D80429" w:rsidRPr="004D407A">
          <w:rPr>
            <w:rStyle w:val="Hyperlink"/>
            <w:color w:val="auto"/>
          </w:rPr>
          <w:t>(1)</w:t>
        </w:r>
        <w:r w:rsidR="00D80429" w:rsidRPr="004D407A">
          <w:rPr>
            <w:rFonts w:eastAsiaTheme="minorEastAsia"/>
            <w:color w:val="auto"/>
            <w:sz w:val="22"/>
          </w:rPr>
          <w:tab/>
        </w:r>
        <w:r w:rsidR="00D80429" w:rsidRPr="004D407A">
          <w:rPr>
            <w:rStyle w:val="Hyperlink"/>
            <w:color w:val="auto"/>
          </w:rPr>
          <w:t>Governance / decision making</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_Toc111910247 \h </w:instrText>
        </w:r>
        <w:r w:rsidR="00D80429" w:rsidRPr="004D407A">
          <w:rPr>
            <w:webHidden/>
            <w:color w:val="auto"/>
          </w:rPr>
        </w:r>
        <w:r w:rsidR="00D80429" w:rsidRPr="004D407A">
          <w:rPr>
            <w:webHidden/>
            <w:color w:val="auto"/>
          </w:rPr>
          <w:fldChar w:fldCharType="separate"/>
        </w:r>
        <w:r w:rsidR="00D80429" w:rsidRPr="004D407A">
          <w:rPr>
            <w:webHidden/>
            <w:color w:val="auto"/>
          </w:rPr>
          <w:t>19</w:t>
        </w:r>
        <w:r w:rsidR="00D80429" w:rsidRPr="004D407A">
          <w:rPr>
            <w:webHidden/>
            <w:color w:val="auto"/>
          </w:rPr>
          <w:fldChar w:fldCharType="end"/>
        </w:r>
      </w:hyperlink>
    </w:p>
    <w:p w14:paraId="66A052D6" w14:textId="424515A5" w:rsidR="00D80429" w:rsidRPr="004D407A" w:rsidRDefault="00C54AE0">
      <w:pPr>
        <w:pStyle w:val="TOC4"/>
        <w:rPr>
          <w:rFonts w:eastAsiaTheme="minorEastAsia"/>
          <w:color w:val="auto"/>
          <w:sz w:val="22"/>
        </w:rPr>
      </w:pPr>
      <w:hyperlink w:anchor="_Toc111910248" w:history="1">
        <w:r w:rsidR="00D80429" w:rsidRPr="004D407A">
          <w:rPr>
            <w:rStyle w:val="Hyperlink"/>
            <w:color w:val="auto"/>
          </w:rPr>
          <w:t>(2)</w:t>
        </w:r>
        <w:r w:rsidR="00D80429" w:rsidRPr="004D407A">
          <w:rPr>
            <w:rFonts w:eastAsiaTheme="minorEastAsia"/>
            <w:color w:val="auto"/>
            <w:sz w:val="22"/>
          </w:rPr>
          <w:tab/>
        </w:r>
        <w:r w:rsidR="00D80429" w:rsidRPr="004D407A">
          <w:rPr>
            <w:rStyle w:val="Hyperlink"/>
            <w:color w:val="auto"/>
          </w:rPr>
          <w:t>Immunization service delivery</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_Toc111910248 \h </w:instrText>
        </w:r>
        <w:r w:rsidR="00D80429" w:rsidRPr="004D407A">
          <w:rPr>
            <w:webHidden/>
            <w:color w:val="auto"/>
          </w:rPr>
        </w:r>
        <w:r w:rsidR="00D80429" w:rsidRPr="004D407A">
          <w:rPr>
            <w:webHidden/>
            <w:color w:val="auto"/>
          </w:rPr>
          <w:fldChar w:fldCharType="separate"/>
        </w:r>
        <w:r w:rsidR="00D80429" w:rsidRPr="004D407A">
          <w:rPr>
            <w:webHidden/>
            <w:color w:val="auto"/>
          </w:rPr>
          <w:t>20</w:t>
        </w:r>
        <w:r w:rsidR="00D80429" w:rsidRPr="004D407A">
          <w:rPr>
            <w:webHidden/>
            <w:color w:val="auto"/>
          </w:rPr>
          <w:fldChar w:fldCharType="end"/>
        </w:r>
      </w:hyperlink>
    </w:p>
    <w:p w14:paraId="2F96C83D" w14:textId="773B3379" w:rsidR="00D80429" w:rsidRPr="004D407A" w:rsidRDefault="00C54AE0">
      <w:pPr>
        <w:pStyle w:val="TOC4"/>
        <w:rPr>
          <w:rFonts w:eastAsiaTheme="minorEastAsia"/>
          <w:color w:val="auto"/>
          <w:sz w:val="22"/>
        </w:rPr>
      </w:pPr>
      <w:hyperlink w:anchor="_Toc111910249" w:history="1">
        <w:r w:rsidR="00D80429" w:rsidRPr="004D407A">
          <w:rPr>
            <w:rStyle w:val="Hyperlink"/>
            <w:color w:val="auto"/>
          </w:rPr>
          <w:t>(3)</w:t>
        </w:r>
        <w:r w:rsidR="00D80429" w:rsidRPr="004D407A">
          <w:rPr>
            <w:rFonts w:eastAsiaTheme="minorEastAsia"/>
            <w:color w:val="auto"/>
            <w:sz w:val="22"/>
          </w:rPr>
          <w:tab/>
        </w:r>
        <w:r w:rsidR="00D80429" w:rsidRPr="004D407A">
          <w:rPr>
            <w:rStyle w:val="Hyperlink"/>
            <w:color w:val="auto"/>
          </w:rPr>
          <w:t>Program management</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_Toc111910249 \h </w:instrText>
        </w:r>
        <w:r w:rsidR="00D80429" w:rsidRPr="004D407A">
          <w:rPr>
            <w:webHidden/>
            <w:color w:val="auto"/>
          </w:rPr>
        </w:r>
        <w:r w:rsidR="00D80429" w:rsidRPr="004D407A">
          <w:rPr>
            <w:webHidden/>
            <w:color w:val="auto"/>
          </w:rPr>
          <w:fldChar w:fldCharType="separate"/>
        </w:r>
        <w:r w:rsidR="00D80429" w:rsidRPr="004D407A">
          <w:rPr>
            <w:webHidden/>
            <w:color w:val="auto"/>
          </w:rPr>
          <w:t>22</w:t>
        </w:r>
        <w:r w:rsidR="00D80429" w:rsidRPr="004D407A">
          <w:rPr>
            <w:webHidden/>
            <w:color w:val="auto"/>
          </w:rPr>
          <w:fldChar w:fldCharType="end"/>
        </w:r>
      </w:hyperlink>
    </w:p>
    <w:p w14:paraId="468CA699" w14:textId="1C0F8DE0" w:rsidR="00D80429" w:rsidRPr="004D407A" w:rsidRDefault="00C54AE0">
      <w:pPr>
        <w:pStyle w:val="TOC4"/>
        <w:rPr>
          <w:rFonts w:eastAsiaTheme="minorEastAsia"/>
          <w:color w:val="auto"/>
          <w:sz w:val="22"/>
        </w:rPr>
      </w:pPr>
      <w:hyperlink w:anchor="_Toc111910250" w:history="1">
        <w:r w:rsidR="00D80429" w:rsidRPr="004D407A">
          <w:rPr>
            <w:rStyle w:val="Hyperlink"/>
            <w:color w:val="auto"/>
          </w:rPr>
          <w:t>(4)</w:t>
        </w:r>
        <w:r w:rsidR="00D80429" w:rsidRPr="004D407A">
          <w:rPr>
            <w:rFonts w:eastAsiaTheme="minorEastAsia"/>
            <w:color w:val="auto"/>
            <w:sz w:val="22"/>
          </w:rPr>
          <w:tab/>
        </w:r>
        <w:r w:rsidR="00D80429" w:rsidRPr="004D407A">
          <w:rPr>
            <w:rStyle w:val="Hyperlink"/>
            <w:color w:val="auto"/>
          </w:rPr>
          <w:t>Workforce</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_Toc111910250 \h </w:instrText>
        </w:r>
        <w:r w:rsidR="00D80429" w:rsidRPr="004D407A">
          <w:rPr>
            <w:webHidden/>
            <w:color w:val="auto"/>
          </w:rPr>
        </w:r>
        <w:r w:rsidR="00D80429" w:rsidRPr="004D407A">
          <w:rPr>
            <w:webHidden/>
            <w:color w:val="auto"/>
          </w:rPr>
          <w:fldChar w:fldCharType="separate"/>
        </w:r>
        <w:r w:rsidR="00D80429" w:rsidRPr="004D407A">
          <w:rPr>
            <w:webHidden/>
            <w:color w:val="auto"/>
          </w:rPr>
          <w:t>22</w:t>
        </w:r>
        <w:r w:rsidR="00D80429" w:rsidRPr="004D407A">
          <w:rPr>
            <w:webHidden/>
            <w:color w:val="auto"/>
          </w:rPr>
          <w:fldChar w:fldCharType="end"/>
        </w:r>
      </w:hyperlink>
    </w:p>
    <w:p w14:paraId="1CE01EA4" w14:textId="7B3AB775" w:rsidR="00D80429" w:rsidRPr="004D407A" w:rsidRDefault="00C54AE0">
      <w:pPr>
        <w:pStyle w:val="TOC4"/>
        <w:rPr>
          <w:rFonts w:eastAsiaTheme="minorEastAsia"/>
          <w:color w:val="auto"/>
          <w:sz w:val="22"/>
        </w:rPr>
      </w:pPr>
      <w:hyperlink w:anchor="_Toc111910251" w:history="1">
        <w:r w:rsidR="00D80429" w:rsidRPr="004D407A">
          <w:rPr>
            <w:rStyle w:val="Hyperlink"/>
            <w:color w:val="auto"/>
          </w:rPr>
          <w:t>(5)</w:t>
        </w:r>
        <w:r w:rsidR="00D80429" w:rsidRPr="004D407A">
          <w:rPr>
            <w:rFonts w:eastAsiaTheme="minorEastAsia"/>
            <w:color w:val="auto"/>
            <w:sz w:val="22"/>
          </w:rPr>
          <w:tab/>
        </w:r>
        <w:r w:rsidR="00D80429" w:rsidRPr="004D407A">
          <w:rPr>
            <w:rStyle w:val="Hyperlink"/>
            <w:color w:val="auto"/>
          </w:rPr>
          <w:t>Reporting</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_Toc111910251 \h </w:instrText>
        </w:r>
        <w:r w:rsidR="00D80429" w:rsidRPr="004D407A">
          <w:rPr>
            <w:webHidden/>
            <w:color w:val="auto"/>
          </w:rPr>
        </w:r>
        <w:r w:rsidR="00D80429" w:rsidRPr="004D407A">
          <w:rPr>
            <w:webHidden/>
            <w:color w:val="auto"/>
          </w:rPr>
          <w:fldChar w:fldCharType="separate"/>
        </w:r>
        <w:r w:rsidR="00D80429" w:rsidRPr="004D407A">
          <w:rPr>
            <w:webHidden/>
            <w:color w:val="auto"/>
          </w:rPr>
          <w:t>23</w:t>
        </w:r>
        <w:r w:rsidR="00D80429" w:rsidRPr="004D407A">
          <w:rPr>
            <w:webHidden/>
            <w:color w:val="auto"/>
          </w:rPr>
          <w:fldChar w:fldCharType="end"/>
        </w:r>
      </w:hyperlink>
    </w:p>
    <w:p w14:paraId="5D0431FF" w14:textId="35866D45" w:rsidR="00D80429" w:rsidRPr="004D407A" w:rsidRDefault="00C54AE0">
      <w:pPr>
        <w:pStyle w:val="TOC4"/>
        <w:rPr>
          <w:rFonts w:eastAsiaTheme="minorEastAsia"/>
          <w:color w:val="auto"/>
          <w:sz w:val="22"/>
        </w:rPr>
      </w:pPr>
      <w:hyperlink w:anchor="_Toc111910252" w:history="1">
        <w:r w:rsidR="00D80429" w:rsidRPr="004D407A">
          <w:rPr>
            <w:rStyle w:val="Hyperlink"/>
            <w:color w:val="auto"/>
          </w:rPr>
          <w:t>(6)</w:t>
        </w:r>
        <w:r w:rsidR="00D80429" w:rsidRPr="004D407A">
          <w:rPr>
            <w:rFonts w:eastAsiaTheme="minorEastAsia"/>
            <w:color w:val="auto"/>
            <w:sz w:val="22"/>
          </w:rPr>
          <w:tab/>
        </w:r>
        <w:r w:rsidR="00D80429" w:rsidRPr="004D407A">
          <w:rPr>
            <w:rStyle w:val="Hyperlink"/>
            <w:color w:val="auto"/>
          </w:rPr>
          <w:t>Data quality</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_Toc111910252 \h </w:instrText>
        </w:r>
        <w:r w:rsidR="00D80429" w:rsidRPr="004D407A">
          <w:rPr>
            <w:webHidden/>
            <w:color w:val="auto"/>
          </w:rPr>
        </w:r>
        <w:r w:rsidR="00D80429" w:rsidRPr="004D407A">
          <w:rPr>
            <w:webHidden/>
            <w:color w:val="auto"/>
          </w:rPr>
          <w:fldChar w:fldCharType="separate"/>
        </w:r>
        <w:r w:rsidR="00D80429" w:rsidRPr="004D407A">
          <w:rPr>
            <w:webHidden/>
            <w:color w:val="auto"/>
          </w:rPr>
          <w:t>24</w:t>
        </w:r>
        <w:r w:rsidR="00D80429" w:rsidRPr="004D407A">
          <w:rPr>
            <w:webHidden/>
            <w:color w:val="auto"/>
          </w:rPr>
          <w:fldChar w:fldCharType="end"/>
        </w:r>
      </w:hyperlink>
    </w:p>
    <w:p w14:paraId="04FEFB3A" w14:textId="404B7241" w:rsidR="00D80429" w:rsidRPr="004D407A" w:rsidRDefault="00C54AE0">
      <w:pPr>
        <w:pStyle w:val="TOC4"/>
        <w:rPr>
          <w:rFonts w:eastAsiaTheme="minorEastAsia"/>
          <w:color w:val="auto"/>
          <w:sz w:val="22"/>
        </w:rPr>
      </w:pPr>
      <w:hyperlink w:anchor="_Toc111910253" w:history="1">
        <w:r w:rsidR="00D80429" w:rsidRPr="004D407A">
          <w:rPr>
            <w:rStyle w:val="Hyperlink"/>
            <w:color w:val="auto"/>
          </w:rPr>
          <w:t>(7)</w:t>
        </w:r>
        <w:r w:rsidR="00D80429" w:rsidRPr="004D407A">
          <w:rPr>
            <w:rFonts w:eastAsiaTheme="minorEastAsia"/>
            <w:color w:val="auto"/>
            <w:sz w:val="22"/>
          </w:rPr>
          <w:tab/>
        </w:r>
        <w:r w:rsidR="00D80429" w:rsidRPr="004D407A">
          <w:rPr>
            <w:rStyle w:val="Hyperlink"/>
            <w:color w:val="auto"/>
          </w:rPr>
          <w:t>Cold chain and vaccine management</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_Toc111910253 \h </w:instrText>
        </w:r>
        <w:r w:rsidR="00D80429" w:rsidRPr="004D407A">
          <w:rPr>
            <w:webHidden/>
            <w:color w:val="auto"/>
          </w:rPr>
        </w:r>
        <w:r w:rsidR="00D80429" w:rsidRPr="004D407A">
          <w:rPr>
            <w:webHidden/>
            <w:color w:val="auto"/>
          </w:rPr>
          <w:fldChar w:fldCharType="separate"/>
        </w:r>
        <w:r w:rsidR="00D80429" w:rsidRPr="004D407A">
          <w:rPr>
            <w:webHidden/>
            <w:color w:val="auto"/>
          </w:rPr>
          <w:t>24</w:t>
        </w:r>
        <w:r w:rsidR="00D80429" w:rsidRPr="004D407A">
          <w:rPr>
            <w:webHidden/>
            <w:color w:val="auto"/>
          </w:rPr>
          <w:fldChar w:fldCharType="end"/>
        </w:r>
      </w:hyperlink>
    </w:p>
    <w:p w14:paraId="44F88FA6" w14:textId="29045BC1" w:rsidR="00D80429" w:rsidRPr="004D407A" w:rsidRDefault="00C54AE0">
      <w:pPr>
        <w:pStyle w:val="TOC4"/>
        <w:rPr>
          <w:rFonts w:eastAsiaTheme="minorEastAsia"/>
          <w:color w:val="auto"/>
          <w:sz w:val="22"/>
        </w:rPr>
      </w:pPr>
      <w:hyperlink w:anchor="_Toc111910254" w:history="1">
        <w:r w:rsidR="00D80429" w:rsidRPr="004D407A">
          <w:rPr>
            <w:rStyle w:val="Hyperlink"/>
            <w:color w:val="auto"/>
          </w:rPr>
          <w:t>(8)</w:t>
        </w:r>
        <w:r w:rsidR="00D80429" w:rsidRPr="004D407A">
          <w:rPr>
            <w:rFonts w:eastAsiaTheme="minorEastAsia"/>
            <w:color w:val="auto"/>
            <w:sz w:val="22"/>
          </w:rPr>
          <w:tab/>
        </w:r>
        <w:r w:rsidR="00D80429" w:rsidRPr="004D407A">
          <w:rPr>
            <w:rStyle w:val="Hyperlink"/>
            <w:color w:val="auto"/>
          </w:rPr>
          <w:t>Surveillance, monitoring, and reporting</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_Toc111910254 \h </w:instrText>
        </w:r>
        <w:r w:rsidR="00D80429" w:rsidRPr="004D407A">
          <w:rPr>
            <w:webHidden/>
            <w:color w:val="auto"/>
          </w:rPr>
        </w:r>
        <w:r w:rsidR="00D80429" w:rsidRPr="004D407A">
          <w:rPr>
            <w:webHidden/>
            <w:color w:val="auto"/>
          </w:rPr>
          <w:fldChar w:fldCharType="separate"/>
        </w:r>
        <w:r w:rsidR="00D80429" w:rsidRPr="004D407A">
          <w:rPr>
            <w:webHidden/>
            <w:color w:val="auto"/>
          </w:rPr>
          <w:t>26</w:t>
        </w:r>
        <w:r w:rsidR="00D80429" w:rsidRPr="004D407A">
          <w:rPr>
            <w:webHidden/>
            <w:color w:val="auto"/>
          </w:rPr>
          <w:fldChar w:fldCharType="end"/>
        </w:r>
      </w:hyperlink>
    </w:p>
    <w:p w14:paraId="0EABBA42" w14:textId="6E06795E" w:rsidR="00D80429" w:rsidRPr="004D407A" w:rsidRDefault="00C54AE0">
      <w:pPr>
        <w:pStyle w:val="TOC4"/>
        <w:rPr>
          <w:rFonts w:eastAsiaTheme="minorEastAsia"/>
          <w:color w:val="auto"/>
          <w:sz w:val="22"/>
        </w:rPr>
      </w:pPr>
      <w:hyperlink w:anchor="_Toc111910255" w:history="1">
        <w:r w:rsidR="00D80429" w:rsidRPr="004D407A">
          <w:rPr>
            <w:rStyle w:val="Hyperlink"/>
            <w:color w:val="auto"/>
          </w:rPr>
          <w:t>(9)</w:t>
        </w:r>
        <w:r w:rsidR="00D80429" w:rsidRPr="004D407A">
          <w:rPr>
            <w:rFonts w:eastAsiaTheme="minorEastAsia"/>
            <w:color w:val="auto"/>
            <w:sz w:val="22"/>
          </w:rPr>
          <w:tab/>
        </w:r>
        <w:r w:rsidR="00D80429" w:rsidRPr="004D407A">
          <w:rPr>
            <w:rStyle w:val="Hyperlink"/>
            <w:color w:val="auto"/>
          </w:rPr>
          <w:t>Demand generation, communication, and advocacy</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_Toc111910255 \h </w:instrText>
        </w:r>
        <w:r w:rsidR="00D80429" w:rsidRPr="004D407A">
          <w:rPr>
            <w:webHidden/>
            <w:color w:val="auto"/>
          </w:rPr>
        </w:r>
        <w:r w:rsidR="00D80429" w:rsidRPr="004D407A">
          <w:rPr>
            <w:webHidden/>
            <w:color w:val="auto"/>
          </w:rPr>
          <w:fldChar w:fldCharType="separate"/>
        </w:r>
        <w:r w:rsidR="00D80429" w:rsidRPr="004D407A">
          <w:rPr>
            <w:webHidden/>
            <w:color w:val="auto"/>
          </w:rPr>
          <w:t>29</w:t>
        </w:r>
        <w:r w:rsidR="00D80429" w:rsidRPr="004D407A">
          <w:rPr>
            <w:webHidden/>
            <w:color w:val="auto"/>
          </w:rPr>
          <w:fldChar w:fldCharType="end"/>
        </w:r>
      </w:hyperlink>
    </w:p>
    <w:p w14:paraId="6D153F7B" w14:textId="79549A81" w:rsidR="00D80429" w:rsidRPr="004D407A" w:rsidRDefault="00C54AE0">
      <w:pPr>
        <w:pStyle w:val="TOC3"/>
        <w:rPr>
          <w:rFonts w:eastAsiaTheme="minorEastAsia"/>
          <w:color w:val="auto"/>
        </w:rPr>
      </w:pPr>
      <w:hyperlink w:anchor="_Toc111910256" w:history="1">
        <w:r w:rsidR="00D80429" w:rsidRPr="004D407A">
          <w:rPr>
            <w:rStyle w:val="Hyperlink"/>
            <w:color w:val="auto"/>
          </w:rPr>
          <w:t>2.3.4</w:t>
        </w:r>
        <w:r w:rsidR="00D80429" w:rsidRPr="004D407A">
          <w:rPr>
            <w:rFonts w:eastAsiaTheme="minorEastAsia"/>
            <w:color w:val="auto"/>
          </w:rPr>
          <w:tab/>
        </w:r>
        <w:r w:rsidR="00D80429" w:rsidRPr="004D407A">
          <w:rPr>
            <w:rStyle w:val="Hyperlink"/>
            <w:color w:val="auto"/>
          </w:rPr>
          <w:t>Accelerated disease control initiatives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_Toc111910256 \h </w:instrText>
        </w:r>
        <w:r w:rsidR="00D80429" w:rsidRPr="004D407A">
          <w:rPr>
            <w:webHidden/>
            <w:color w:val="auto"/>
          </w:rPr>
        </w:r>
        <w:r w:rsidR="00D80429" w:rsidRPr="004D407A">
          <w:rPr>
            <w:webHidden/>
            <w:color w:val="auto"/>
          </w:rPr>
          <w:fldChar w:fldCharType="separate"/>
        </w:r>
        <w:r w:rsidR="00D80429" w:rsidRPr="004D407A">
          <w:rPr>
            <w:webHidden/>
            <w:color w:val="auto"/>
          </w:rPr>
          <w:t>30</w:t>
        </w:r>
        <w:r w:rsidR="00D80429" w:rsidRPr="004D407A">
          <w:rPr>
            <w:webHidden/>
            <w:color w:val="auto"/>
          </w:rPr>
          <w:fldChar w:fldCharType="end"/>
        </w:r>
      </w:hyperlink>
    </w:p>
    <w:p w14:paraId="633132CA" w14:textId="44ADD047" w:rsidR="00D80429" w:rsidRPr="004D407A" w:rsidRDefault="00C54AE0">
      <w:pPr>
        <w:pStyle w:val="TOC4"/>
        <w:rPr>
          <w:rFonts w:eastAsiaTheme="minorEastAsia"/>
          <w:color w:val="auto"/>
          <w:sz w:val="22"/>
        </w:rPr>
      </w:pPr>
      <w:hyperlink w:anchor="_Toc111910257" w:history="1">
        <w:r w:rsidR="00D80429" w:rsidRPr="004D407A">
          <w:rPr>
            <w:rStyle w:val="Hyperlink"/>
            <w:color w:val="auto"/>
          </w:rPr>
          <w:t>(1)</w:t>
        </w:r>
        <w:r w:rsidR="00D80429" w:rsidRPr="004D407A">
          <w:rPr>
            <w:rFonts w:eastAsiaTheme="minorEastAsia"/>
            <w:color w:val="auto"/>
            <w:sz w:val="22"/>
          </w:rPr>
          <w:tab/>
        </w:r>
        <w:r w:rsidR="00D80429" w:rsidRPr="004D407A">
          <w:rPr>
            <w:rStyle w:val="Hyperlink"/>
            <w:color w:val="auto"/>
          </w:rPr>
          <w:t>Polio</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_Toc111910257 \h </w:instrText>
        </w:r>
        <w:r w:rsidR="00D80429" w:rsidRPr="004D407A">
          <w:rPr>
            <w:webHidden/>
            <w:color w:val="auto"/>
          </w:rPr>
        </w:r>
        <w:r w:rsidR="00D80429" w:rsidRPr="004D407A">
          <w:rPr>
            <w:webHidden/>
            <w:color w:val="auto"/>
          </w:rPr>
          <w:fldChar w:fldCharType="separate"/>
        </w:r>
        <w:r w:rsidR="00D80429" w:rsidRPr="004D407A">
          <w:rPr>
            <w:webHidden/>
            <w:color w:val="auto"/>
          </w:rPr>
          <w:t>31</w:t>
        </w:r>
        <w:r w:rsidR="00D80429" w:rsidRPr="004D407A">
          <w:rPr>
            <w:webHidden/>
            <w:color w:val="auto"/>
          </w:rPr>
          <w:fldChar w:fldCharType="end"/>
        </w:r>
      </w:hyperlink>
    </w:p>
    <w:p w14:paraId="717658CE" w14:textId="593291BE" w:rsidR="00D80429" w:rsidRPr="004D407A" w:rsidRDefault="00C54AE0">
      <w:pPr>
        <w:pStyle w:val="TOC4"/>
        <w:rPr>
          <w:rFonts w:eastAsiaTheme="minorEastAsia"/>
          <w:color w:val="auto"/>
          <w:sz w:val="22"/>
        </w:rPr>
      </w:pPr>
      <w:hyperlink w:anchor="_Toc111910258" w:history="1">
        <w:r w:rsidR="00D80429" w:rsidRPr="004D407A">
          <w:rPr>
            <w:rStyle w:val="Hyperlink"/>
            <w:color w:val="auto"/>
          </w:rPr>
          <w:t>(2)</w:t>
        </w:r>
        <w:r w:rsidR="00D80429" w:rsidRPr="004D407A">
          <w:rPr>
            <w:rFonts w:eastAsiaTheme="minorEastAsia"/>
            <w:color w:val="auto"/>
            <w:sz w:val="22"/>
          </w:rPr>
          <w:tab/>
        </w:r>
        <w:r w:rsidR="00D80429" w:rsidRPr="004D407A">
          <w:rPr>
            <w:rStyle w:val="Hyperlink"/>
            <w:color w:val="auto"/>
          </w:rPr>
          <w:t>Maternal Neonatal Tetanus Elimination</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_Toc111910258 \h </w:instrText>
        </w:r>
        <w:r w:rsidR="00D80429" w:rsidRPr="004D407A">
          <w:rPr>
            <w:webHidden/>
            <w:color w:val="auto"/>
          </w:rPr>
        </w:r>
        <w:r w:rsidR="00D80429" w:rsidRPr="004D407A">
          <w:rPr>
            <w:webHidden/>
            <w:color w:val="auto"/>
          </w:rPr>
          <w:fldChar w:fldCharType="separate"/>
        </w:r>
        <w:r w:rsidR="00D80429" w:rsidRPr="004D407A">
          <w:rPr>
            <w:webHidden/>
            <w:color w:val="auto"/>
          </w:rPr>
          <w:t>31</w:t>
        </w:r>
        <w:r w:rsidR="00D80429" w:rsidRPr="004D407A">
          <w:rPr>
            <w:webHidden/>
            <w:color w:val="auto"/>
          </w:rPr>
          <w:fldChar w:fldCharType="end"/>
        </w:r>
      </w:hyperlink>
    </w:p>
    <w:p w14:paraId="6439C67A" w14:textId="5D386200" w:rsidR="00D80429" w:rsidRPr="004D407A" w:rsidRDefault="00C54AE0">
      <w:pPr>
        <w:pStyle w:val="TOC4"/>
        <w:rPr>
          <w:rFonts w:eastAsiaTheme="minorEastAsia"/>
          <w:color w:val="auto"/>
          <w:sz w:val="22"/>
        </w:rPr>
      </w:pPr>
      <w:hyperlink w:anchor="_Toc111910259" w:history="1">
        <w:r w:rsidR="00D80429" w:rsidRPr="004D407A">
          <w:rPr>
            <w:rStyle w:val="Hyperlink"/>
            <w:color w:val="auto"/>
          </w:rPr>
          <w:t>(3)</w:t>
        </w:r>
        <w:r w:rsidR="00D80429" w:rsidRPr="004D407A">
          <w:rPr>
            <w:rFonts w:eastAsiaTheme="minorEastAsia"/>
            <w:color w:val="auto"/>
            <w:sz w:val="22"/>
          </w:rPr>
          <w:tab/>
        </w:r>
        <w:r w:rsidR="00D80429" w:rsidRPr="004D407A">
          <w:rPr>
            <w:rStyle w:val="Hyperlink"/>
            <w:color w:val="auto"/>
          </w:rPr>
          <w:t>Measles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_Toc111910259 \h </w:instrText>
        </w:r>
        <w:r w:rsidR="00D80429" w:rsidRPr="004D407A">
          <w:rPr>
            <w:webHidden/>
            <w:color w:val="auto"/>
          </w:rPr>
        </w:r>
        <w:r w:rsidR="00D80429" w:rsidRPr="004D407A">
          <w:rPr>
            <w:webHidden/>
            <w:color w:val="auto"/>
          </w:rPr>
          <w:fldChar w:fldCharType="separate"/>
        </w:r>
        <w:r w:rsidR="00D80429" w:rsidRPr="004D407A">
          <w:rPr>
            <w:webHidden/>
            <w:color w:val="auto"/>
          </w:rPr>
          <w:t>31</w:t>
        </w:r>
        <w:r w:rsidR="00D80429" w:rsidRPr="004D407A">
          <w:rPr>
            <w:webHidden/>
            <w:color w:val="auto"/>
          </w:rPr>
          <w:fldChar w:fldCharType="end"/>
        </w:r>
      </w:hyperlink>
    </w:p>
    <w:p w14:paraId="1780290A" w14:textId="688F08BC" w:rsidR="00D80429" w:rsidRPr="004D407A" w:rsidRDefault="00C54AE0">
      <w:pPr>
        <w:pStyle w:val="TOC2"/>
        <w:rPr>
          <w:rFonts w:eastAsiaTheme="minorEastAsia"/>
          <w:noProof/>
        </w:rPr>
      </w:pPr>
      <w:hyperlink w:anchor="_Toc111910260" w:history="1">
        <w:r w:rsidR="00D80429" w:rsidRPr="004D407A">
          <w:rPr>
            <w:rStyle w:val="Hyperlink"/>
            <w:noProof/>
            <w:color w:val="auto"/>
          </w:rPr>
          <w:t>2.4</w:t>
        </w:r>
        <w:r w:rsidR="00D80429" w:rsidRPr="004D407A">
          <w:rPr>
            <w:rFonts w:eastAsiaTheme="minorEastAsia"/>
            <w:noProof/>
          </w:rPr>
          <w:tab/>
        </w:r>
        <w:r w:rsidR="00D80429" w:rsidRPr="004D407A">
          <w:rPr>
            <w:rStyle w:val="Hyperlink"/>
            <w:noProof/>
            <w:color w:val="auto"/>
          </w:rPr>
          <w:t>Summary of situational Analysis</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_Toc111910260 \h </w:instrText>
        </w:r>
        <w:r w:rsidR="00D80429" w:rsidRPr="004D407A">
          <w:rPr>
            <w:noProof/>
            <w:webHidden/>
          </w:rPr>
        </w:r>
        <w:r w:rsidR="00D80429" w:rsidRPr="004D407A">
          <w:rPr>
            <w:noProof/>
            <w:webHidden/>
          </w:rPr>
          <w:fldChar w:fldCharType="separate"/>
        </w:r>
        <w:r w:rsidR="00D80429" w:rsidRPr="004D407A">
          <w:rPr>
            <w:noProof/>
            <w:webHidden/>
          </w:rPr>
          <w:t>33</w:t>
        </w:r>
        <w:r w:rsidR="00D80429" w:rsidRPr="004D407A">
          <w:rPr>
            <w:noProof/>
            <w:webHidden/>
          </w:rPr>
          <w:fldChar w:fldCharType="end"/>
        </w:r>
      </w:hyperlink>
    </w:p>
    <w:p w14:paraId="2AB31BA2" w14:textId="59A02DB8" w:rsidR="00D80429" w:rsidRPr="004D407A" w:rsidRDefault="00C54AE0">
      <w:pPr>
        <w:pStyle w:val="TOC3"/>
        <w:rPr>
          <w:rFonts w:eastAsiaTheme="minorEastAsia"/>
          <w:color w:val="auto"/>
        </w:rPr>
      </w:pPr>
      <w:hyperlink w:anchor="_Toc111910261" w:history="1">
        <w:r w:rsidR="00D80429" w:rsidRPr="004D407A">
          <w:rPr>
            <w:rStyle w:val="Hyperlink"/>
            <w:color w:val="auto"/>
          </w:rPr>
          <w:t>2.4.1</w:t>
        </w:r>
        <w:r w:rsidR="00D80429" w:rsidRPr="004D407A">
          <w:rPr>
            <w:rFonts w:eastAsiaTheme="minorEastAsia"/>
            <w:color w:val="auto"/>
          </w:rPr>
          <w:tab/>
        </w:r>
        <w:r w:rsidR="00D80429" w:rsidRPr="004D407A">
          <w:rPr>
            <w:rStyle w:val="Hyperlink"/>
            <w:color w:val="auto"/>
          </w:rPr>
          <w:t>Root cause analysis of EPI Performance</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_Toc111910261 \h </w:instrText>
        </w:r>
        <w:r w:rsidR="00D80429" w:rsidRPr="004D407A">
          <w:rPr>
            <w:webHidden/>
            <w:color w:val="auto"/>
          </w:rPr>
        </w:r>
        <w:r w:rsidR="00D80429" w:rsidRPr="004D407A">
          <w:rPr>
            <w:webHidden/>
            <w:color w:val="auto"/>
          </w:rPr>
          <w:fldChar w:fldCharType="separate"/>
        </w:r>
        <w:r w:rsidR="00D80429" w:rsidRPr="004D407A">
          <w:rPr>
            <w:webHidden/>
            <w:color w:val="auto"/>
          </w:rPr>
          <w:t>33</w:t>
        </w:r>
        <w:r w:rsidR="00D80429" w:rsidRPr="004D407A">
          <w:rPr>
            <w:webHidden/>
            <w:color w:val="auto"/>
          </w:rPr>
          <w:fldChar w:fldCharType="end"/>
        </w:r>
      </w:hyperlink>
    </w:p>
    <w:p w14:paraId="3437D5C4" w14:textId="733E8F29" w:rsidR="00D80429" w:rsidRPr="004D407A" w:rsidRDefault="00C54AE0">
      <w:pPr>
        <w:pStyle w:val="TOC4"/>
        <w:rPr>
          <w:rFonts w:eastAsiaTheme="minorEastAsia"/>
          <w:color w:val="auto"/>
          <w:sz w:val="22"/>
        </w:rPr>
      </w:pPr>
      <w:hyperlink w:anchor="_Toc111910262" w:history="1">
        <w:r w:rsidR="00D80429" w:rsidRPr="004D407A">
          <w:rPr>
            <w:rStyle w:val="Hyperlink"/>
            <w:color w:val="auto"/>
          </w:rPr>
          <w:t>(1)</w:t>
        </w:r>
        <w:r w:rsidR="00D80429" w:rsidRPr="004D407A">
          <w:rPr>
            <w:rFonts w:eastAsiaTheme="minorEastAsia"/>
            <w:color w:val="auto"/>
            <w:sz w:val="22"/>
          </w:rPr>
          <w:tab/>
        </w:r>
        <w:r w:rsidR="00D80429" w:rsidRPr="004D407A">
          <w:rPr>
            <w:rStyle w:val="Hyperlink"/>
            <w:color w:val="auto"/>
          </w:rPr>
          <w:t>Current situation</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_Toc111910262 \h </w:instrText>
        </w:r>
        <w:r w:rsidR="00D80429" w:rsidRPr="004D407A">
          <w:rPr>
            <w:webHidden/>
            <w:color w:val="auto"/>
          </w:rPr>
        </w:r>
        <w:r w:rsidR="00D80429" w:rsidRPr="004D407A">
          <w:rPr>
            <w:webHidden/>
            <w:color w:val="auto"/>
          </w:rPr>
          <w:fldChar w:fldCharType="separate"/>
        </w:r>
        <w:r w:rsidR="00D80429" w:rsidRPr="004D407A">
          <w:rPr>
            <w:webHidden/>
            <w:color w:val="auto"/>
          </w:rPr>
          <w:t>33</w:t>
        </w:r>
        <w:r w:rsidR="00D80429" w:rsidRPr="004D407A">
          <w:rPr>
            <w:webHidden/>
            <w:color w:val="auto"/>
          </w:rPr>
          <w:fldChar w:fldCharType="end"/>
        </w:r>
      </w:hyperlink>
    </w:p>
    <w:p w14:paraId="5D1097B8" w14:textId="613CF40B" w:rsidR="00D80429" w:rsidRPr="004D407A" w:rsidRDefault="00C54AE0">
      <w:pPr>
        <w:pStyle w:val="TOC1"/>
        <w:rPr>
          <w:rFonts w:eastAsiaTheme="minorEastAsia"/>
          <w:b w:val="0"/>
          <w:color w:val="auto"/>
        </w:rPr>
      </w:pPr>
      <w:hyperlink w:anchor="_Toc111910263" w:history="1">
        <w:r w:rsidR="00D80429" w:rsidRPr="004D407A">
          <w:rPr>
            <w:rStyle w:val="Hyperlink"/>
            <w:color w:val="auto"/>
          </w:rPr>
          <w:t>3</w:t>
        </w:r>
        <w:r w:rsidR="00D80429" w:rsidRPr="004D407A">
          <w:rPr>
            <w:rFonts w:eastAsiaTheme="minorEastAsia"/>
            <w:b w:val="0"/>
            <w:color w:val="auto"/>
          </w:rPr>
          <w:tab/>
        </w:r>
        <w:r w:rsidR="00D80429" w:rsidRPr="004D407A">
          <w:rPr>
            <w:rStyle w:val="Hyperlink"/>
            <w:color w:val="auto"/>
          </w:rPr>
          <w:t>Vision, Objectives and Strategies of the National Immunization Strategy</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_Toc111910263 \h </w:instrText>
        </w:r>
        <w:r w:rsidR="00D80429" w:rsidRPr="004D407A">
          <w:rPr>
            <w:webHidden/>
            <w:color w:val="auto"/>
          </w:rPr>
        </w:r>
        <w:r w:rsidR="00D80429" w:rsidRPr="004D407A">
          <w:rPr>
            <w:webHidden/>
            <w:color w:val="auto"/>
          </w:rPr>
          <w:fldChar w:fldCharType="separate"/>
        </w:r>
        <w:r w:rsidR="00D80429" w:rsidRPr="004D407A">
          <w:rPr>
            <w:webHidden/>
            <w:color w:val="auto"/>
          </w:rPr>
          <w:t>35</w:t>
        </w:r>
        <w:r w:rsidR="00D80429" w:rsidRPr="004D407A">
          <w:rPr>
            <w:webHidden/>
            <w:color w:val="auto"/>
          </w:rPr>
          <w:fldChar w:fldCharType="end"/>
        </w:r>
      </w:hyperlink>
    </w:p>
    <w:p w14:paraId="60994DAD" w14:textId="3A008346" w:rsidR="00D80429" w:rsidRPr="004D407A" w:rsidRDefault="00C54AE0">
      <w:pPr>
        <w:pStyle w:val="TOC2"/>
        <w:rPr>
          <w:rFonts w:eastAsiaTheme="minorEastAsia"/>
          <w:noProof/>
        </w:rPr>
      </w:pPr>
      <w:hyperlink w:anchor="_Toc111910264" w:history="1">
        <w:r w:rsidR="00D80429" w:rsidRPr="004D407A">
          <w:rPr>
            <w:rStyle w:val="Hyperlink"/>
            <w:noProof/>
            <w:color w:val="auto"/>
          </w:rPr>
          <w:t>3.1</w:t>
        </w:r>
        <w:r w:rsidR="00D80429" w:rsidRPr="004D407A">
          <w:rPr>
            <w:rFonts w:eastAsiaTheme="minorEastAsia"/>
            <w:noProof/>
          </w:rPr>
          <w:tab/>
        </w:r>
        <w:r w:rsidR="00D80429" w:rsidRPr="004D407A">
          <w:rPr>
            <w:rStyle w:val="Hyperlink"/>
            <w:noProof/>
            <w:color w:val="auto"/>
          </w:rPr>
          <w:t>NIS Vision</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_Toc111910264 \h </w:instrText>
        </w:r>
        <w:r w:rsidR="00D80429" w:rsidRPr="004D407A">
          <w:rPr>
            <w:noProof/>
            <w:webHidden/>
          </w:rPr>
        </w:r>
        <w:r w:rsidR="00D80429" w:rsidRPr="004D407A">
          <w:rPr>
            <w:noProof/>
            <w:webHidden/>
          </w:rPr>
          <w:fldChar w:fldCharType="separate"/>
        </w:r>
        <w:r w:rsidR="00D80429" w:rsidRPr="004D407A">
          <w:rPr>
            <w:noProof/>
            <w:webHidden/>
          </w:rPr>
          <w:t>35</w:t>
        </w:r>
        <w:r w:rsidR="00D80429" w:rsidRPr="004D407A">
          <w:rPr>
            <w:noProof/>
            <w:webHidden/>
          </w:rPr>
          <w:fldChar w:fldCharType="end"/>
        </w:r>
      </w:hyperlink>
    </w:p>
    <w:p w14:paraId="7445CBE6" w14:textId="27A5459C" w:rsidR="00D80429" w:rsidRPr="004D407A" w:rsidRDefault="00C54AE0">
      <w:pPr>
        <w:pStyle w:val="TOC2"/>
        <w:rPr>
          <w:rFonts w:eastAsiaTheme="minorEastAsia"/>
          <w:noProof/>
        </w:rPr>
      </w:pPr>
      <w:hyperlink w:anchor="_Toc111910265" w:history="1">
        <w:r w:rsidR="00D80429" w:rsidRPr="004D407A">
          <w:rPr>
            <w:rStyle w:val="Hyperlink"/>
            <w:noProof/>
            <w:color w:val="auto"/>
          </w:rPr>
          <w:t>3.2</w:t>
        </w:r>
        <w:r w:rsidR="00D80429" w:rsidRPr="004D407A">
          <w:rPr>
            <w:rFonts w:eastAsiaTheme="minorEastAsia"/>
            <w:noProof/>
          </w:rPr>
          <w:tab/>
        </w:r>
        <w:r w:rsidR="00D80429" w:rsidRPr="004D407A">
          <w:rPr>
            <w:rStyle w:val="Hyperlink"/>
            <w:noProof/>
            <w:color w:val="auto"/>
          </w:rPr>
          <w:t>Objectives and Strategic Interventions</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_Toc111910265 \h </w:instrText>
        </w:r>
        <w:r w:rsidR="00D80429" w:rsidRPr="004D407A">
          <w:rPr>
            <w:noProof/>
            <w:webHidden/>
          </w:rPr>
        </w:r>
        <w:r w:rsidR="00D80429" w:rsidRPr="004D407A">
          <w:rPr>
            <w:noProof/>
            <w:webHidden/>
          </w:rPr>
          <w:fldChar w:fldCharType="separate"/>
        </w:r>
        <w:r w:rsidR="00D80429" w:rsidRPr="004D407A">
          <w:rPr>
            <w:noProof/>
            <w:webHidden/>
          </w:rPr>
          <w:t>36</w:t>
        </w:r>
        <w:r w:rsidR="00D80429" w:rsidRPr="004D407A">
          <w:rPr>
            <w:noProof/>
            <w:webHidden/>
          </w:rPr>
          <w:fldChar w:fldCharType="end"/>
        </w:r>
      </w:hyperlink>
    </w:p>
    <w:p w14:paraId="34AC1F88" w14:textId="5443E678" w:rsidR="00D80429" w:rsidRPr="004D407A" w:rsidRDefault="00C54AE0">
      <w:pPr>
        <w:pStyle w:val="TOC2"/>
        <w:rPr>
          <w:rFonts w:eastAsiaTheme="minorEastAsia"/>
          <w:noProof/>
        </w:rPr>
      </w:pPr>
      <w:hyperlink w:anchor="_Toc111910266" w:history="1">
        <w:r w:rsidR="00D80429" w:rsidRPr="004D407A">
          <w:rPr>
            <w:rStyle w:val="Hyperlink"/>
            <w:noProof/>
            <w:color w:val="auto"/>
          </w:rPr>
          <w:t>3.3</w:t>
        </w:r>
        <w:r w:rsidR="00D80429" w:rsidRPr="004D407A">
          <w:rPr>
            <w:rFonts w:eastAsiaTheme="minorEastAsia"/>
            <w:noProof/>
          </w:rPr>
          <w:tab/>
        </w:r>
        <w:r w:rsidR="00D80429" w:rsidRPr="004D407A">
          <w:rPr>
            <w:rStyle w:val="Hyperlink"/>
            <w:noProof/>
            <w:color w:val="auto"/>
          </w:rPr>
          <w:t>Alignment with the Regional (RVIP 2022-2026) and Global Goals (IA 2030)</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_Toc111910266 \h </w:instrText>
        </w:r>
        <w:r w:rsidR="00D80429" w:rsidRPr="004D407A">
          <w:rPr>
            <w:noProof/>
            <w:webHidden/>
          </w:rPr>
        </w:r>
        <w:r w:rsidR="00D80429" w:rsidRPr="004D407A">
          <w:rPr>
            <w:noProof/>
            <w:webHidden/>
          </w:rPr>
          <w:fldChar w:fldCharType="separate"/>
        </w:r>
        <w:r w:rsidR="00D80429" w:rsidRPr="004D407A">
          <w:rPr>
            <w:noProof/>
            <w:webHidden/>
          </w:rPr>
          <w:t>42</w:t>
        </w:r>
        <w:r w:rsidR="00D80429" w:rsidRPr="004D407A">
          <w:rPr>
            <w:noProof/>
            <w:webHidden/>
          </w:rPr>
          <w:fldChar w:fldCharType="end"/>
        </w:r>
      </w:hyperlink>
    </w:p>
    <w:p w14:paraId="4A426A50" w14:textId="7E637FD2" w:rsidR="00D80429" w:rsidRPr="004D407A" w:rsidRDefault="00C54AE0">
      <w:pPr>
        <w:pStyle w:val="TOC2"/>
        <w:rPr>
          <w:rFonts w:eastAsiaTheme="minorEastAsia"/>
          <w:noProof/>
        </w:rPr>
      </w:pPr>
      <w:hyperlink w:anchor="_Toc111910267" w:history="1">
        <w:r w:rsidR="00D80429" w:rsidRPr="004D407A">
          <w:rPr>
            <w:rStyle w:val="Hyperlink"/>
            <w:noProof/>
            <w:color w:val="auto"/>
          </w:rPr>
          <w:t>3.4</w:t>
        </w:r>
        <w:r w:rsidR="00D80429" w:rsidRPr="004D407A">
          <w:rPr>
            <w:rFonts w:eastAsiaTheme="minorEastAsia"/>
            <w:noProof/>
          </w:rPr>
          <w:tab/>
        </w:r>
        <w:r w:rsidR="00D80429" w:rsidRPr="004D407A">
          <w:rPr>
            <w:rStyle w:val="Hyperlink"/>
            <w:noProof/>
            <w:color w:val="auto"/>
          </w:rPr>
          <w:t>Monitoring and Evaluation</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_Toc111910267 \h </w:instrText>
        </w:r>
        <w:r w:rsidR="00D80429" w:rsidRPr="004D407A">
          <w:rPr>
            <w:noProof/>
            <w:webHidden/>
          </w:rPr>
        </w:r>
        <w:r w:rsidR="00D80429" w:rsidRPr="004D407A">
          <w:rPr>
            <w:noProof/>
            <w:webHidden/>
          </w:rPr>
          <w:fldChar w:fldCharType="separate"/>
        </w:r>
        <w:r w:rsidR="00D80429" w:rsidRPr="004D407A">
          <w:rPr>
            <w:noProof/>
            <w:webHidden/>
          </w:rPr>
          <w:t>43</w:t>
        </w:r>
        <w:r w:rsidR="00D80429" w:rsidRPr="004D407A">
          <w:rPr>
            <w:noProof/>
            <w:webHidden/>
          </w:rPr>
          <w:fldChar w:fldCharType="end"/>
        </w:r>
      </w:hyperlink>
    </w:p>
    <w:p w14:paraId="70F56AF5" w14:textId="502A6AA8" w:rsidR="00D80429" w:rsidRPr="004D407A" w:rsidRDefault="00C54AE0">
      <w:pPr>
        <w:pStyle w:val="TOC1"/>
        <w:rPr>
          <w:rFonts w:eastAsiaTheme="minorEastAsia"/>
          <w:b w:val="0"/>
          <w:color w:val="auto"/>
        </w:rPr>
      </w:pPr>
      <w:hyperlink w:anchor="_Toc111910268" w:history="1">
        <w:r w:rsidR="00D80429" w:rsidRPr="004D407A">
          <w:rPr>
            <w:rStyle w:val="Hyperlink"/>
            <w:color w:val="auto"/>
          </w:rPr>
          <w:t>4</w:t>
        </w:r>
        <w:r w:rsidR="00D80429" w:rsidRPr="004D407A">
          <w:rPr>
            <w:rFonts w:eastAsiaTheme="minorEastAsia"/>
            <w:b w:val="0"/>
            <w:color w:val="auto"/>
          </w:rPr>
          <w:tab/>
        </w:r>
        <w:r w:rsidR="00D80429" w:rsidRPr="004D407A">
          <w:rPr>
            <w:rStyle w:val="Hyperlink"/>
            <w:color w:val="auto"/>
          </w:rPr>
          <w:t>Costs and Financing National Immunization Strategy</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_Toc111910268 \h </w:instrText>
        </w:r>
        <w:r w:rsidR="00D80429" w:rsidRPr="004D407A">
          <w:rPr>
            <w:webHidden/>
            <w:color w:val="auto"/>
          </w:rPr>
        </w:r>
        <w:r w:rsidR="00D80429" w:rsidRPr="004D407A">
          <w:rPr>
            <w:webHidden/>
            <w:color w:val="auto"/>
          </w:rPr>
          <w:fldChar w:fldCharType="separate"/>
        </w:r>
        <w:r w:rsidR="00D80429" w:rsidRPr="004D407A">
          <w:rPr>
            <w:webHidden/>
            <w:color w:val="auto"/>
          </w:rPr>
          <w:t>43</w:t>
        </w:r>
        <w:r w:rsidR="00D80429" w:rsidRPr="004D407A">
          <w:rPr>
            <w:webHidden/>
            <w:color w:val="auto"/>
          </w:rPr>
          <w:fldChar w:fldCharType="end"/>
        </w:r>
      </w:hyperlink>
    </w:p>
    <w:p w14:paraId="1215286D" w14:textId="1FE4148B" w:rsidR="00D80429" w:rsidRPr="004D407A" w:rsidRDefault="00C54AE0">
      <w:pPr>
        <w:pStyle w:val="TOC2"/>
        <w:rPr>
          <w:rFonts w:eastAsiaTheme="minorEastAsia"/>
          <w:noProof/>
        </w:rPr>
      </w:pPr>
      <w:hyperlink w:anchor="_Toc111910269" w:history="1">
        <w:r w:rsidR="00D80429" w:rsidRPr="004D407A">
          <w:rPr>
            <w:rStyle w:val="Hyperlink"/>
            <w:noProof/>
            <w:color w:val="auto"/>
          </w:rPr>
          <w:t>4.1</w:t>
        </w:r>
        <w:r w:rsidR="00D80429" w:rsidRPr="004D407A">
          <w:rPr>
            <w:rFonts w:eastAsiaTheme="minorEastAsia"/>
            <w:noProof/>
          </w:rPr>
          <w:tab/>
        </w:r>
        <w:r w:rsidR="00D80429" w:rsidRPr="004D407A">
          <w:rPr>
            <w:rStyle w:val="Hyperlink"/>
            <w:noProof/>
            <w:color w:val="auto"/>
          </w:rPr>
          <w:t>NIS Resource requirements</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_Toc111910269 \h </w:instrText>
        </w:r>
        <w:r w:rsidR="00D80429" w:rsidRPr="004D407A">
          <w:rPr>
            <w:noProof/>
            <w:webHidden/>
          </w:rPr>
        </w:r>
        <w:r w:rsidR="00D80429" w:rsidRPr="004D407A">
          <w:rPr>
            <w:noProof/>
            <w:webHidden/>
          </w:rPr>
          <w:fldChar w:fldCharType="separate"/>
        </w:r>
        <w:r w:rsidR="00D80429" w:rsidRPr="004D407A">
          <w:rPr>
            <w:noProof/>
            <w:webHidden/>
          </w:rPr>
          <w:t>43</w:t>
        </w:r>
        <w:r w:rsidR="00D80429" w:rsidRPr="004D407A">
          <w:rPr>
            <w:noProof/>
            <w:webHidden/>
          </w:rPr>
          <w:fldChar w:fldCharType="end"/>
        </w:r>
      </w:hyperlink>
    </w:p>
    <w:p w14:paraId="50BC94F8" w14:textId="096BBB32" w:rsidR="00D80429" w:rsidRPr="004D407A" w:rsidRDefault="00C54AE0">
      <w:pPr>
        <w:pStyle w:val="TOC3"/>
        <w:rPr>
          <w:rFonts w:eastAsiaTheme="minorEastAsia"/>
          <w:color w:val="auto"/>
        </w:rPr>
      </w:pPr>
      <w:hyperlink w:anchor="_Toc111910270" w:history="1">
        <w:r w:rsidR="00D80429" w:rsidRPr="004D407A">
          <w:rPr>
            <w:rStyle w:val="Hyperlink"/>
            <w:color w:val="auto"/>
          </w:rPr>
          <w:t>4.1.1</w:t>
        </w:r>
        <w:r w:rsidR="00D80429" w:rsidRPr="004D407A">
          <w:rPr>
            <w:rFonts w:eastAsiaTheme="minorEastAsia"/>
            <w:color w:val="auto"/>
          </w:rPr>
          <w:tab/>
        </w:r>
        <w:r w:rsidR="00D80429" w:rsidRPr="004D407A">
          <w:rPr>
            <w:rStyle w:val="Hyperlink"/>
            <w:color w:val="auto"/>
          </w:rPr>
          <w:t>Overview of the resource requirements’ structure</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_Toc111910270 \h </w:instrText>
        </w:r>
        <w:r w:rsidR="00D80429" w:rsidRPr="004D407A">
          <w:rPr>
            <w:webHidden/>
            <w:color w:val="auto"/>
          </w:rPr>
        </w:r>
        <w:r w:rsidR="00D80429" w:rsidRPr="004D407A">
          <w:rPr>
            <w:webHidden/>
            <w:color w:val="auto"/>
          </w:rPr>
          <w:fldChar w:fldCharType="separate"/>
        </w:r>
        <w:r w:rsidR="00D80429" w:rsidRPr="004D407A">
          <w:rPr>
            <w:webHidden/>
            <w:color w:val="auto"/>
          </w:rPr>
          <w:t>43</w:t>
        </w:r>
        <w:r w:rsidR="00D80429" w:rsidRPr="004D407A">
          <w:rPr>
            <w:webHidden/>
            <w:color w:val="auto"/>
          </w:rPr>
          <w:fldChar w:fldCharType="end"/>
        </w:r>
      </w:hyperlink>
    </w:p>
    <w:p w14:paraId="6DABD0D9" w14:textId="287AA80C" w:rsidR="00D80429" w:rsidRPr="004D407A" w:rsidRDefault="00C54AE0">
      <w:pPr>
        <w:pStyle w:val="TOC3"/>
        <w:rPr>
          <w:rFonts w:eastAsiaTheme="minorEastAsia"/>
          <w:color w:val="auto"/>
        </w:rPr>
      </w:pPr>
      <w:hyperlink w:anchor="_Toc111910271" w:history="1">
        <w:r w:rsidR="00D80429" w:rsidRPr="004D407A">
          <w:rPr>
            <w:rStyle w:val="Hyperlink"/>
            <w:color w:val="auto"/>
          </w:rPr>
          <w:t>4.1.2</w:t>
        </w:r>
        <w:r w:rsidR="00D80429" w:rsidRPr="004D407A">
          <w:rPr>
            <w:rFonts w:eastAsiaTheme="minorEastAsia"/>
            <w:color w:val="auto"/>
          </w:rPr>
          <w:tab/>
        </w:r>
        <w:r w:rsidR="00D80429" w:rsidRPr="004D407A">
          <w:rPr>
            <w:rStyle w:val="Hyperlink"/>
            <w:color w:val="auto"/>
          </w:rPr>
          <w:t>Description of cost drivers of the future resource requirements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_Toc111910271 \h </w:instrText>
        </w:r>
        <w:r w:rsidR="00D80429" w:rsidRPr="004D407A">
          <w:rPr>
            <w:webHidden/>
            <w:color w:val="auto"/>
          </w:rPr>
        </w:r>
        <w:r w:rsidR="00D80429" w:rsidRPr="004D407A">
          <w:rPr>
            <w:webHidden/>
            <w:color w:val="auto"/>
          </w:rPr>
          <w:fldChar w:fldCharType="separate"/>
        </w:r>
        <w:r w:rsidR="00D80429" w:rsidRPr="004D407A">
          <w:rPr>
            <w:webHidden/>
            <w:color w:val="auto"/>
          </w:rPr>
          <w:t>43</w:t>
        </w:r>
        <w:r w:rsidR="00D80429" w:rsidRPr="004D407A">
          <w:rPr>
            <w:webHidden/>
            <w:color w:val="auto"/>
          </w:rPr>
          <w:fldChar w:fldCharType="end"/>
        </w:r>
      </w:hyperlink>
    </w:p>
    <w:p w14:paraId="7377FE1A" w14:textId="5B8DD97E" w:rsidR="00D80429" w:rsidRPr="004D407A" w:rsidRDefault="00C54AE0">
      <w:pPr>
        <w:pStyle w:val="TOC3"/>
        <w:rPr>
          <w:rFonts w:eastAsiaTheme="minorEastAsia"/>
          <w:color w:val="auto"/>
        </w:rPr>
      </w:pPr>
      <w:hyperlink w:anchor="_Toc111910272" w:history="1">
        <w:r w:rsidR="00D80429" w:rsidRPr="004D407A">
          <w:rPr>
            <w:rStyle w:val="Hyperlink"/>
            <w:color w:val="auto"/>
          </w:rPr>
          <w:t>4.1.3</w:t>
        </w:r>
        <w:r w:rsidR="00D80429" w:rsidRPr="004D407A">
          <w:rPr>
            <w:rFonts w:eastAsiaTheme="minorEastAsia"/>
            <w:color w:val="auto"/>
          </w:rPr>
          <w:tab/>
        </w:r>
        <w:r w:rsidR="00D80429" w:rsidRPr="004D407A">
          <w:rPr>
            <w:rStyle w:val="Hyperlink"/>
            <w:color w:val="auto"/>
          </w:rPr>
          <w:t>Description of scenarios for introduction of new vaccines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_Toc111910272 \h </w:instrText>
        </w:r>
        <w:r w:rsidR="00D80429" w:rsidRPr="004D407A">
          <w:rPr>
            <w:webHidden/>
            <w:color w:val="auto"/>
          </w:rPr>
        </w:r>
        <w:r w:rsidR="00D80429" w:rsidRPr="004D407A">
          <w:rPr>
            <w:webHidden/>
            <w:color w:val="auto"/>
          </w:rPr>
          <w:fldChar w:fldCharType="separate"/>
        </w:r>
        <w:r w:rsidR="00D80429" w:rsidRPr="004D407A">
          <w:rPr>
            <w:webHidden/>
            <w:color w:val="auto"/>
          </w:rPr>
          <w:t>48</w:t>
        </w:r>
        <w:r w:rsidR="00D80429" w:rsidRPr="004D407A">
          <w:rPr>
            <w:webHidden/>
            <w:color w:val="auto"/>
          </w:rPr>
          <w:fldChar w:fldCharType="end"/>
        </w:r>
      </w:hyperlink>
    </w:p>
    <w:p w14:paraId="5D5C3397" w14:textId="4979A241" w:rsidR="00D80429" w:rsidRPr="004D407A" w:rsidRDefault="00C54AE0">
      <w:pPr>
        <w:pStyle w:val="TOC2"/>
        <w:rPr>
          <w:rFonts w:eastAsiaTheme="minorEastAsia"/>
          <w:noProof/>
        </w:rPr>
      </w:pPr>
      <w:hyperlink w:anchor="_Toc111910273" w:history="1">
        <w:r w:rsidR="00D80429" w:rsidRPr="004D407A">
          <w:rPr>
            <w:rStyle w:val="Hyperlink"/>
            <w:noProof/>
            <w:color w:val="auto"/>
          </w:rPr>
          <w:t>4.2</w:t>
        </w:r>
        <w:r w:rsidR="00D80429" w:rsidRPr="004D407A">
          <w:rPr>
            <w:rFonts w:eastAsiaTheme="minorEastAsia"/>
            <w:noProof/>
          </w:rPr>
          <w:tab/>
        </w:r>
        <w:r w:rsidR="00D80429" w:rsidRPr="004D407A">
          <w:rPr>
            <w:rStyle w:val="Hyperlink"/>
            <w:noProof/>
            <w:color w:val="auto"/>
          </w:rPr>
          <w:t>Future financing and funding gaps</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_Toc111910273 \h </w:instrText>
        </w:r>
        <w:r w:rsidR="00D80429" w:rsidRPr="004D407A">
          <w:rPr>
            <w:noProof/>
            <w:webHidden/>
          </w:rPr>
        </w:r>
        <w:r w:rsidR="00D80429" w:rsidRPr="004D407A">
          <w:rPr>
            <w:noProof/>
            <w:webHidden/>
          </w:rPr>
          <w:fldChar w:fldCharType="separate"/>
        </w:r>
        <w:r w:rsidR="00D80429" w:rsidRPr="004D407A">
          <w:rPr>
            <w:noProof/>
            <w:webHidden/>
          </w:rPr>
          <w:t>50</w:t>
        </w:r>
        <w:r w:rsidR="00D80429" w:rsidRPr="004D407A">
          <w:rPr>
            <w:noProof/>
            <w:webHidden/>
          </w:rPr>
          <w:fldChar w:fldCharType="end"/>
        </w:r>
      </w:hyperlink>
    </w:p>
    <w:p w14:paraId="35340358" w14:textId="485A1D55" w:rsidR="00D80429" w:rsidRPr="004D407A" w:rsidRDefault="00C54AE0">
      <w:pPr>
        <w:pStyle w:val="TOC2"/>
        <w:rPr>
          <w:rFonts w:eastAsiaTheme="minorEastAsia"/>
          <w:noProof/>
        </w:rPr>
      </w:pPr>
      <w:hyperlink w:anchor="_Toc111910274" w:history="1">
        <w:r w:rsidR="00D80429" w:rsidRPr="004D407A">
          <w:rPr>
            <w:rStyle w:val="Hyperlink"/>
            <w:noProof/>
            <w:color w:val="auto"/>
          </w:rPr>
          <w:t>4.3</w:t>
        </w:r>
        <w:r w:rsidR="00D80429" w:rsidRPr="004D407A">
          <w:rPr>
            <w:rFonts w:eastAsiaTheme="minorEastAsia"/>
            <w:noProof/>
          </w:rPr>
          <w:tab/>
        </w:r>
        <w:r w:rsidR="00D80429" w:rsidRPr="004D407A">
          <w:rPr>
            <w:rStyle w:val="Hyperlink"/>
            <w:noProof/>
            <w:color w:val="auto"/>
          </w:rPr>
          <w:t>Funding gap analysis and sustainability</w:t>
        </w:r>
        <w:r w:rsidR="00D80429" w:rsidRPr="004D407A">
          <w:rPr>
            <w:noProof/>
            <w:webHidden/>
          </w:rPr>
          <w:tab/>
        </w:r>
        <w:r w:rsidR="00D80429" w:rsidRPr="004D407A">
          <w:rPr>
            <w:noProof/>
            <w:webHidden/>
          </w:rPr>
          <w:fldChar w:fldCharType="begin"/>
        </w:r>
        <w:r w:rsidR="00D80429" w:rsidRPr="004D407A">
          <w:rPr>
            <w:noProof/>
            <w:webHidden/>
          </w:rPr>
          <w:instrText xml:space="preserve"> PAGEREF _Toc111910274 \h </w:instrText>
        </w:r>
        <w:r w:rsidR="00D80429" w:rsidRPr="004D407A">
          <w:rPr>
            <w:noProof/>
            <w:webHidden/>
          </w:rPr>
        </w:r>
        <w:r w:rsidR="00D80429" w:rsidRPr="004D407A">
          <w:rPr>
            <w:noProof/>
            <w:webHidden/>
          </w:rPr>
          <w:fldChar w:fldCharType="separate"/>
        </w:r>
        <w:r w:rsidR="00D80429" w:rsidRPr="004D407A">
          <w:rPr>
            <w:noProof/>
            <w:webHidden/>
          </w:rPr>
          <w:t>51</w:t>
        </w:r>
        <w:r w:rsidR="00D80429" w:rsidRPr="004D407A">
          <w:rPr>
            <w:noProof/>
            <w:webHidden/>
          </w:rPr>
          <w:fldChar w:fldCharType="end"/>
        </w:r>
      </w:hyperlink>
    </w:p>
    <w:p w14:paraId="2771187E" w14:textId="5D486588" w:rsidR="00D80429" w:rsidRPr="004D407A" w:rsidRDefault="00C54AE0">
      <w:pPr>
        <w:pStyle w:val="TOC3"/>
        <w:rPr>
          <w:rFonts w:eastAsiaTheme="minorEastAsia"/>
          <w:color w:val="auto"/>
        </w:rPr>
      </w:pPr>
      <w:hyperlink w:anchor="_Toc111910275" w:history="1">
        <w:r w:rsidR="00D80429" w:rsidRPr="004D407A">
          <w:rPr>
            <w:rStyle w:val="Hyperlink"/>
            <w:color w:val="auto"/>
          </w:rPr>
          <w:t>4.3.1</w:t>
        </w:r>
        <w:r w:rsidR="00D80429" w:rsidRPr="004D407A">
          <w:rPr>
            <w:rFonts w:eastAsiaTheme="minorEastAsia"/>
            <w:color w:val="auto"/>
          </w:rPr>
          <w:tab/>
        </w:r>
        <w:r w:rsidR="00D80429" w:rsidRPr="004D407A">
          <w:rPr>
            <w:rStyle w:val="Hyperlink"/>
            <w:color w:val="auto"/>
          </w:rPr>
          <w:t>Implications of the funding gap on immunization system performance</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_Toc111910275 \h </w:instrText>
        </w:r>
        <w:r w:rsidR="00D80429" w:rsidRPr="004D407A">
          <w:rPr>
            <w:webHidden/>
            <w:color w:val="auto"/>
          </w:rPr>
        </w:r>
        <w:r w:rsidR="00D80429" w:rsidRPr="004D407A">
          <w:rPr>
            <w:webHidden/>
            <w:color w:val="auto"/>
          </w:rPr>
          <w:fldChar w:fldCharType="separate"/>
        </w:r>
        <w:r w:rsidR="00D80429" w:rsidRPr="004D407A">
          <w:rPr>
            <w:webHidden/>
            <w:color w:val="auto"/>
          </w:rPr>
          <w:t>51</w:t>
        </w:r>
        <w:r w:rsidR="00D80429" w:rsidRPr="004D407A">
          <w:rPr>
            <w:webHidden/>
            <w:color w:val="auto"/>
          </w:rPr>
          <w:fldChar w:fldCharType="end"/>
        </w:r>
      </w:hyperlink>
    </w:p>
    <w:p w14:paraId="38C5653A" w14:textId="2E036CB9" w:rsidR="00D80429" w:rsidRPr="004D407A" w:rsidRDefault="00C54AE0">
      <w:pPr>
        <w:pStyle w:val="TOC3"/>
        <w:rPr>
          <w:rFonts w:eastAsiaTheme="minorEastAsia"/>
          <w:color w:val="auto"/>
        </w:rPr>
      </w:pPr>
      <w:hyperlink w:anchor="_Toc111910276" w:history="1">
        <w:r w:rsidR="00D80429" w:rsidRPr="004D407A">
          <w:rPr>
            <w:rStyle w:val="Hyperlink"/>
            <w:color w:val="auto"/>
          </w:rPr>
          <w:t>4.3.2</w:t>
        </w:r>
        <w:r w:rsidR="00D80429" w:rsidRPr="004D407A">
          <w:rPr>
            <w:rFonts w:eastAsiaTheme="minorEastAsia"/>
            <w:color w:val="auto"/>
          </w:rPr>
          <w:tab/>
        </w:r>
        <w:r w:rsidR="00D80429" w:rsidRPr="004D407A">
          <w:rPr>
            <w:rStyle w:val="Hyperlink"/>
            <w:color w:val="auto"/>
          </w:rPr>
          <w:t>Financial sustainability strategies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_Toc111910276 \h </w:instrText>
        </w:r>
        <w:r w:rsidR="00D80429" w:rsidRPr="004D407A">
          <w:rPr>
            <w:webHidden/>
            <w:color w:val="auto"/>
          </w:rPr>
        </w:r>
        <w:r w:rsidR="00D80429" w:rsidRPr="004D407A">
          <w:rPr>
            <w:webHidden/>
            <w:color w:val="auto"/>
          </w:rPr>
          <w:fldChar w:fldCharType="separate"/>
        </w:r>
        <w:r w:rsidR="00D80429" w:rsidRPr="004D407A">
          <w:rPr>
            <w:webHidden/>
            <w:color w:val="auto"/>
          </w:rPr>
          <w:t>52</w:t>
        </w:r>
        <w:r w:rsidR="00D80429" w:rsidRPr="004D407A">
          <w:rPr>
            <w:webHidden/>
            <w:color w:val="auto"/>
          </w:rPr>
          <w:fldChar w:fldCharType="end"/>
        </w:r>
      </w:hyperlink>
    </w:p>
    <w:p w14:paraId="07C9388B" w14:textId="2DF605DE" w:rsidR="00D80429" w:rsidRPr="004D407A" w:rsidRDefault="00C54AE0">
      <w:pPr>
        <w:pStyle w:val="TOC1"/>
        <w:rPr>
          <w:rFonts w:eastAsiaTheme="minorEastAsia"/>
          <w:b w:val="0"/>
          <w:color w:val="auto"/>
        </w:rPr>
      </w:pPr>
      <w:hyperlink w:anchor="_Toc111910277" w:history="1">
        <w:r w:rsidR="00D80429" w:rsidRPr="004D407A">
          <w:rPr>
            <w:rStyle w:val="Hyperlink"/>
            <w:color w:val="auto"/>
          </w:rPr>
          <w:t>5</w:t>
        </w:r>
        <w:r w:rsidR="00D80429" w:rsidRPr="004D407A">
          <w:rPr>
            <w:rFonts w:eastAsiaTheme="minorEastAsia"/>
            <w:b w:val="0"/>
            <w:color w:val="auto"/>
          </w:rPr>
          <w:tab/>
        </w:r>
        <w:r w:rsidR="00D80429" w:rsidRPr="004D407A">
          <w:rPr>
            <w:rStyle w:val="Hyperlink"/>
            <w:color w:val="auto"/>
          </w:rPr>
          <w:t>Annexes</w:t>
        </w:r>
        <w:r w:rsidR="00D80429" w:rsidRPr="004D407A">
          <w:rPr>
            <w:webHidden/>
            <w:color w:val="auto"/>
          </w:rPr>
          <w:tab/>
        </w:r>
        <w:r w:rsidR="00D80429" w:rsidRPr="004D407A">
          <w:rPr>
            <w:webHidden/>
            <w:color w:val="auto"/>
          </w:rPr>
          <w:fldChar w:fldCharType="begin"/>
        </w:r>
        <w:r w:rsidR="00D80429" w:rsidRPr="004D407A">
          <w:rPr>
            <w:webHidden/>
            <w:color w:val="auto"/>
          </w:rPr>
          <w:instrText xml:space="preserve"> PAGEREF _Toc111910277 \h </w:instrText>
        </w:r>
        <w:r w:rsidR="00D80429" w:rsidRPr="004D407A">
          <w:rPr>
            <w:webHidden/>
            <w:color w:val="auto"/>
          </w:rPr>
        </w:r>
        <w:r w:rsidR="00D80429" w:rsidRPr="004D407A">
          <w:rPr>
            <w:webHidden/>
            <w:color w:val="auto"/>
          </w:rPr>
          <w:fldChar w:fldCharType="separate"/>
        </w:r>
        <w:r w:rsidR="00D80429" w:rsidRPr="004D407A">
          <w:rPr>
            <w:webHidden/>
            <w:color w:val="auto"/>
          </w:rPr>
          <w:t>54</w:t>
        </w:r>
        <w:r w:rsidR="00D80429" w:rsidRPr="004D407A">
          <w:rPr>
            <w:webHidden/>
            <w:color w:val="auto"/>
          </w:rPr>
          <w:fldChar w:fldCharType="end"/>
        </w:r>
      </w:hyperlink>
    </w:p>
    <w:p w14:paraId="62CEE85D" w14:textId="4D8AD123" w:rsidR="00050C68" w:rsidRPr="004D407A" w:rsidRDefault="00050C68" w:rsidP="00B019A6">
      <w:pPr>
        <w:pStyle w:val="TOC1"/>
        <w:rPr>
          <w:noProof w:val="0"/>
          <w:color w:val="auto"/>
        </w:rPr>
      </w:pPr>
      <w:r w:rsidRPr="004D407A">
        <w:rPr>
          <w:noProof w:val="0"/>
          <w:color w:val="auto"/>
        </w:rPr>
        <w:fldChar w:fldCharType="end"/>
      </w:r>
    </w:p>
    <w:p w14:paraId="36B52BED" w14:textId="77777777" w:rsidR="00024B78" w:rsidRPr="004D407A" w:rsidRDefault="00FE378B" w:rsidP="00FE378B">
      <w:pPr>
        <w:pStyle w:val="TOCHeading"/>
        <w:rPr>
          <w:color w:val="auto"/>
        </w:rPr>
      </w:pPr>
      <w:r w:rsidRPr="004D407A">
        <w:rPr>
          <w:color w:val="auto"/>
        </w:rPr>
        <w:t>Table of figures</w:t>
      </w:r>
    </w:p>
    <w:p w14:paraId="745E528B" w14:textId="77434FF3" w:rsidR="00000C7B" w:rsidRPr="004D407A" w:rsidRDefault="003F1CBD">
      <w:pPr>
        <w:pStyle w:val="TableofFigures"/>
        <w:rPr>
          <w:rFonts w:eastAsiaTheme="minorEastAsia"/>
          <w:noProof/>
          <w:sz w:val="22"/>
        </w:rPr>
      </w:pPr>
      <w:r w:rsidRPr="004D407A">
        <w:fldChar w:fldCharType="begin"/>
      </w:r>
      <w:r w:rsidRPr="004D407A">
        <w:instrText xml:space="preserve"> TOC \h \z \c "Figure" </w:instrText>
      </w:r>
      <w:r w:rsidRPr="004D407A">
        <w:fldChar w:fldCharType="separate"/>
      </w:r>
      <w:hyperlink w:anchor="_Toc111912740" w:history="1">
        <w:r w:rsidR="00000C7B" w:rsidRPr="004D407A">
          <w:rPr>
            <w:rStyle w:val="Hyperlink"/>
            <w:noProof/>
            <w:color w:val="auto"/>
          </w:rPr>
          <w:t>Figure 1: Demographic profile of Bangladesh (2021)</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_Toc111912740 \h </w:instrText>
        </w:r>
        <w:r w:rsidR="00000C7B" w:rsidRPr="004D407A">
          <w:rPr>
            <w:noProof/>
            <w:webHidden/>
          </w:rPr>
        </w:r>
        <w:r w:rsidR="00000C7B" w:rsidRPr="004D407A">
          <w:rPr>
            <w:noProof/>
            <w:webHidden/>
          </w:rPr>
          <w:fldChar w:fldCharType="separate"/>
        </w:r>
        <w:r w:rsidR="00000C7B" w:rsidRPr="004D407A">
          <w:rPr>
            <w:noProof/>
            <w:webHidden/>
          </w:rPr>
          <w:t>3</w:t>
        </w:r>
        <w:r w:rsidR="00000C7B" w:rsidRPr="004D407A">
          <w:rPr>
            <w:noProof/>
            <w:webHidden/>
          </w:rPr>
          <w:fldChar w:fldCharType="end"/>
        </w:r>
      </w:hyperlink>
    </w:p>
    <w:p w14:paraId="619185AC" w14:textId="4EDD095F" w:rsidR="00000C7B" w:rsidRPr="004D407A" w:rsidRDefault="00C54AE0">
      <w:pPr>
        <w:pStyle w:val="TableofFigures"/>
        <w:rPr>
          <w:rFonts w:eastAsiaTheme="minorEastAsia"/>
          <w:noProof/>
          <w:sz w:val="22"/>
        </w:rPr>
      </w:pPr>
      <w:hyperlink w:anchor="_Toc111912741" w:history="1">
        <w:r w:rsidR="00000C7B" w:rsidRPr="004D407A">
          <w:rPr>
            <w:rStyle w:val="Hyperlink"/>
            <w:noProof/>
            <w:color w:val="auto"/>
          </w:rPr>
          <w:t>Figure 2: Bangladesh population distribution per divisions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_Toc111912741 \h </w:instrText>
        </w:r>
        <w:r w:rsidR="00000C7B" w:rsidRPr="004D407A">
          <w:rPr>
            <w:noProof/>
            <w:webHidden/>
          </w:rPr>
        </w:r>
        <w:r w:rsidR="00000C7B" w:rsidRPr="004D407A">
          <w:rPr>
            <w:noProof/>
            <w:webHidden/>
          </w:rPr>
          <w:fldChar w:fldCharType="separate"/>
        </w:r>
        <w:r w:rsidR="00000C7B" w:rsidRPr="004D407A">
          <w:rPr>
            <w:noProof/>
            <w:webHidden/>
          </w:rPr>
          <w:t>3</w:t>
        </w:r>
        <w:r w:rsidR="00000C7B" w:rsidRPr="004D407A">
          <w:rPr>
            <w:noProof/>
            <w:webHidden/>
          </w:rPr>
          <w:fldChar w:fldCharType="end"/>
        </w:r>
      </w:hyperlink>
    </w:p>
    <w:p w14:paraId="26C1F5F9" w14:textId="732A9B0B" w:rsidR="00000C7B" w:rsidRPr="004D407A" w:rsidRDefault="00C54AE0">
      <w:pPr>
        <w:pStyle w:val="TableofFigures"/>
        <w:rPr>
          <w:rFonts w:eastAsiaTheme="minorEastAsia"/>
          <w:noProof/>
          <w:sz w:val="22"/>
        </w:rPr>
      </w:pPr>
      <w:hyperlink w:anchor="_Toc111912742" w:history="1">
        <w:r w:rsidR="00000C7B" w:rsidRPr="004D407A">
          <w:rPr>
            <w:rStyle w:val="Hyperlink"/>
            <w:noProof/>
            <w:color w:val="auto"/>
          </w:rPr>
          <w:t>Figure 3: Health service delivery facilities and administrative arrangements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_Toc111912742 \h </w:instrText>
        </w:r>
        <w:r w:rsidR="00000C7B" w:rsidRPr="004D407A">
          <w:rPr>
            <w:noProof/>
            <w:webHidden/>
          </w:rPr>
        </w:r>
        <w:r w:rsidR="00000C7B" w:rsidRPr="004D407A">
          <w:rPr>
            <w:noProof/>
            <w:webHidden/>
          </w:rPr>
          <w:fldChar w:fldCharType="separate"/>
        </w:r>
        <w:r w:rsidR="00000C7B" w:rsidRPr="004D407A">
          <w:rPr>
            <w:noProof/>
            <w:webHidden/>
          </w:rPr>
          <w:t>6</w:t>
        </w:r>
        <w:r w:rsidR="00000C7B" w:rsidRPr="004D407A">
          <w:rPr>
            <w:noProof/>
            <w:webHidden/>
          </w:rPr>
          <w:fldChar w:fldCharType="end"/>
        </w:r>
      </w:hyperlink>
    </w:p>
    <w:p w14:paraId="7A0606CE" w14:textId="0847F056" w:rsidR="00000C7B" w:rsidRPr="004D407A" w:rsidRDefault="00C54AE0">
      <w:pPr>
        <w:pStyle w:val="TableofFigures"/>
        <w:rPr>
          <w:rFonts w:eastAsiaTheme="minorEastAsia"/>
          <w:noProof/>
          <w:sz w:val="22"/>
        </w:rPr>
      </w:pPr>
      <w:hyperlink w:anchor="_Toc111912743" w:history="1">
        <w:r w:rsidR="00000C7B" w:rsidRPr="004D407A">
          <w:rPr>
            <w:rStyle w:val="Hyperlink"/>
            <w:noProof/>
            <w:color w:val="auto"/>
          </w:rPr>
          <w:t>Figure 4: Public health facilities by levels and types of services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_Toc111912743 \h </w:instrText>
        </w:r>
        <w:r w:rsidR="00000C7B" w:rsidRPr="004D407A">
          <w:rPr>
            <w:noProof/>
            <w:webHidden/>
          </w:rPr>
        </w:r>
        <w:r w:rsidR="00000C7B" w:rsidRPr="004D407A">
          <w:rPr>
            <w:noProof/>
            <w:webHidden/>
          </w:rPr>
          <w:fldChar w:fldCharType="separate"/>
        </w:r>
        <w:r w:rsidR="00000C7B" w:rsidRPr="004D407A">
          <w:rPr>
            <w:noProof/>
            <w:webHidden/>
          </w:rPr>
          <w:t>7</w:t>
        </w:r>
        <w:r w:rsidR="00000C7B" w:rsidRPr="004D407A">
          <w:rPr>
            <w:noProof/>
            <w:webHidden/>
          </w:rPr>
          <w:fldChar w:fldCharType="end"/>
        </w:r>
      </w:hyperlink>
    </w:p>
    <w:p w14:paraId="543FF343" w14:textId="2AFA2187" w:rsidR="00000C7B" w:rsidRPr="004D407A" w:rsidRDefault="00C54AE0">
      <w:pPr>
        <w:pStyle w:val="TableofFigures"/>
        <w:rPr>
          <w:rFonts w:eastAsiaTheme="minorEastAsia"/>
          <w:noProof/>
          <w:sz w:val="22"/>
        </w:rPr>
      </w:pPr>
      <w:hyperlink w:anchor="_Toc111912744" w:history="1">
        <w:r w:rsidR="00000C7B" w:rsidRPr="004D407A">
          <w:rPr>
            <w:rStyle w:val="Hyperlink"/>
            <w:noProof/>
            <w:color w:val="auto"/>
          </w:rPr>
          <w:t>Figure 5: Provision of Essential Services in Bangladesh</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_Toc111912744 \h </w:instrText>
        </w:r>
        <w:r w:rsidR="00000C7B" w:rsidRPr="004D407A">
          <w:rPr>
            <w:noProof/>
            <w:webHidden/>
          </w:rPr>
        </w:r>
        <w:r w:rsidR="00000C7B" w:rsidRPr="004D407A">
          <w:rPr>
            <w:noProof/>
            <w:webHidden/>
          </w:rPr>
          <w:fldChar w:fldCharType="separate"/>
        </w:r>
        <w:r w:rsidR="00000C7B" w:rsidRPr="004D407A">
          <w:rPr>
            <w:noProof/>
            <w:webHidden/>
          </w:rPr>
          <w:t>8</w:t>
        </w:r>
        <w:r w:rsidR="00000C7B" w:rsidRPr="004D407A">
          <w:rPr>
            <w:noProof/>
            <w:webHidden/>
          </w:rPr>
          <w:fldChar w:fldCharType="end"/>
        </w:r>
      </w:hyperlink>
    </w:p>
    <w:p w14:paraId="346436DE" w14:textId="1561A45E" w:rsidR="00000C7B" w:rsidRPr="004D407A" w:rsidRDefault="00C54AE0">
      <w:pPr>
        <w:pStyle w:val="TableofFigures"/>
        <w:rPr>
          <w:rFonts w:eastAsiaTheme="minorEastAsia"/>
          <w:noProof/>
          <w:sz w:val="22"/>
        </w:rPr>
      </w:pPr>
      <w:hyperlink w:anchor="_Toc111912745" w:history="1">
        <w:r w:rsidR="00000C7B" w:rsidRPr="004D407A">
          <w:rPr>
            <w:rStyle w:val="Hyperlink"/>
            <w:noProof/>
            <w:color w:val="auto"/>
          </w:rPr>
          <w:t>Figure 6: Number of private hospitals, clinics and diagnostic centers in 2013 and 2021</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_Toc111912745 \h </w:instrText>
        </w:r>
        <w:r w:rsidR="00000C7B" w:rsidRPr="004D407A">
          <w:rPr>
            <w:noProof/>
            <w:webHidden/>
          </w:rPr>
        </w:r>
        <w:r w:rsidR="00000C7B" w:rsidRPr="004D407A">
          <w:rPr>
            <w:noProof/>
            <w:webHidden/>
          </w:rPr>
          <w:fldChar w:fldCharType="separate"/>
        </w:r>
        <w:r w:rsidR="00000C7B" w:rsidRPr="004D407A">
          <w:rPr>
            <w:noProof/>
            <w:webHidden/>
          </w:rPr>
          <w:t>9</w:t>
        </w:r>
        <w:r w:rsidR="00000C7B" w:rsidRPr="004D407A">
          <w:rPr>
            <w:noProof/>
            <w:webHidden/>
          </w:rPr>
          <w:fldChar w:fldCharType="end"/>
        </w:r>
      </w:hyperlink>
    </w:p>
    <w:p w14:paraId="0399C136" w14:textId="6FD3CCD0" w:rsidR="00000C7B" w:rsidRPr="004D407A" w:rsidRDefault="00C54AE0">
      <w:pPr>
        <w:pStyle w:val="TableofFigures"/>
        <w:rPr>
          <w:rFonts w:eastAsiaTheme="minorEastAsia"/>
          <w:noProof/>
          <w:sz w:val="22"/>
        </w:rPr>
      </w:pPr>
      <w:hyperlink w:anchor="_Toc111912746" w:history="1">
        <w:r w:rsidR="00000C7B" w:rsidRPr="004D407A">
          <w:rPr>
            <w:rStyle w:val="Hyperlink"/>
            <w:noProof/>
            <w:color w:val="auto"/>
          </w:rPr>
          <w:t>Figure 7: Registered health workforce between 1997and 2021</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_Toc111912746 \h </w:instrText>
        </w:r>
        <w:r w:rsidR="00000C7B" w:rsidRPr="004D407A">
          <w:rPr>
            <w:noProof/>
            <w:webHidden/>
          </w:rPr>
        </w:r>
        <w:r w:rsidR="00000C7B" w:rsidRPr="004D407A">
          <w:rPr>
            <w:noProof/>
            <w:webHidden/>
          </w:rPr>
          <w:fldChar w:fldCharType="separate"/>
        </w:r>
        <w:r w:rsidR="00000C7B" w:rsidRPr="004D407A">
          <w:rPr>
            <w:noProof/>
            <w:webHidden/>
          </w:rPr>
          <w:t>10</w:t>
        </w:r>
        <w:r w:rsidR="00000C7B" w:rsidRPr="004D407A">
          <w:rPr>
            <w:noProof/>
            <w:webHidden/>
          </w:rPr>
          <w:fldChar w:fldCharType="end"/>
        </w:r>
      </w:hyperlink>
    </w:p>
    <w:p w14:paraId="3C95F0EF" w14:textId="2CB051BE" w:rsidR="00000C7B" w:rsidRPr="004D407A" w:rsidRDefault="00C54AE0">
      <w:pPr>
        <w:pStyle w:val="TableofFigures"/>
        <w:rPr>
          <w:rFonts w:eastAsiaTheme="minorEastAsia"/>
          <w:noProof/>
          <w:sz w:val="22"/>
        </w:rPr>
      </w:pPr>
      <w:hyperlink w:anchor="_Toc111912747" w:history="1">
        <w:r w:rsidR="00000C7B" w:rsidRPr="004D407A">
          <w:rPr>
            <w:rStyle w:val="Hyperlink"/>
            <w:noProof/>
            <w:color w:val="auto"/>
          </w:rPr>
          <w:t>Figure 8: National Immunization Coverage for selected antigens in  last 5 years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_Toc111912747 \h </w:instrText>
        </w:r>
        <w:r w:rsidR="00000C7B" w:rsidRPr="004D407A">
          <w:rPr>
            <w:noProof/>
            <w:webHidden/>
          </w:rPr>
        </w:r>
        <w:r w:rsidR="00000C7B" w:rsidRPr="004D407A">
          <w:rPr>
            <w:noProof/>
            <w:webHidden/>
          </w:rPr>
          <w:fldChar w:fldCharType="separate"/>
        </w:r>
        <w:r w:rsidR="00000C7B" w:rsidRPr="004D407A">
          <w:rPr>
            <w:noProof/>
            <w:webHidden/>
          </w:rPr>
          <w:t>14</w:t>
        </w:r>
        <w:r w:rsidR="00000C7B" w:rsidRPr="004D407A">
          <w:rPr>
            <w:noProof/>
            <w:webHidden/>
          </w:rPr>
          <w:fldChar w:fldCharType="end"/>
        </w:r>
      </w:hyperlink>
    </w:p>
    <w:p w14:paraId="5F48E321" w14:textId="14674CF4" w:rsidR="00000C7B" w:rsidRPr="004D407A" w:rsidRDefault="00C54AE0">
      <w:pPr>
        <w:pStyle w:val="TableofFigures"/>
        <w:rPr>
          <w:rFonts w:eastAsiaTheme="minorEastAsia"/>
          <w:noProof/>
          <w:sz w:val="22"/>
        </w:rPr>
      </w:pPr>
      <w:hyperlink w:anchor="_Toc111912748" w:history="1">
        <w:r w:rsidR="00000C7B" w:rsidRPr="004D407A">
          <w:rPr>
            <w:rStyle w:val="Hyperlink"/>
            <w:noProof/>
            <w:color w:val="auto"/>
          </w:rPr>
          <w:t>Figure 9: MCV1-MCV2 vaccination drop-out rate by Sex and National Level</w:t>
        </w:r>
        <w:r w:rsidR="00000C7B" w:rsidRPr="004D407A">
          <w:rPr>
            <w:rStyle w:val="Hyperlink"/>
            <w:noProof/>
            <w:color w:val="auto"/>
            <w:vertAlign w:val="superscript"/>
          </w:rPr>
          <w:t>1</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_Toc111912748 \h </w:instrText>
        </w:r>
        <w:r w:rsidR="00000C7B" w:rsidRPr="004D407A">
          <w:rPr>
            <w:noProof/>
            <w:webHidden/>
          </w:rPr>
        </w:r>
        <w:r w:rsidR="00000C7B" w:rsidRPr="004D407A">
          <w:rPr>
            <w:noProof/>
            <w:webHidden/>
          </w:rPr>
          <w:fldChar w:fldCharType="separate"/>
        </w:r>
        <w:r w:rsidR="00000C7B" w:rsidRPr="004D407A">
          <w:rPr>
            <w:noProof/>
            <w:webHidden/>
          </w:rPr>
          <w:t>14</w:t>
        </w:r>
        <w:r w:rsidR="00000C7B" w:rsidRPr="004D407A">
          <w:rPr>
            <w:noProof/>
            <w:webHidden/>
          </w:rPr>
          <w:fldChar w:fldCharType="end"/>
        </w:r>
      </w:hyperlink>
    </w:p>
    <w:p w14:paraId="0A3E4ED2" w14:textId="7446612A" w:rsidR="00000C7B" w:rsidRPr="004D407A" w:rsidRDefault="00C54AE0">
      <w:pPr>
        <w:pStyle w:val="TableofFigures"/>
        <w:rPr>
          <w:rFonts w:eastAsiaTheme="minorEastAsia"/>
          <w:noProof/>
          <w:sz w:val="22"/>
        </w:rPr>
      </w:pPr>
      <w:hyperlink w:anchor="_Toc111912749" w:history="1">
        <w:r w:rsidR="00000C7B" w:rsidRPr="004D407A">
          <w:rPr>
            <w:rStyle w:val="Hyperlink"/>
            <w:noProof/>
            <w:color w:val="auto"/>
          </w:rPr>
          <w:t>Figure 10: Trends in drop-out rates between DTP1 -DTP3 and between BCG and MCV1</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_Toc111912749 \h </w:instrText>
        </w:r>
        <w:r w:rsidR="00000C7B" w:rsidRPr="004D407A">
          <w:rPr>
            <w:noProof/>
            <w:webHidden/>
          </w:rPr>
        </w:r>
        <w:r w:rsidR="00000C7B" w:rsidRPr="004D407A">
          <w:rPr>
            <w:noProof/>
            <w:webHidden/>
          </w:rPr>
          <w:fldChar w:fldCharType="separate"/>
        </w:r>
        <w:r w:rsidR="00000C7B" w:rsidRPr="004D407A">
          <w:rPr>
            <w:noProof/>
            <w:webHidden/>
          </w:rPr>
          <w:t>15</w:t>
        </w:r>
        <w:r w:rsidR="00000C7B" w:rsidRPr="004D407A">
          <w:rPr>
            <w:noProof/>
            <w:webHidden/>
          </w:rPr>
          <w:fldChar w:fldCharType="end"/>
        </w:r>
      </w:hyperlink>
    </w:p>
    <w:p w14:paraId="13627C00" w14:textId="204FF901" w:rsidR="00000C7B" w:rsidRPr="004D407A" w:rsidRDefault="00C54AE0">
      <w:pPr>
        <w:pStyle w:val="TableofFigures"/>
        <w:rPr>
          <w:rFonts w:eastAsiaTheme="minorEastAsia"/>
          <w:noProof/>
          <w:sz w:val="22"/>
        </w:rPr>
      </w:pPr>
      <w:hyperlink w:anchor="_Toc111912750" w:history="1">
        <w:r w:rsidR="00000C7B" w:rsidRPr="004D407A">
          <w:rPr>
            <w:rStyle w:val="Hyperlink"/>
            <w:noProof/>
            <w:color w:val="auto"/>
          </w:rPr>
          <w:t>Figure 11: Penta3 valid coverage and Full Vaccinated Children Coverage by 12 months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_Toc111912750 \h </w:instrText>
        </w:r>
        <w:r w:rsidR="00000C7B" w:rsidRPr="004D407A">
          <w:rPr>
            <w:noProof/>
            <w:webHidden/>
          </w:rPr>
        </w:r>
        <w:r w:rsidR="00000C7B" w:rsidRPr="004D407A">
          <w:rPr>
            <w:noProof/>
            <w:webHidden/>
          </w:rPr>
          <w:fldChar w:fldCharType="separate"/>
        </w:r>
        <w:r w:rsidR="00000C7B" w:rsidRPr="004D407A">
          <w:rPr>
            <w:noProof/>
            <w:webHidden/>
          </w:rPr>
          <w:t>16</w:t>
        </w:r>
        <w:r w:rsidR="00000C7B" w:rsidRPr="004D407A">
          <w:rPr>
            <w:noProof/>
            <w:webHidden/>
          </w:rPr>
          <w:fldChar w:fldCharType="end"/>
        </w:r>
      </w:hyperlink>
    </w:p>
    <w:p w14:paraId="443BB7D5" w14:textId="057B7E7E" w:rsidR="00000C7B" w:rsidRPr="004D407A" w:rsidRDefault="00C54AE0">
      <w:pPr>
        <w:pStyle w:val="TableofFigures"/>
        <w:rPr>
          <w:rFonts w:eastAsiaTheme="minorEastAsia"/>
          <w:noProof/>
          <w:sz w:val="22"/>
        </w:rPr>
      </w:pPr>
      <w:hyperlink w:anchor="_Toc111912751" w:history="1">
        <w:r w:rsidR="00000C7B" w:rsidRPr="004D407A">
          <w:rPr>
            <w:rStyle w:val="Hyperlink"/>
            <w:noProof/>
            <w:color w:val="auto"/>
          </w:rPr>
          <w:t>Figure 12: Valid coverage by 12 months by DNCC and DNCC slum and DSCC and DSCC Slum, CES 2019</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_Toc111912751 \h </w:instrText>
        </w:r>
        <w:r w:rsidR="00000C7B" w:rsidRPr="004D407A">
          <w:rPr>
            <w:noProof/>
            <w:webHidden/>
          </w:rPr>
        </w:r>
        <w:r w:rsidR="00000C7B" w:rsidRPr="004D407A">
          <w:rPr>
            <w:noProof/>
            <w:webHidden/>
          </w:rPr>
          <w:fldChar w:fldCharType="separate"/>
        </w:r>
        <w:r w:rsidR="00000C7B" w:rsidRPr="004D407A">
          <w:rPr>
            <w:noProof/>
            <w:webHidden/>
          </w:rPr>
          <w:t>17</w:t>
        </w:r>
        <w:r w:rsidR="00000C7B" w:rsidRPr="004D407A">
          <w:rPr>
            <w:noProof/>
            <w:webHidden/>
          </w:rPr>
          <w:fldChar w:fldCharType="end"/>
        </w:r>
      </w:hyperlink>
    </w:p>
    <w:p w14:paraId="42084A2F" w14:textId="49F04C99" w:rsidR="00000C7B" w:rsidRPr="004D407A" w:rsidRDefault="00C54AE0">
      <w:pPr>
        <w:pStyle w:val="TableofFigures"/>
        <w:rPr>
          <w:rFonts w:eastAsiaTheme="minorEastAsia"/>
          <w:noProof/>
          <w:sz w:val="22"/>
        </w:rPr>
      </w:pPr>
      <w:hyperlink w:anchor="_Toc111912752" w:history="1">
        <w:r w:rsidR="00000C7B" w:rsidRPr="004D407A">
          <w:rPr>
            <w:rStyle w:val="Hyperlink"/>
            <w:noProof/>
            <w:color w:val="auto"/>
          </w:rPr>
          <w:t>Figure 13: Reasons for Never Having Vaccination in Rural Areas, City Corporations and Munitipalities in 2019</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_Toc111912752 \h </w:instrText>
        </w:r>
        <w:r w:rsidR="00000C7B" w:rsidRPr="004D407A">
          <w:rPr>
            <w:noProof/>
            <w:webHidden/>
          </w:rPr>
        </w:r>
        <w:r w:rsidR="00000C7B" w:rsidRPr="004D407A">
          <w:rPr>
            <w:noProof/>
            <w:webHidden/>
          </w:rPr>
          <w:fldChar w:fldCharType="separate"/>
        </w:r>
        <w:r w:rsidR="00000C7B" w:rsidRPr="004D407A">
          <w:rPr>
            <w:noProof/>
            <w:webHidden/>
          </w:rPr>
          <w:t>17</w:t>
        </w:r>
        <w:r w:rsidR="00000C7B" w:rsidRPr="004D407A">
          <w:rPr>
            <w:noProof/>
            <w:webHidden/>
          </w:rPr>
          <w:fldChar w:fldCharType="end"/>
        </w:r>
      </w:hyperlink>
    </w:p>
    <w:p w14:paraId="5312C4D0" w14:textId="4307E5B4" w:rsidR="00000C7B" w:rsidRPr="004D407A" w:rsidRDefault="00C54AE0">
      <w:pPr>
        <w:pStyle w:val="TableofFigures"/>
        <w:rPr>
          <w:rFonts w:eastAsiaTheme="minorEastAsia"/>
          <w:noProof/>
          <w:sz w:val="22"/>
        </w:rPr>
      </w:pPr>
      <w:hyperlink w:anchor="_Toc111912753" w:history="1">
        <w:r w:rsidR="00000C7B" w:rsidRPr="004D407A">
          <w:rPr>
            <w:rStyle w:val="Hyperlink"/>
            <w:noProof/>
            <w:color w:val="auto"/>
          </w:rPr>
          <w:t>Figure 14: Administrative Division of Bangladesh</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_Toc111912753 \h </w:instrText>
        </w:r>
        <w:r w:rsidR="00000C7B" w:rsidRPr="004D407A">
          <w:rPr>
            <w:noProof/>
            <w:webHidden/>
          </w:rPr>
        </w:r>
        <w:r w:rsidR="00000C7B" w:rsidRPr="004D407A">
          <w:rPr>
            <w:noProof/>
            <w:webHidden/>
          </w:rPr>
          <w:fldChar w:fldCharType="separate"/>
        </w:r>
        <w:r w:rsidR="00000C7B" w:rsidRPr="004D407A">
          <w:rPr>
            <w:noProof/>
            <w:webHidden/>
          </w:rPr>
          <w:t>20</w:t>
        </w:r>
        <w:r w:rsidR="00000C7B" w:rsidRPr="004D407A">
          <w:rPr>
            <w:noProof/>
            <w:webHidden/>
          </w:rPr>
          <w:fldChar w:fldCharType="end"/>
        </w:r>
      </w:hyperlink>
    </w:p>
    <w:p w14:paraId="1215544E" w14:textId="6E345C35" w:rsidR="00000C7B" w:rsidRPr="004D407A" w:rsidRDefault="00C54AE0">
      <w:pPr>
        <w:pStyle w:val="TableofFigures"/>
        <w:rPr>
          <w:rFonts w:eastAsiaTheme="minorEastAsia"/>
          <w:noProof/>
          <w:sz w:val="22"/>
        </w:rPr>
      </w:pPr>
      <w:hyperlink w:anchor="_Toc111912754" w:history="1">
        <w:r w:rsidR="00000C7B" w:rsidRPr="004D407A">
          <w:rPr>
            <w:rStyle w:val="Hyperlink"/>
            <w:noProof/>
            <w:color w:val="auto"/>
          </w:rPr>
          <w:t>Figure 15: Summary of the surveillance indicators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_Toc111912754 \h </w:instrText>
        </w:r>
        <w:r w:rsidR="00000C7B" w:rsidRPr="004D407A">
          <w:rPr>
            <w:noProof/>
            <w:webHidden/>
          </w:rPr>
        </w:r>
        <w:r w:rsidR="00000C7B" w:rsidRPr="004D407A">
          <w:rPr>
            <w:noProof/>
            <w:webHidden/>
          </w:rPr>
          <w:fldChar w:fldCharType="separate"/>
        </w:r>
        <w:r w:rsidR="00000C7B" w:rsidRPr="004D407A">
          <w:rPr>
            <w:noProof/>
            <w:webHidden/>
          </w:rPr>
          <w:t>27</w:t>
        </w:r>
        <w:r w:rsidR="00000C7B" w:rsidRPr="004D407A">
          <w:rPr>
            <w:noProof/>
            <w:webHidden/>
          </w:rPr>
          <w:fldChar w:fldCharType="end"/>
        </w:r>
      </w:hyperlink>
    </w:p>
    <w:p w14:paraId="574FE7A9" w14:textId="744954CD" w:rsidR="00000C7B" w:rsidRPr="004D407A" w:rsidRDefault="00C54AE0">
      <w:pPr>
        <w:pStyle w:val="TableofFigures"/>
        <w:rPr>
          <w:rFonts w:eastAsiaTheme="minorEastAsia"/>
          <w:noProof/>
          <w:sz w:val="22"/>
        </w:rPr>
      </w:pPr>
      <w:hyperlink w:anchor="_Toc111912755" w:history="1">
        <w:r w:rsidR="00000C7B" w:rsidRPr="004D407A">
          <w:rPr>
            <w:rStyle w:val="Hyperlink"/>
            <w:noProof/>
            <w:color w:val="auto"/>
          </w:rPr>
          <w:t>Figure 16: Surveillance Staff by Administration Level</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_Toc111912755 \h </w:instrText>
        </w:r>
        <w:r w:rsidR="00000C7B" w:rsidRPr="004D407A">
          <w:rPr>
            <w:noProof/>
            <w:webHidden/>
          </w:rPr>
        </w:r>
        <w:r w:rsidR="00000C7B" w:rsidRPr="004D407A">
          <w:rPr>
            <w:noProof/>
            <w:webHidden/>
          </w:rPr>
          <w:fldChar w:fldCharType="separate"/>
        </w:r>
        <w:r w:rsidR="00000C7B" w:rsidRPr="004D407A">
          <w:rPr>
            <w:noProof/>
            <w:webHidden/>
          </w:rPr>
          <w:t>28</w:t>
        </w:r>
        <w:r w:rsidR="00000C7B" w:rsidRPr="004D407A">
          <w:rPr>
            <w:noProof/>
            <w:webHidden/>
          </w:rPr>
          <w:fldChar w:fldCharType="end"/>
        </w:r>
      </w:hyperlink>
    </w:p>
    <w:p w14:paraId="2F77287F" w14:textId="7BDE7A58" w:rsidR="00000C7B" w:rsidRPr="004D407A" w:rsidRDefault="00C54AE0">
      <w:pPr>
        <w:pStyle w:val="TableofFigures"/>
        <w:rPr>
          <w:rFonts w:eastAsiaTheme="minorEastAsia"/>
          <w:noProof/>
          <w:sz w:val="22"/>
        </w:rPr>
      </w:pPr>
      <w:hyperlink w:anchor="_Toc111912756" w:history="1">
        <w:r w:rsidR="00000C7B" w:rsidRPr="004D407A">
          <w:rPr>
            <w:rStyle w:val="Hyperlink"/>
            <w:noProof/>
            <w:color w:val="auto"/>
            <w:lang w:val="fr-CH"/>
          </w:rPr>
          <w:t>Figure 17: AFP Surveillance Performance Indicator, 2011-2021</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_Toc111912756 \h </w:instrText>
        </w:r>
        <w:r w:rsidR="00000C7B" w:rsidRPr="004D407A">
          <w:rPr>
            <w:noProof/>
            <w:webHidden/>
          </w:rPr>
        </w:r>
        <w:r w:rsidR="00000C7B" w:rsidRPr="004D407A">
          <w:rPr>
            <w:noProof/>
            <w:webHidden/>
          </w:rPr>
          <w:fldChar w:fldCharType="separate"/>
        </w:r>
        <w:r w:rsidR="00000C7B" w:rsidRPr="004D407A">
          <w:rPr>
            <w:noProof/>
            <w:webHidden/>
          </w:rPr>
          <w:t>29</w:t>
        </w:r>
        <w:r w:rsidR="00000C7B" w:rsidRPr="004D407A">
          <w:rPr>
            <w:noProof/>
            <w:webHidden/>
          </w:rPr>
          <w:fldChar w:fldCharType="end"/>
        </w:r>
      </w:hyperlink>
    </w:p>
    <w:p w14:paraId="09594B69" w14:textId="420BC5F0" w:rsidR="00000C7B" w:rsidRPr="004D407A" w:rsidRDefault="00C54AE0">
      <w:pPr>
        <w:pStyle w:val="TableofFigures"/>
        <w:rPr>
          <w:rFonts w:eastAsiaTheme="minorEastAsia"/>
          <w:noProof/>
          <w:sz w:val="22"/>
        </w:rPr>
      </w:pPr>
      <w:hyperlink w:anchor="_Toc111912757" w:history="1">
        <w:r w:rsidR="00000C7B" w:rsidRPr="004D407A">
          <w:rPr>
            <w:rStyle w:val="Hyperlink"/>
            <w:noProof/>
            <w:color w:val="auto"/>
          </w:rPr>
          <w:t>Figure 18: Reasons for never having vaccination by National, Rural and Urban Areas in 2019</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_Toc111912757 \h </w:instrText>
        </w:r>
        <w:r w:rsidR="00000C7B" w:rsidRPr="004D407A">
          <w:rPr>
            <w:noProof/>
            <w:webHidden/>
          </w:rPr>
        </w:r>
        <w:r w:rsidR="00000C7B" w:rsidRPr="004D407A">
          <w:rPr>
            <w:noProof/>
            <w:webHidden/>
          </w:rPr>
          <w:fldChar w:fldCharType="separate"/>
        </w:r>
        <w:r w:rsidR="00000C7B" w:rsidRPr="004D407A">
          <w:rPr>
            <w:noProof/>
            <w:webHidden/>
          </w:rPr>
          <w:t>30</w:t>
        </w:r>
        <w:r w:rsidR="00000C7B" w:rsidRPr="004D407A">
          <w:rPr>
            <w:noProof/>
            <w:webHidden/>
          </w:rPr>
          <w:fldChar w:fldCharType="end"/>
        </w:r>
      </w:hyperlink>
    </w:p>
    <w:p w14:paraId="41AEA242" w14:textId="52D3945A" w:rsidR="00000C7B" w:rsidRPr="004D407A" w:rsidRDefault="00C54AE0">
      <w:pPr>
        <w:pStyle w:val="TableofFigures"/>
        <w:rPr>
          <w:rFonts w:eastAsiaTheme="minorEastAsia"/>
          <w:noProof/>
          <w:sz w:val="22"/>
        </w:rPr>
      </w:pPr>
      <w:hyperlink w:anchor="_Toc111912758" w:history="1">
        <w:r w:rsidR="00000C7B" w:rsidRPr="004D407A">
          <w:rPr>
            <w:rStyle w:val="Hyperlink"/>
            <w:noProof/>
            <w:color w:val="auto"/>
          </w:rPr>
          <w:t>Figure 19:  Summary of the analysis of the accelerated disease control indicatives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_Toc111912758 \h </w:instrText>
        </w:r>
        <w:r w:rsidR="00000C7B" w:rsidRPr="004D407A">
          <w:rPr>
            <w:noProof/>
            <w:webHidden/>
          </w:rPr>
        </w:r>
        <w:r w:rsidR="00000C7B" w:rsidRPr="004D407A">
          <w:rPr>
            <w:noProof/>
            <w:webHidden/>
          </w:rPr>
          <w:fldChar w:fldCharType="separate"/>
        </w:r>
        <w:r w:rsidR="00000C7B" w:rsidRPr="004D407A">
          <w:rPr>
            <w:noProof/>
            <w:webHidden/>
          </w:rPr>
          <w:t>30</w:t>
        </w:r>
        <w:r w:rsidR="00000C7B" w:rsidRPr="004D407A">
          <w:rPr>
            <w:noProof/>
            <w:webHidden/>
          </w:rPr>
          <w:fldChar w:fldCharType="end"/>
        </w:r>
      </w:hyperlink>
    </w:p>
    <w:p w14:paraId="639390C5" w14:textId="3F7033F6" w:rsidR="00000C7B" w:rsidRPr="004D407A" w:rsidRDefault="00C54AE0">
      <w:pPr>
        <w:pStyle w:val="TableofFigures"/>
        <w:rPr>
          <w:rFonts w:eastAsiaTheme="minorEastAsia"/>
          <w:noProof/>
          <w:sz w:val="22"/>
        </w:rPr>
      </w:pPr>
      <w:hyperlink w:anchor="_Toc111912759" w:history="1">
        <w:r w:rsidR="00000C7B" w:rsidRPr="004D407A">
          <w:rPr>
            <w:rStyle w:val="Hyperlink"/>
            <w:noProof/>
            <w:color w:val="auto"/>
          </w:rPr>
          <w:t>Figure 20: Measles Outbreaks in 2020-2022</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_Toc111912759 \h </w:instrText>
        </w:r>
        <w:r w:rsidR="00000C7B" w:rsidRPr="004D407A">
          <w:rPr>
            <w:noProof/>
            <w:webHidden/>
          </w:rPr>
        </w:r>
        <w:r w:rsidR="00000C7B" w:rsidRPr="004D407A">
          <w:rPr>
            <w:noProof/>
            <w:webHidden/>
          </w:rPr>
          <w:fldChar w:fldCharType="separate"/>
        </w:r>
        <w:r w:rsidR="00000C7B" w:rsidRPr="004D407A">
          <w:rPr>
            <w:noProof/>
            <w:webHidden/>
          </w:rPr>
          <w:t>32</w:t>
        </w:r>
        <w:r w:rsidR="00000C7B" w:rsidRPr="004D407A">
          <w:rPr>
            <w:noProof/>
            <w:webHidden/>
          </w:rPr>
          <w:fldChar w:fldCharType="end"/>
        </w:r>
      </w:hyperlink>
    </w:p>
    <w:p w14:paraId="2F25CAC1" w14:textId="60400A3E" w:rsidR="00000C7B" w:rsidRPr="004D407A" w:rsidRDefault="00C54AE0">
      <w:pPr>
        <w:pStyle w:val="TableofFigures"/>
        <w:rPr>
          <w:rFonts w:eastAsiaTheme="minorEastAsia"/>
          <w:noProof/>
          <w:sz w:val="22"/>
        </w:rPr>
      </w:pPr>
      <w:hyperlink w:anchor="_Toc111912760" w:history="1">
        <w:r w:rsidR="00000C7B" w:rsidRPr="004D407A">
          <w:rPr>
            <w:rStyle w:val="Hyperlink"/>
            <w:noProof/>
            <w:color w:val="auto"/>
          </w:rPr>
          <w:t>Figure 21: Survey MCV1 and MCV2 coverage, valid by 12 months and crude by 24 months of age, Bangladesh 2001-2016</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_Toc111912760 \h </w:instrText>
        </w:r>
        <w:r w:rsidR="00000C7B" w:rsidRPr="004D407A">
          <w:rPr>
            <w:noProof/>
            <w:webHidden/>
          </w:rPr>
        </w:r>
        <w:r w:rsidR="00000C7B" w:rsidRPr="004D407A">
          <w:rPr>
            <w:noProof/>
            <w:webHidden/>
          </w:rPr>
          <w:fldChar w:fldCharType="separate"/>
        </w:r>
        <w:r w:rsidR="00000C7B" w:rsidRPr="004D407A">
          <w:rPr>
            <w:noProof/>
            <w:webHidden/>
          </w:rPr>
          <w:t>32</w:t>
        </w:r>
        <w:r w:rsidR="00000C7B" w:rsidRPr="004D407A">
          <w:rPr>
            <w:noProof/>
            <w:webHidden/>
          </w:rPr>
          <w:fldChar w:fldCharType="end"/>
        </w:r>
      </w:hyperlink>
    </w:p>
    <w:p w14:paraId="57E02B3F" w14:textId="6EC81D89" w:rsidR="00000C7B" w:rsidRPr="004D407A" w:rsidRDefault="00C54AE0">
      <w:pPr>
        <w:pStyle w:val="TableofFigures"/>
        <w:rPr>
          <w:rFonts w:eastAsiaTheme="minorEastAsia"/>
          <w:noProof/>
          <w:sz w:val="22"/>
        </w:rPr>
      </w:pPr>
      <w:hyperlink w:anchor="_Toc111912761" w:history="1">
        <w:r w:rsidR="00000C7B" w:rsidRPr="004D407A">
          <w:rPr>
            <w:rStyle w:val="Hyperlink"/>
            <w:noProof/>
            <w:color w:val="auto"/>
          </w:rPr>
          <w:t>Figure 22: CRS Surveillance Performance Indicators, Bangladesh 2012-2021</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_Toc111912761 \h </w:instrText>
        </w:r>
        <w:r w:rsidR="00000C7B" w:rsidRPr="004D407A">
          <w:rPr>
            <w:noProof/>
            <w:webHidden/>
          </w:rPr>
        </w:r>
        <w:r w:rsidR="00000C7B" w:rsidRPr="004D407A">
          <w:rPr>
            <w:noProof/>
            <w:webHidden/>
          </w:rPr>
          <w:fldChar w:fldCharType="separate"/>
        </w:r>
        <w:r w:rsidR="00000C7B" w:rsidRPr="004D407A">
          <w:rPr>
            <w:noProof/>
            <w:webHidden/>
          </w:rPr>
          <w:t>33</w:t>
        </w:r>
        <w:r w:rsidR="00000C7B" w:rsidRPr="004D407A">
          <w:rPr>
            <w:noProof/>
            <w:webHidden/>
          </w:rPr>
          <w:fldChar w:fldCharType="end"/>
        </w:r>
      </w:hyperlink>
    </w:p>
    <w:p w14:paraId="4DE8079F" w14:textId="365FACEE" w:rsidR="00000C7B" w:rsidRPr="004D407A" w:rsidRDefault="00C54AE0">
      <w:pPr>
        <w:pStyle w:val="TableofFigures"/>
        <w:rPr>
          <w:rFonts w:eastAsiaTheme="minorEastAsia"/>
          <w:noProof/>
          <w:sz w:val="22"/>
        </w:rPr>
      </w:pPr>
      <w:hyperlink w:anchor="_Toc111912762" w:history="1">
        <w:r w:rsidR="00000C7B" w:rsidRPr="004D407A">
          <w:rPr>
            <w:rStyle w:val="Hyperlink"/>
            <w:noProof/>
            <w:color w:val="auto"/>
          </w:rPr>
          <w:t>Figure 23:</w:t>
        </w:r>
        <w:r w:rsidR="00000C7B" w:rsidRPr="004D407A">
          <w:rPr>
            <w:rFonts w:eastAsiaTheme="minorEastAsia"/>
            <w:noProof/>
            <w:sz w:val="22"/>
          </w:rPr>
          <w:tab/>
        </w:r>
        <w:r w:rsidR="00000C7B" w:rsidRPr="004D407A">
          <w:rPr>
            <w:rStyle w:val="Hyperlink"/>
            <w:noProof/>
            <w:color w:val="auto"/>
          </w:rPr>
          <w:t>Root cause analysis of the current immunization preformance</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_Toc111912762 \h </w:instrText>
        </w:r>
        <w:r w:rsidR="00000C7B" w:rsidRPr="004D407A">
          <w:rPr>
            <w:noProof/>
            <w:webHidden/>
          </w:rPr>
        </w:r>
        <w:r w:rsidR="00000C7B" w:rsidRPr="004D407A">
          <w:rPr>
            <w:noProof/>
            <w:webHidden/>
          </w:rPr>
          <w:fldChar w:fldCharType="separate"/>
        </w:r>
        <w:r w:rsidR="00000C7B" w:rsidRPr="004D407A">
          <w:rPr>
            <w:noProof/>
            <w:webHidden/>
          </w:rPr>
          <w:t>34</w:t>
        </w:r>
        <w:r w:rsidR="00000C7B" w:rsidRPr="004D407A">
          <w:rPr>
            <w:noProof/>
            <w:webHidden/>
          </w:rPr>
          <w:fldChar w:fldCharType="end"/>
        </w:r>
      </w:hyperlink>
    </w:p>
    <w:p w14:paraId="597942A4" w14:textId="513CDD12" w:rsidR="00000C7B" w:rsidRPr="004D407A" w:rsidRDefault="00C54AE0">
      <w:pPr>
        <w:pStyle w:val="TableofFigures"/>
        <w:rPr>
          <w:rFonts w:eastAsiaTheme="minorEastAsia"/>
          <w:noProof/>
          <w:sz w:val="22"/>
        </w:rPr>
      </w:pPr>
      <w:hyperlink w:anchor="_Toc111912763" w:history="1">
        <w:r w:rsidR="00000C7B" w:rsidRPr="004D407A">
          <w:rPr>
            <w:rStyle w:val="Hyperlink"/>
            <w:noProof/>
            <w:color w:val="auto"/>
          </w:rPr>
          <w:t>Figure 24: National immunization program costs (USD) summary by system components and years – basic scenario</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_Toc111912763 \h </w:instrText>
        </w:r>
        <w:r w:rsidR="00000C7B" w:rsidRPr="004D407A">
          <w:rPr>
            <w:noProof/>
            <w:webHidden/>
          </w:rPr>
        </w:r>
        <w:r w:rsidR="00000C7B" w:rsidRPr="004D407A">
          <w:rPr>
            <w:noProof/>
            <w:webHidden/>
          </w:rPr>
          <w:fldChar w:fldCharType="separate"/>
        </w:r>
        <w:r w:rsidR="00000C7B" w:rsidRPr="004D407A">
          <w:rPr>
            <w:noProof/>
            <w:webHidden/>
          </w:rPr>
          <w:t>43</w:t>
        </w:r>
        <w:r w:rsidR="00000C7B" w:rsidRPr="004D407A">
          <w:rPr>
            <w:noProof/>
            <w:webHidden/>
          </w:rPr>
          <w:fldChar w:fldCharType="end"/>
        </w:r>
      </w:hyperlink>
    </w:p>
    <w:p w14:paraId="1BFE6C4A" w14:textId="249F7670" w:rsidR="00000C7B" w:rsidRPr="004D407A" w:rsidRDefault="00C54AE0">
      <w:pPr>
        <w:pStyle w:val="TableofFigures"/>
        <w:rPr>
          <w:rFonts w:eastAsiaTheme="minorEastAsia"/>
          <w:noProof/>
          <w:sz w:val="22"/>
        </w:rPr>
      </w:pPr>
      <w:hyperlink w:anchor="_Toc111912764" w:history="1">
        <w:r w:rsidR="00000C7B" w:rsidRPr="004D407A">
          <w:rPr>
            <w:rStyle w:val="Hyperlink"/>
            <w:noProof/>
            <w:color w:val="auto"/>
          </w:rPr>
          <w:t xml:space="preserve">Figure 25: </w:t>
        </w:r>
        <w:r w:rsidR="00000C7B" w:rsidRPr="004D407A">
          <w:rPr>
            <w:rFonts w:eastAsiaTheme="minorEastAsia"/>
            <w:noProof/>
            <w:sz w:val="22"/>
          </w:rPr>
          <w:tab/>
        </w:r>
        <w:r w:rsidR="00000C7B" w:rsidRPr="004D407A">
          <w:rPr>
            <w:rStyle w:val="Hyperlink"/>
            <w:noProof/>
            <w:color w:val="auto"/>
          </w:rPr>
          <w:t>The future total resource requirement 2023-2027 by programme components (shared costs excluded)</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_Toc111912764 \h </w:instrText>
        </w:r>
        <w:r w:rsidR="00000C7B" w:rsidRPr="004D407A">
          <w:rPr>
            <w:noProof/>
            <w:webHidden/>
          </w:rPr>
        </w:r>
        <w:r w:rsidR="00000C7B" w:rsidRPr="004D407A">
          <w:rPr>
            <w:noProof/>
            <w:webHidden/>
          </w:rPr>
          <w:fldChar w:fldCharType="separate"/>
        </w:r>
        <w:r w:rsidR="00000C7B" w:rsidRPr="004D407A">
          <w:rPr>
            <w:noProof/>
            <w:webHidden/>
          </w:rPr>
          <w:t>44</w:t>
        </w:r>
        <w:r w:rsidR="00000C7B" w:rsidRPr="004D407A">
          <w:rPr>
            <w:noProof/>
            <w:webHidden/>
          </w:rPr>
          <w:fldChar w:fldCharType="end"/>
        </w:r>
      </w:hyperlink>
    </w:p>
    <w:p w14:paraId="0A8D1D24" w14:textId="4E77A21B" w:rsidR="00000C7B" w:rsidRPr="004D407A" w:rsidRDefault="00C54AE0">
      <w:pPr>
        <w:pStyle w:val="TableofFigures"/>
        <w:rPr>
          <w:rFonts w:eastAsiaTheme="minorEastAsia"/>
          <w:noProof/>
          <w:sz w:val="22"/>
        </w:rPr>
      </w:pPr>
      <w:hyperlink w:anchor="_Toc111912765" w:history="1">
        <w:r w:rsidR="00000C7B" w:rsidRPr="004D407A">
          <w:rPr>
            <w:rStyle w:val="Hyperlink"/>
            <w:noProof/>
            <w:color w:val="auto"/>
          </w:rPr>
          <w:t xml:space="preserve">Figure 26: </w:t>
        </w:r>
        <w:r w:rsidR="00000C7B" w:rsidRPr="004D407A">
          <w:rPr>
            <w:rFonts w:eastAsiaTheme="minorEastAsia"/>
            <w:noProof/>
            <w:sz w:val="22"/>
          </w:rPr>
          <w:tab/>
        </w:r>
        <w:r w:rsidR="00000C7B" w:rsidRPr="004D407A">
          <w:rPr>
            <w:rStyle w:val="Hyperlink"/>
            <w:noProof/>
            <w:color w:val="auto"/>
          </w:rPr>
          <w:t>The structure of future resource requirements by cMYP components and years (shared costs excluded)</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_Toc111912765 \h </w:instrText>
        </w:r>
        <w:r w:rsidR="00000C7B" w:rsidRPr="004D407A">
          <w:rPr>
            <w:noProof/>
            <w:webHidden/>
          </w:rPr>
        </w:r>
        <w:r w:rsidR="00000C7B" w:rsidRPr="004D407A">
          <w:rPr>
            <w:noProof/>
            <w:webHidden/>
          </w:rPr>
          <w:fldChar w:fldCharType="separate"/>
        </w:r>
        <w:r w:rsidR="00000C7B" w:rsidRPr="004D407A">
          <w:rPr>
            <w:noProof/>
            <w:webHidden/>
          </w:rPr>
          <w:t>45</w:t>
        </w:r>
        <w:r w:rsidR="00000C7B" w:rsidRPr="004D407A">
          <w:rPr>
            <w:noProof/>
            <w:webHidden/>
          </w:rPr>
          <w:fldChar w:fldCharType="end"/>
        </w:r>
      </w:hyperlink>
    </w:p>
    <w:p w14:paraId="62A3A1C7" w14:textId="6B13AF61" w:rsidR="00000C7B" w:rsidRPr="004D407A" w:rsidRDefault="00C54AE0">
      <w:pPr>
        <w:pStyle w:val="TableofFigures"/>
        <w:rPr>
          <w:rFonts w:eastAsiaTheme="minorEastAsia"/>
          <w:noProof/>
          <w:sz w:val="22"/>
        </w:rPr>
      </w:pPr>
      <w:hyperlink w:anchor="_Toc111912766" w:history="1">
        <w:r w:rsidR="00000C7B" w:rsidRPr="004D407A">
          <w:rPr>
            <w:rStyle w:val="Hyperlink"/>
            <w:noProof/>
            <w:color w:val="auto"/>
          </w:rPr>
          <w:t>Figure 27:</w:t>
        </w:r>
        <w:r w:rsidR="00000C7B" w:rsidRPr="004D407A">
          <w:rPr>
            <w:rFonts w:eastAsiaTheme="minorEastAsia"/>
            <w:noProof/>
            <w:sz w:val="22"/>
          </w:rPr>
          <w:tab/>
        </w:r>
        <w:r w:rsidR="00000C7B" w:rsidRPr="004D407A">
          <w:rPr>
            <w:rStyle w:val="Hyperlink"/>
            <w:noProof/>
            <w:color w:val="auto"/>
          </w:rPr>
          <w:t>Vaccine and injection supply cost projections (routine immunization. Scenario A (Rotavirus, HPV, JE and TCV from 2023)</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_Toc111912766 \h </w:instrText>
        </w:r>
        <w:r w:rsidR="00000C7B" w:rsidRPr="004D407A">
          <w:rPr>
            <w:noProof/>
            <w:webHidden/>
          </w:rPr>
        </w:r>
        <w:r w:rsidR="00000C7B" w:rsidRPr="004D407A">
          <w:rPr>
            <w:noProof/>
            <w:webHidden/>
          </w:rPr>
          <w:fldChar w:fldCharType="separate"/>
        </w:r>
        <w:r w:rsidR="00000C7B" w:rsidRPr="004D407A">
          <w:rPr>
            <w:noProof/>
            <w:webHidden/>
          </w:rPr>
          <w:t>46</w:t>
        </w:r>
        <w:r w:rsidR="00000C7B" w:rsidRPr="004D407A">
          <w:rPr>
            <w:noProof/>
            <w:webHidden/>
          </w:rPr>
          <w:fldChar w:fldCharType="end"/>
        </w:r>
      </w:hyperlink>
    </w:p>
    <w:p w14:paraId="3A8235DF" w14:textId="739CCB3F" w:rsidR="00000C7B" w:rsidRPr="004D407A" w:rsidRDefault="00C54AE0">
      <w:pPr>
        <w:pStyle w:val="TableofFigures"/>
        <w:rPr>
          <w:rFonts w:eastAsiaTheme="minorEastAsia"/>
          <w:noProof/>
          <w:sz w:val="22"/>
        </w:rPr>
      </w:pPr>
      <w:hyperlink w:anchor="_Toc111912767" w:history="1">
        <w:r w:rsidR="00000C7B" w:rsidRPr="004D407A">
          <w:rPr>
            <w:rStyle w:val="Hyperlink"/>
            <w:noProof/>
            <w:color w:val="auto"/>
          </w:rPr>
          <w:t>Figure 28: The future resource requirements for “Program Management and Financing” component of EPI</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_Toc111912767 \h </w:instrText>
        </w:r>
        <w:r w:rsidR="00000C7B" w:rsidRPr="004D407A">
          <w:rPr>
            <w:noProof/>
            <w:webHidden/>
          </w:rPr>
        </w:r>
        <w:r w:rsidR="00000C7B" w:rsidRPr="004D407A">
          <w:rPr>
            <w:noProof/>
            <w:webHidden/>
          </w:rPr>
          <w:fldChar w:fldCharType="separate"/>
        </w:r>
        <w:r w:rsidR="00000C7B" w:rsidRPr="004D407A">
          <w:rPr>
            <w:noProof/>
            <w:webHidden/>
          </w:rPr>
          <w:t>46</w:t>
        </w:r>
        <w:r w:rsidR="00000C7B" w:rsidRPr="004D407A">
          <w:rPr>
            <w:noProof/>
            <w:webHidden/>
          </w:rPr>
          <w:fldChar w:fldCharType="end"/>
        </w:r>
      </w:hyperlink>
    </w:p>
    <w:p w14:paraId="3059790A" w14:textId="11793322" w:rsidR="00000C7B" w:rsidRPr="004D407A" w:rsidRDefault="00C54AE0">
      <w:pPr>
        <w:pStyle w:val="TableofFigures"/>
        <w:rPr>
          <w:rFonts w:eastAsiaTheme="minorEastAsia"/>
          <w:noProof/>
          <w:sz w:val="22"/>
        </w:rPr>
      </w:pPr>
      <w:hyperlink w:anchor="_Toc111912768" w:history="1">
        <w:r w:rsidR="00000C7B" w:rsidRPr="004D407A">
          <w:rPr>
            <w:rStyle w:val="Hyperlink"/>
            <w:noProof/>
            <w:color w:val="auto"/>
          </w:rPr>
          <w:t>Figure 29: Commparison of resource requirements for vaccines and injection supplies between the Baseline Scenario and Scenario A by years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_Toc111912768 \h </w:instrText>
        </w:r>
        <w:r w:rsidR="00000C7B" w:rsidRPr="004D407A">
          <w:rPr>
            <w:noProof/>
            <w:webHidden/>
          </w:rPr>
        </w:r>
        <w:r w:rsidR="00000C7B" w:rsidRPr="004D407A">
          <w:rPr>
            <w:noProof/>
            <w:webHidden/>
          </w:rPr>
          <w:fldChar w:fldCharType="separate"/>
        </w:r>
        <w:r w:rsidR="00000C7B" w:rsidRPr="004D407A">
          <w:rPr>
            <w:noProof/>
            <w:webHidden/>
          </w:rPr>
          <w:t>48</w:t>
        </w:r>
        <w:r w:rsidR="00000C7B" w:rsidRPr="004D407A">
          <w:rPr>
            <w:noProof/>
            <w:webHidden/>
          </w:rPr>
          <w:fldChar w:fldCharType="end"/>
        </w:r>
      </w:hyperlink>
    </w:p>
    <w:p w14:paraId="738543FB" w14:textId="68C14D9F" w:rsidR="00000C7B" w:rsidRPr="004D407A" w:rsidRDefault="00C54AE0">
      <w:pPr>
        <w:pStyle w:val="TableofFigures"/>
        <w:rPr>
          <w:rFonts w:eastAsiaTheme="minorEastAsia"/>
          <w:noProof/>
          <w:sz w:val="22"/>
        </w:rPr>
      </w:pPr>
      <w:hyperlink w:anchor="_Toc111912769" w:history="1">
        <w:r w:rsidR="00000C7B" w:rsidRPr="004D407A">
          <w:rPr>
            <w:rStyle w:val="Hyperlink"/>
            <w:noProof/>
            <w:color w:val="auto"/>
          </w:rPr>
          <w:t>Figure 30: Cost implication on State budget – Scenario A introduction</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_Toc111912769 \h </w:instrText>
        </w:r>
        <w:r w:rsidR="00000C7B" w:rsidRPr="004D407A">
          <w:rPr>
            <w:noProof/>
            <w:webHidden/>
          </w:rPr>
        </w:r>
        <w:r w:rsidR="00000C7B" w:rsidRPr="004D407A">
          <w:rPr>
            <w:noProof/>
            <w:webHidden/>
          </w:rPr>
          <w:fldChar w:fldCharType="separate"/>
        </w:r>
        <w:r w:rsidR="00000C7B" w:rsidRPr="004D407A">
          <w:rPr>
            <w:noProof/>
            <w:webHidden/>
          </w:rPr>
          <w:t>49</w:t>
        </w:r>
        <w:r w:rsidR="00000C7B" w:rsidRPr="004D407A">
          <w:rPr>
            <w:noProof/>
            <w:webHidden/>
          </w:rPr>
          <w:fldChar w:fldCharType="end"/>
        </w:r>
      </w:hyperlink>
    </w:p>
    <w:p w14:paraId="5A8DDBBC" w14:textId="3933F8E4" w:rsidR="00000C7B" w:rsidRPr="004D407A" w:rsidRDefault="00C54AE0">
      <w:pPr>
        <w:pStyle w:val="TableofFigures"/>
        <w:rPr>
          <w:rFonts w:eastAsiaTheme="minorEastAsia"/>
          <w:noProof/>
          <w:sz w:val="22"/>
        </w:rPr>
      </w:pPr>
      <w:hyperlink w:anchor="_Toc111912770" w:history="1">
        <w:r w:rsidR="00000C7B" w:rsidRPr="004D407A">
          <w:rPr>
            <w:rStyle w:val="Hyperlink"/>
            <w:noProof/>
            <w:color w:val="auto"/>
          </w:rPr>
          <w:t xml:space="preserve">Figure 31: </w:t>
        </w:r>
        <w:r w:rsidR="00000C7B" w:rsidRPr="004D407A">
          <w:rPr>
            <w:rFonts w:eastAsiaTheme="minorEastAsia"/>
            <w:noProof/>
            <w:sz w:val="22"/>
          </w:rPr>
          <w:tab/>
        </w:r>
        <w:r w:rsidR="00000C7B" w:rsidRPr="004D407A">
          <w:rPr>
            <w:rStyle w:val="Hyperlink"/>
            <w:noProof/>
            <w:color w:val="auto"/>
          </w:rPr>
          <w:t>Commparison of resource requirements for vaccines and injection supplies between the Baseline Scenario and Scenario B by years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_Toc111912770 \h </w:instrText>
        </w:r>
        <w:r w:rsidR="00000C7B" w:rsidRPr="004D407A">
          <w:rPr>
            <w:noProof/>
            <w:webHidden/>
          </w:rPr>
        </w:r>
        <w:r w:rsidR="00000C7B" w:rsidRPr="004D407A">
          <w:rPr>
            <w:noProof/>
            <w:webHidden/>
          </w:rPr>
          <w:fldChar w:fldCharType="separate"/>
        </w:r>
        <w:r w:rsidR="00000C7B" w:rsidRPr="004D407A">
          <w:rPr>
            <w:noProof/>
            <w:webHidden/>
          </w:rPr>
          <w:t>49</w:t>
        </w:r>
        <w:r w:rsidR="00000C7B" w:rsidRPr="004D407A">
          <w:rPr>
            <w:noProof/>
            <w:webHidden/>
          </w:rPr>
          <w:fldChar w:fldCharType="end"/>
        </w:r>
      </w:hyperlink>
    </w:p>
    <w:p w14:paraId="0F339657" w14:textId="6F34A337" w:rsidR="00000C7B" w:rsidRPr="004D407A" w:rsidRDefault="00C54AE0">
      <w:pPr>
        <w:pStyle w:val="TableofFigures"/>
        <w:rPr>
          <w:rFonts w:eastAsiaTheme="minorEastAsia"/>
          <w:noProof/>
          <w:sz w:val="22"/>
        </w:rPr>
      </w:pPr>
      <w:hyperlink w:anchor="_Toc111912771" w:history="1">
        <w:r w:rsidR="00000C7B" w:rsidRPr="004D407A">
          <w:rPr>
            <w:rStyle w:val="Hyperlink"/>
            <w:noProof/>
            <w:color w:val="auto"/>
          </w:rPr>
          <w:t>Figure 32: Cost implication on government budget – Scenario B introduction</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_Toc111912771 \h </w:instrText>
        </w:r>
        <w:r w:rsidR="00000C7B" w:rsidRPr="004D407A">
          <w:rPr>
            <w:noProof/>
            <w:webHidden/>
          </w:rPr>
        </w:r>
        <w:r w:rsidR="00000C7B" w:rsidRPr="004D407A">
          <w:rPr>
            <w:noProof/>
            <w:webHidden/>
          </w:rPr>
          <w:fldChar w:fldCharType="separate"/>
        </w:r>
        <w:r w:rsidR="00000C7B" w:rsidRPr="004D407A">
          <w:rPr>
            <w:noProof/>
            <w:webHidden/>
          </w:rPr>
          <w:t>50</w:t>
        </w:r>
        <w:r w:rsidR="00000C7B" w:rsidRPr="004D407A">
          <w:rPr>
            <w:noProof/>
            <w:webHidden/>
          </w:rPr>
          <w:fldChar w:fldCharType="end"/>
        </w:r>
      </w:hyperlink>
    </w:p>
    <w:p w14:paraId="491B2F51" w14:textId="6C421450" w:rsidR="00000C7B" w:rsidRPr="004D407A" w:rsidRDefault="00C54AE0">
      <w:pPr>
        <w:pStyle w:val="TableofFigures"/>
        <w:rPr>
          <w:rFonts w:eastAsiaTheme="minorEastAsia"/>
          <w:noProof/>
          <w:sz w:val="22"/>
        </w:rPr>
      </w:pPr>
      <w:hyperlink w:anchor="_Toc111912772" w:history="1">
        <w:r w:rsidR="00000C7B" w:rsidRPr="004D407A">
          <w:rPr>
            <w:rStyle w:val="Hyperlink"/>
            <w:noProof/>
            <w:color w:val="auto"/>
          </w:rPr>
          <w:t>Figure 33:</w:t>
        </w:r>
        <w:r w:rsidR="00000C7B" w:rsidRPr="004D407A">
          <w:rPr>
            <w:rFonts w:eastAsiaTheme="minorEastAsia"/>
            <w:noProof/>
            <w:sz w:val="22"/>
          </w:rPr>
          <w:tab/>
        </w:r>
        <w:r w:rsidR="00000C7B" w:rsidRPr="004D407A">
          <w:rPr>
            <w:rStyle w:val="Hyperlink"/>
            <w:noProof/>
            <w:color w:val="auto"/>
          </w:rPr>
          <w:t>Financing by sources and funding gap by years (with secured and probable funds, excluding shared health system costs)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_Toc111912772 \h </w:instrText>
        </w:r>
        <w:r w:rsidR="00000C7B" w:rsidRPr="004D407A">
          <w:rPr>
            <w:noProof/>
            <w:webHidden/>
          </w:rPr>
        </w:r>
        <w:r w:rsidR="00000C7B" w:rsidRPr="004D407A">
          <w:rPr>
            <w:noProof/>
            <w:webHidden/>
          </w:rPr>
          <w:fldChar w:fldCharType="separate"/>
        </w:r>
        <w:r w:rsidR="00000C7B" w:rsidRPr="004D407A">
          <w:rPr>
            <w:noProof/>
            <w:webHidden/>
          </w:rPr>
          <w:t>51</w:t>
        </w:r>
        <w:r w:rsidR="00000C7B" w:rsidRPr="004D407A">
          <w:rPr>
            <w:noProof/>
            <w:webHidden/>
          </w:rPr>
          <w:fldChar w:fldCharType="end"/>
        </w:r>
      </w:hyperlink>
    </w:p>
    <w:p w14:paraId="32F31A9B" w14:textId="2A32D500" w:rsidR="00000C7B" w:rsidRPr="004D407A" w:rsidRDefault="00C54AE0">
      <w:pPr>
        <w:pStyle w:val="TableofFigures"/>
        <w:rPr>
          <w:rFonts w:eastAsiaTheme="minorEastAsia"/>
          <w:noProof/>
          <w:sz w:val="22"/>
        </w:rPr>
      </w:pPr>
      <w:hyperlink w:anchor="_Toc111912773" w:history="1">
        <w:r w:rsidR="00000C7B" w:rsidRPr="004D407A">
          <w:rPr>
            <w:rStyle w:val="Hyperlink"/>
            <w:noProof/>
            <w:color w:val="auto"/>
          </w:rPr>
          <w:t>Figure 34:</w:t>
        </w:r>
        <w:r w:rsidR="00000C7B" w:rsidRPr="004D407A">
          <w:rPr>
            <w:rFonts w:eastAsiaTheme="minorEastAsia"/>
            <w:noProof/>
            <w:sz w:val="22"/>
          </w:rPr>
          <w:tab/>
        </w:r>
        <w:r w:rsidR="00000C7B" w:rsidRPr="004D407A">
          <w:rPr>
            <w:rStyle w:val="Hyperlink"/>
            <w:noProof/>
            <w:color w:val="auto"/>
          </w:rPr>
          <w:t>Funding gap structure by years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_Toc111912773 \h </w:instrText>
        </w:r>
        <w:r w:rsidR="00000C7B" w:rsidRPr="004D407A">
          <w:rPr>
            <w:noProof/>
            <w:webHidden/>
          </w:rPr>
        </w:r>
        <w:r w:rsidR="00000C7B" w:rsidRPr="004D407A">
          <w:rPr>
            <w:noProof/>
            <w:webHidden/>
          </w:rPr>
          <w:fldChar w:fldCharType="separate"/>
        </w:r>
        <w:r w:rsidR="00000C7B" w:rsidRPr="004D407A">
          <w:rPr>
            <w:noProof/>
            <w:webHidden/>
          </w:rPr>
          <w:t>51</w:t>
        </w:r>
        <w:r w:rsidR="00000C7B" w:rsidRPr="004D407A">
          <w:rPr>
            <w:noProof/>
            <w:webHidden/>
          </w:rPr>
          <w:fldChar w:fldCharType="end"/>
        </w:r>
      </w:hyperlink>
    </w:p>
    <w:p w14:paraId="33508087" w14:textId="771286E2" w:rsidR="00000C7B" w:rsidRPr="004D407A" w:rsidRDefault="00C54AE0">
      <w:pPr>
        <w:pStyle w:val="TableofFigures"/>
        <w:rPr>
          <w:rFonts w:eastAsiaTheme="minorEastAsia"/>
          <w:noProof/>
          <w:sz w:val="22"/>
        </w:rPr>
      </w:pPr>
      <w:hyperlink w:anchor="_Toc111912774" w:history="1">
        <w:r w:rsidR="00000C7B" w:rsidRPr="004D407A">
          <w:rPr>
            <w:rStyle w:val="Hyperlink"/>
            <w:noProof/>
            <w:color w:val="auto"/>
          </w:rPr>
          <w:t>Figure 35: Funding gap structure by the major cost categories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_Toc111912774 \h </w:instrText>
        </w:r>
        <w:r w:rsidR="00000C7B" w:rsidRPr="004D407A">
          <w:rPr>
            <w:noProof/>
            <w:webHidden/>
          </w:rPr>
        </w:r>
        <w:r w:rsidR="00000C7B" w:rsidRPr="004D407A">
          <w:rPr>
            <w:noProof/>
            <w:webHidden/>
          </w:rPr>
          <w:fldChar w:fldCharType="separate"/>
        </w:r>
        <w:r w:rsidR="00000C7B" w:rsidRPr="004D407A">
          <w:rPr>
            <w:noProof/>
            <w:webHidden/>
          </w:rPr>
          <w:t>52</w:t>
        </w:r>
        <w:r w:rsidR="00000C7B" w:rsidRPr="004D407A">
          <w:rPr>
            <w:noProof/>
            <w:webHidden/>
          </w:rPr>
          <w:fldChar w:fldCharType="end"/>
        </w:r>
      </w:hyperlink>
    </w:p>
    <w:p w14:paraId="325F9B2D" w14:textId="504DECD0" w:rsidR="00000C7B" w:rsidRPr="004D407A" w:rsidRDefault="00C54AE0">
      <w:pPr>
        <w:pStyle w:val="TableofFigures"/>
        <w:rPr>
          <w:rFonts w:eastAsiaTheme="minorEastAsia"/>
          <w:noProof/>
          <w:sz w:val="22"/>
        </w:rPr>
      </w:pPr>
      <w:hyperlink w:anchor="_Toc111912775" w:history="1">
        <w:r w:rsidR="00000C7B" w:rsidRPr="004D407A">
          <w:rPr>
            <w:rStyle w:val="Hyperlink"/>
            <w:noProof/>
            <w:color w:val="auto"/>
          </w:rPr>
          <w:t>Figure 36:</w:t>
        </w:r>
        <w:r w:rsidR="00000C7B" w:rsidRPr="004D407A">
          <w:rPr>
            <w:rFonts w:eastAsiaTheme="minorEastAsia"/>
            <w:noProof/>
            <w:sz w:val="22"/>
          </w:rPr>
          <w:tab/>
        </w:r>
        <w:r w:rsidR="00000C7B" w:rsidRPr="004D407A">
          <w:rPr>
            <w:rStyle w:val="Hyperlink"/>
            <w:noProof/>
            <w:color w:val="auto"/>
          </w:rPr>
          <w:t>Population density by administrative units in Bangladesh</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_Toc111912775 \h </w:instrText>
        </w:r>
        <w:r w:rsidR="00000C7B" w:rsidRPr="004D407A">
          <w:rPr>
            <w:noProof/>
            <w:webHidden/>
          </w:rPr>
        </w:r>
        <w:r w:rsidR="00000C7B" w:rsidRPr="004D407A">
          <w:rPr>
            <w:noProof/>
            <w:webHidden/>
          </w:rPr>
          <w:fldChar w:fldCharType="separate"/>
        </w:r>
        <w:r w:rsidR="00000C7B" w:rsidRPr="004D407A">
          <w:rPr>
            <w:noProof/>
            <w:webHidden/>
          </w:rPr>
          <w:t>54</w:t>
        </w:r>
        <w:r w:rsidR="00000C7B" w:rsidRPr="004D407A">
          <w:rPr>
            <w:noProof/>
            <w:webHidden/>
          </w:rPr>
          <w:fldChar w:fldCharType="end"/>
        </w:r>
      </w:hyperlink>
    </w:p>
    <w:p w14:paraId="18D0E8EA" w14:textId="55ED2669" w:rsidR="00000C7B" w:rsidRPr="004D407A" w:rsidRDefault="00C54AE0">
      <w:pPr>
        <w:pStyle w:val="TableofFigures"/>
        <w:rPr>
          <w:rFonts w:eastAsiaTheme="minorEastAsia"/>
          <w:noProof/>
          <w:sz w:val="22"/>
        </w:rPr>
      </w:pPr>
      <w:hyperlink w:anchor="_Toc111912776" w:history="1">
        <w:r w:rsidR="00000C7B" w:rsidRPr="004D407A">
          <w:rPr>
            <w:rStyle w:val="Hyperlink"/>
            <w:noProof/>
            <w:color w:val="auto"/>
          </w:rPr>
          <w:t>Figure 37: Bangladesh EPI Root Cause Analysis Diagram – Block A – Maintenance of High Coverage Rates in All Areas of the Country</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_Toc111912776 \h </w:instrText>
        </w:r>
        <w:r w:rsidR="00000C7B" w:rsidRPr="004D407A">
          <w:rPr>
            <w:noProof/>
            <w:webHidden/>
          </w:rPr>
        </w:r>
        <w:r w:rsidR="00000C7B" w:rsidRPr="004D407A">
          <w:rPr>
            <w:noProof/>
            <w:webHidden/>
          </w:rPr>
          <w:fldChar w:fldCharType="separate"/>
        </w:r>
        <w:r w:rsidR="00000C7B" w:rsidRPr="004D407A">
          <w:rPr>
            <w:noProof/>
            <w:webHidden/>
          </w:rPr>
          <w:t>55</w:t>
        </w:r>
        <w:r w:rsidR="00000C7B" w:rsidRPr="004D407A">
          <w:rPr>
            <w:noProof/>
            <w:webHidden/>
          </w:rPr>
          <w:fldChar w:fldCharType="end"/>
        </w:r>
      </w:hyperlink>
    </w:p>
    <w:p w14:paraId="21840B23" w14:textId="432DDA87" w:rsidR="00000C7B" w:rsidRPr="004D407A" w:rsidRDefault="00C54AE0">
      <w:pPr>
        <w:pStyle w:val="TableofFigures"/>
        <w:rPr>
          <w:rFonts w:eastAsiaTheme="minorEastAsia"/>
          <w:noProof/>
          <w:sz w:val="22"/>
        </w:rPr>
      </w:pPr>
      <w:hyperlink w:anchor="_Toc111912777" w:history="1">
        <w:r w:rsidR="00000C7B" w:rsidRPr="004D407A">
          <w:rPr>
            <w:rStyle w:val="Hyperlink"/>
            <w:noProof/>
            <w:color w:val="auto"/>
          </w:rPr>
          <w:t>Figure 38: Bangladesh EPI Root Cause Analysis Diagram – Block B – Vaccine Quality at the Service Delivery Points and Block C – Outbreak Prevention and control mechanisms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_Toc111912777 \h </w:instrText>
        </w:r>
        <w:r w:rsidR="00000C7B" w:rsidRPr="004D407A">
          <w:rPr>
            <w:noProof/>
            <w:webHidden/>
          </w:rPr>
        </w:r>
        <w:r w:rsidR="00000C7B" w:rsidRPr="004D407A">
          <w:rPr>
            <w:noProof/>
            <w:webHidden/>
          </w:rPr>
          <w:fldChar w:fldCharType="separate"/>
        </w:r>
        <w:r w:rsidR="00000C7B" w:rsidRPr="004D407A">
          <w:rPr>
            <w:noProof/>
            <w:webHidden/>
          </w:rPr>
          <w:t>56</w:t>
        </w:r>
        <w:r w:rsidR="00000C7B" w:rsidRPr="004D407A">
          <w:rPr>
            <w:noProof/>
            <w:webHidden/>
          </w:rPr>
          <w:fldChar w:fldCharType="end"/>
        </w:r>
      </w:hyperlink>
    </w:p>
    <w:p w14:paraId="61AC050B" w14:textId="103C73F5" w:rsidR="00000C7B" w:rsidRPr="004D407A" w:rsidRDefault="00C54AE0">
      <w:pPr>
        <w:pStyle w:val="TableofFigures"/>
        <w:rPr>
          <w:rFonts w:eastAsiaTheme="minorEastAsia"/>
          <w:noProof/>
          <w:sz w:val="22"/>
        </w:rPr>
      </w:pPr>
      <w:hyperlink w:anchor="_Toc111912778" w:history="1">
        <w:r w:rsidR="00000C7B" w:rsidRPr="004D407A">
          <w:rPr>
            <w:rStyle w:val="Hyperlink"/>
            <w:noProof/>
            <w:color w:val="auto"/>
          </w:rPr>
          <w:t>Figure 39: Links between the Root Causes Main Interventions and NIS Objectives</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_Toc111912778 \h </w:instrText>
        </w:r>
        <w:r w:rsidR="00000C7B" w:rsidRPr="004D407A">
          <w:rPr>
            <w:noProof/>
            <w:webHidden/>
          </w:rPr>
        </w:r>
        <w:r w:rsidR="00000C7B" w:rsidRPr="004D407A">
          <w:rPr>
            <w:noProof/>
            <w:webHidden/>
          </w:rPr>
          <w:fldChar w:fldCharType="separate"/>
        </w:r>
        <w:r w:rsidR="00000C7B" w:rsidRPr="004D407A">
          <w:rPr>
            <w:noProof/>
            <w:webHidden/>
          </w:rPr>
          <w:t>57</w:t>
        </w:r>
        <w:r w:rsidR="00000C7B" w:rsidRPr="004D407A">
          <w:rPr>
            <w:noProof/>
            <w:webHidden/>
          </w:rPr>
          <w:fldChar w:fldCharType="end"/>
        </w:r>
      </w:hyperlink>
    </w:p>
    <w:p w14:paraId="1F4A7434" w14:textId="3CBB4159" w:rsidR="00000C7B" w:rsidRPr="004D407A" w:rsidRDefault="00C54AE0">
      <w:pPr>
        <w:pStyle w:val="TableofFigures"/>
        <w:rPr>
          <w:rFonts w:eastAsiaTheme="minorEastAsia"/>
          <w:noProof/>
          <w:sz w:val="22"/>
        </w:rPr>
      </w:pPr>
      <w:hyperlink w:anchor="_Toc111912779" w:history="1">
        <w:r w:rsidR="00000C7B" w:rsidRPr="004D407A">
          <w:rPr>
            <w:rStyle w:val="Hyperlink"/>
            <w:noProof/>
            <w:color w:val="auto"/>
          </w:rPr>
          <w:t>Figure 40: 4</w:t>
        </w:r>
        <w:r w:rsidR="00000C7B" w:rsidRPr="004D407A">
          <w:rPr>
            <w:rStyle w:val="Hyperlink"/>
            <w:noProof/>
            <w:color w:val="auto"/>
            <w:vertAlign w:val="superscript"/>
          </w:rPr>
          <w:t>th</w:t>
        </w:r>
        <w:r w:rsidR="00000C7B" w:rsidRPr="004D407A">
          <w:rPr>
            <w:rStyle w:val="Hyperlink"/>
            <w:noProof/>
            <w:color w:val="auto"/>
          </w:rPr>
          <w:t xml:space="preserve"> HPNSP Results Framework</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_Toc111912779 \h </w:instrText>
        </w:r>
        <w:r w:rsidR="00000C7B" w:rsidRPr="004D407A">
          <w:rPr>
            <w:noProof/>
            <w:webHidden/>
          </w:rPr>
        </w:r>
        <w:r w:rsidR="00000C7B" w:rsidRPr="004D407A">
          <w:rPr>
            <w:noProof/>
            <w:webHidden/>
          </w:rPr>
          <w:fldChar w:fldCharType="separate"/>
        </w:r>
        <w:r w:rsidR="00000C7B" w:rsidRPr="004D407A">
          <w:rPr>
            <w:noProof/>
            <w:webHidden/>
          </w:rPr>
          <w:t>60</w:t>
        </w:r>
        <w:r w:rsidR="00000C7B" w:rsidRPr="004D407A">
          <w:rPr>
            <w:noProof/>
            <w:webHidden/>
          </w:rPr>
          <w:fldChar w:fldCharType="end"/>
        </w:r>
      </w:hyperlink>
    </w:p>
    <w:p w14:paraId="0658B660" w14:textId="2276CD66" w:rsidR="00000C7B" w:rsidRPr="004D407A" w:rsidRDefault="00C54AE0">
      <w:pPr>
        <w:pStyle w:val="TableofFigures"/>
        <w:rPr>
          <w:rFonts w:eastAsiaTheme="minorEastAsia"/>
          <w:noProof/>
          <w:sz w:val="22"/>
        </w:rPr>
      </w:pPr>
      <w:hyperlink w:anchor="_Toc111912780" w:history="1">
        <w:r w:rsidR="00000C7B" w:rsidRPr="004D407A">
          <w:rPr>
            <w:rStyle w:val="Hyperlink"/>
            <w:noProof/>
            <w:color w:val="auto"/>
          </w:rPr>
          <w:t>Figure 41: Detail Budget, Total available Funding, Total Funding Gap, Funding Sources and Secured Resources for NIS implementation</w:t>
        </w:r>
        <w:r w:rsidR="00000C7B" w:rsidRPr="004D407A">
          <w:rPr>
            <w:noProof/>
            <w:webHidden/>
          </w:rPr>
          <w:tab/>
        </w:r>
        <w:r w:rsidR="00000C7B" w:rsidRPr="004D407A">
          <w:rPr>
            <w:noProof/>
            <w:webHidden/>
          </w:rPr>
          <w:fldChar w:fldCharType="begin"/>
        </w:r>
        <w:r w:rsidR="00000C7B" w:rsidRPr="004D407A">
          <w:rPr>
            <w:noProof/>
            <w:webHidden/>
          </w:rPr>
          <w:instrText xml:space="preserve"> PAGEREF _Toc111912780 \h </w:instrText>
        </w:r>
        <w:r w:rsidR="00000C7B" w:rsidRPr="004D407A">
          <w:rPr>
            <w:noProof/>
            <w:webHidden/>
          </w:rPr>
        </w:r>
        <w:r w:rsidR="00000C7B" w:rsidRPr="004D407A">
          <w:rPr>
            <w:noProof/>
            <w:webHidden/>
          </w:rPr>
          <w:fldChar w:fldCharType="separate"/>
        </w:r>
        <w:r w:rsidR="00000C7B" w:rsidRPr="004D407A">
          <w:rPr>
            <w:noProof/>
            <w:webHidden/>
          </w:rPr>
          <w:t>62</w:t>
        </w:r>
        <w:r w:rsidR="00000C7B" w:rsidRPr="004D407A">
          <w:rPr>
            <w:noProof/>
            <w:webHidden/>
          </w:rPr>
          <w:fldChar w:fldCharType="end"/>
        </w:r>
      </w:hyperlink>
    </w:p>
    <w:p w14:paraId="16BB015F" w14:textId="14593F4B" w:rsidR="00B37F08" w:rsidRPr="004D407A" w:rsidRDefault="003F1CBD" w:rsidP="00531696">
      <w:pPr>
        <w:pStyle w:val="TableofFigures"/>
        <w:rPr>
          <w:rFonts w:asciiTheme="majorHAnsi" w:eastAsiaTheme="majorEastAsia" w:hAnsiTheme="majorHAnsi" w:cstheme="majorBidi"/>
          <w:spacing w:val="20"/>
          <w:kern w:val="32"/>
          <w:sz w:val="28"/>
          <w:szCs w:val="32"/>
        </w:rPr>
      </w:pPr>
      <w:r w:rsidRPr="004D407A">
        <w:rPr>
          <w:b/>
          <w:bCs/>
        </w:rPr>
        <w:fldChar w:fldCharType="end"/>
      </w:r>
      <w:r w:rsidR="00B37F08" w:rsidRPr="004D407A">
        <w:br w:type="page"/>
      </w:r>
    </w:p>
    <w:p w14:paraId="1F3052AF" w14:textId="77777777" w:rsidR="006C59B8" w:rsidRPr="004D407A" w:rsidRDefault="006C59B8" w:rsidP="006C59B8">
      <w:pPr>
        <w:pStyle w:val="TOCHeading"/>
        <w:rPr>
          <w:color w:val="auto"/>
        </w:rPr>
      </w:pPr>
      <w:r w:rsidRPr="004D407A">
        <w:rPr>
          <w:color w:val="auto"/>
        </w:rPr>
        <w:lastRenderedPageBreak/>
        <w:t>List of abbreviations</w:t>
      </w:r>
    </w:p>
    <w:tbl>
      <w:tblPr>
        <w:tblStyle w:val="PlainTable41"/>
        <w:tblW w:w="0" w:type="auto"/>
        <w:tblLook w:val="04A0" w:firstRow="1" w:lastRow="0" w:firstColumn="1" w:lastColumn="0" w:noHBand="0" w:noVBand="1"/>
      </w:tblPr>
      <w:tblGrid>
        <w:gridCol w:w="1520"/>
        <w:gridCol w:w="7506"/>
      </w:tblGrid>
      <w:tr w:rsidR="004D407A" w:rsidRPr="004D407A" w14:paraId="46214EB0" w14:textId="77777777" w:rsidTr="00617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43AF44FC" w14:textId="77777777" w:rsidR="00617565" w:rsidRPr="004D407A" w:rsidRDefault="00617565" w:rsidP="0077335D">
            <w:pPr>
              <w:spacing w:after="20"/>
              <w:rPr>
                <w:rFonts w:ascii="Arial" w:hAnsi="Arial" w:cs="DIN"/>
                <w:b w:val="0"/>
                <w:bCs w:val="0"/>
              </w:rPr>
            </w:pPr>
            <w:r w:rsidRPr="004D407A">
              <w:rPr>
                <w:rFonts w:ascii="Arial" w:hAnsi="Arial" w:cs="DIN"/>
                <w:b w:val="0"/>
                <w:bCs w:val="0"/>
              </w:rPr>
              <w:t>AH</w:t>
            </w:r>
          </w:p>
        </w:tc>
        <w:tc>
          <w:tcPr>
            <w:tcW w:w="7506" w:type="dxa"/>
          </w:tcPr>
          <w:p w14:paraId="35F654D5" w14:textId="77777777" w:rsidR="00617565" w:rsidRPr="004D407A" w:rsidRDefault="00617565" w:rsidP="0077335D">
            <w:pPr>
              <w:spacing w:after="20"/>
              <w:cnfStyle w:val="100000000000" w:firstRow="1" w:lastRow="0" w:firstColumn="0" w:lastColumn="0" w:oddVBand="0" w:evenVBand="0" w:oddHBand="0" w:evenHBand="0" w:firstRowFirstColumn="0" w:firstRowLastColumn="0" w:lastRowFirstColumn="0" w:lastRowLastColumn="0"/>
              <w:rPr>
                <w:rFonts w:ascii="Arial" w:hAnsi="Arial" w:cs="DIN"/>
                <w:b w:val="0"/>
                <w:bCs w:val="0"/>
              </w:rPr>
            </w:pPr>
            <w:r w:rsidRPr="004D407A">
              <w:rPr>
                <w:rFonts w:ascii="Arial" w:hAnsi="Arial" w:cs="DIN"/>
                <w:b w:val="0"/>
                <w:bCs w:val="0"/>
              </w:rPr>
              <w:t>Adolescent health</w:t>
            </w:r>
          </w:p>
        </w:tc>
      </w:tr>
      <w:tr w:rsidR="004D407A" w:rsidRPr="004D407A" w14:paraId="1FF24880"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06D49194" w14:textId="77777777" w:rsidR="00617565" w:rsidRPr="004D407A" w:rsidRDefault="00617565" w:rsidP="0077335D">
            <w:pPr>
              <w:spacing w:after="20"/>
              <w:rPr>
                <w:rFonts w:ascii="Arial" w:hAnsi="Arial"/>
                <w:b w:val="0"/>
                <w:bCs w:val="0"/>
              </w:rPr>
            </w:pPr>
            <w:r w:rsidRPr="004D407A">
              <w:rPr>
                <w:rFonts w:ascii="Arial" w:hAnsi="Arial"/>
                <w:b w:val="0"/>
                <w:bCs w:val="0"/>
              </w:rPr>
              <w:t>AEFI</w:t>
            </w:r>
          </w:p>
        </w:tc>
        <w:tc>
          <w:tcPr>
            <w:tcW w:w="7506" w:type="dxa"/>
          </w:tcPr>
          <w:p w14:paraId="23E193DD"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Adverse Events Following Immunization </w:t>
            </w:r>
          </w:p>
        </w:tc>
      </w:tr>
      <w:tr w:rsidR="004D407A" w:rsidRPr="004D407A" w14:paraId="539379FD"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2CD4075B" w14:textId="77777777" w:rsidR="00617565" w:rsidRPr="004D407A" w:rsidRDefault="00617565" w:rsidP="0077335D">
            <w:pPr>
              <w:spacing w:after="20"/>
              <w:rPr>
                <w:rFonts w:ascii="Arial" w:hAnsi="Arial"/>
                <w:b w:val="0"/>
                <w:bCs w:val="0"/>
              </w:rPr>
            </w:pPr>
            <w:r w:rsidRPr="004D407A">
              <w:rPr>
                <w:rFonts w:ascii="Arial" w:hAnsi="Arial"/>
                <w:b w:val="0"/>
                <w:bCs w:val="0"/>
              </w:rPr>
              <w:t>AFP</w:t>
            </w:r>
          </w:p>
        </w:tc>
        <w:tc>
          <w:tcPr>
            <w:tcW w:w="7506" w:type="dxa"/>
          </w:tcPr>
          <w:p w14:paraId="5D2AF204"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Acute Flaccid Paralysis </w:t>
            </w:r>
          </w:p>
        </w:tc>
      </w:tr>
      <w:tr w:rsidR="004D407A" w:rsidRPr="004D407A" w14:paraId="70EDA3B9"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5BBBC662" w14:textId="77777777" w:rsidR="00617565" w:rsidRPr="004D407A" w:rsidRDefault="00617565" w:rsidP="0077335D">
            <w:pPr>
              <w:spacing w:after="20"/>
              <w:rPr>
                <w:rFonts w:ascii="Arial" w:hAnsi="Arial"/>
                <w:b w:val="0"/>
                <w:bCs w:val="0"/>
              </w:rPr>
            </w:pPr>
            <w:r w:rsidRPr="004D407A">
              <w:rPr>
                <w:rFonts w:ascii="Arial" w:hAnsi="Arial"/>
                <w:b w:val="0"/>
                <w:bCs w:val="0"/>
              </w:rPr>
              <w:t>BCG</w:t>
            </w:r>
          </w:p>
        </w:tc>
        <w:tc>
          <w:tcPr>
            <w:tcW w:w="7506" w:type="dxa"/>
          </w:tcPr>
          <w:p w14:paraId="4DB697E2"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Bacillus Calmette-</w:t>
            </w:r>
            <w:proofErr w:type="spellStart"/>
            <w:r w:rsidRPr="004D407A">
              <w:rPr>
                <w:rFonts w:ascii="Arial" w:hAnsi="Arial"/>
              </w:rPr>
              <w:t>Guérin</w:t>
            </w:r>
            <w:proofErr w:type="spellEnd"/>
            <w:r w:rsidRPr="004D407A">
              <w:rPr>
                <w:rFonts w:ascii="Arial" w:hAnsi="Arial"/>
              </w:rPr>
              <w:t xml:space="preserve"> </w:t>
            </w:r>
          </w:p>
        </w:tc>
      </w:tr>
      <w:tr w:rsidR="004D407A" w:rsidRPr="004D407A" w14:paraId="710C4F77"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67AEDC40" w14:textId="77777777" w:rsidR="00617565" w:rsidRPr="004D407A" w:rsidRDefault="00617565" w:rsidP="0077335D">
            <w:pPr>
              <w:spacing w:after="20"/>
              <w:rPr>
                <w:rFonts w:ascii="Arial" w:hAnsi="Arial"/>
                <w:b w:val="0"/>
                <w:bCs w:val="0"/>
              </w:rPr>
            </w:pPr>
            <w:r w:rsidRPr="004D407A">
              <w:rPr>
                <w:rFonts w:ascii="Arial" w:hAnsi="Arial"/>
                <w:b w:val="0"/>
                <w:bCs w:val="0"/>
              </w:rPr>
              <w:t>BDHS</w:t>
            </w:r>
          </w:p>
        </w:tc>
        <w:tc>
          <w:tcPr>
            <w:tcW w:w="7506" w:type="dxa"/>
          </w:tcPr>
          <w:p w14:paraId="3A4480C1"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Bangladesh demographic and health survey</w:t>
            </w:r>
          </w:p>
        </w:tc>
      </w:tr>
      <w:tr w:rsidR="004D407A" w:rsidRPr="004D407A" w14:paraId="5D0BE2FD"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005182E4" w14:textId="77777777" w:rsidR="00617565" w:rsidRPr="004D407A" w:rsidRDefault="00617565" w:rsidP="0077335D">
            <w:pPr>
              <w:spacing w:after="20"/>
              <w:rPr>
                <w:rFonts w:ascii="Arial" w:hAnsi="Arial"/>
                <w:b w:val="0"/>
                <w:bCs w:val="0"/>
              </w:rPr>
            </w:pPr>
            <w:r w:rsidRPr="004D407A">
              <w:rPr>
                <w:rFonts w:ascii="Arial" w:hAnsi="Arial"/>
                <w:b w:val="0"/>
                <w:bCs w:val="0"/>
              </w:rPr>
              <w:t>BDT</w:t>
            </w:r>
          </w:p>
        </w:tc>
        <w:tc>
          <w:tcPr>
            <w:tcW w:w="7506" w:type="dxa"/>
          </w:tcPr>
          <w:p w14:paraId="521725A4"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Bangladesh Taka </w:t>
            </w:r>
          </w:p>
        </w:tc>
      </w:tr>
      <w:tr w:rsidR="004D407A" w:rsidRPr="004D407A" w14:paraId="415BB311"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2C0FE70B" w14:textId="77777777" w:rsidR="00617565" w:rsidRPr="004D407A" w:rsidRDefault="00617565" w:rsidP="0077335D">
            <w:pPr>
              <w:spacing w:after="20"/>
              <w:rPr>
                <w:rFonts w:ascii="Arial" w:hAnsi="Arial" w:cs="DIN"/>
                <w:b w:val="0"/>
                <w:bCs w:val="0"/>
              </w:rPr>
            </w:pPr>
            <w:r w:rsidRPr="004D407A">
              <w:rPr>
                <w:rFonts w:ascii="Arial" w:hAnsi="Arial" w:cs="DIN"/>
                <w:b w:val="0"/>
                <w:bCs w:val="0"/>
              </w:rPr>
              <w:t>BHB</w:t>
            </w:r>
          </w:p>
        </w:tc>
        <w:tc>
          <w:tcPr>
            <w:tcW w:w="7506" w:type="dxa"/>
          </w:tcPr>
          <w:p w14:paraId="791F5062"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cs="DIN"/>
              </w:rPr>
            </w:pPr>
            <w:r w:rsidRPr="004D407A">
              <w:rPr>
                <w:rFonts w:ascii="Arial" w:hAnsi="Arial" w:cs="DIN"/>
              </w:rPr>
              <w:t>Bangladesh Homeopathic Board</w:t>
            </w:r>
          </w:p>
        </w:tc>
      </w:tr>
      <w:tr w:rsidR="004D407A" w:rsidRPr="004D407A" w14:paraId="4734120B"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75F16991" w14:textId="77777777" w:rsidR="00617565" w:rsidRPr="004D407A" w:rsidRDefault="00617565" w:rsidP="0077335D">
            <w:pPr>
              <w:spacing w:after="20"/>
              <w:rPr>
                <w:rFonts w:ascii="Arial" w:hAnsi="Arial" w:cs="DIN"/>
                <w:b w:val="0"/>
                <w:bCs w:val="0"/>
              </w:rPr>
            </w:pPr>
            <w:r w:rsidRPr="004D407A">
              <w:rPr>
                <w:rFonts w:ascii="Arial" w:hAnsi="Arial" w:cs="DIN"/>
                <w:b w:val="0"/>
                <w:bCs w:val="0"/>
              </w:rPr>
              <w:t>BMDC</w:t>
            </w:r>
          </w:p>
        </w:tc>
        <w:tc>
          <w:tcPr>
            <w:tcW w:w="7506" w:type="dxa"/>
          </w:tcPr>
          <w:p w14:paraId="496BCA13"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cs="DIN"/>
              </w:rPr>
              <w:t>Bangladesh Medical and Dental Council</w:t>
            </w:r>
          </w:p>
        </w:tc>
      </w:tr>
      <w:tr w:rsidR="004D407A" w:rsidRPr="004D407A" w14:paraId="7444CC02"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33A5135A" w14:textId="77777777" w:rsidR="00617565" w:rsidRPr="004D407A" w:rsidRDefault="00617565" w:rsidP="0077335D">
            <w:pPr>
              <w:spacing w:after="20"/>
              <w:rPr>
                <w:rFonts w:ascii="Arial" w:hAnsi="Arial" w:cs="DIN"/>
                <w:b w:val="0"/>
                <w:bCs w:val="0"/>
              </w:rPr>
            </w:pPr>
            <w:r w:rsidRPr="004D407A">
              <w:rPr>
                <w:rFonts w:ascii="Arial" w:hAnsi="Arial" w:cs="DIN"/>
                <w:b w:val="0"/>
                <w:bCs w:val="0"/>
              </w:rPr>
              <w:t>BMMS</w:t>
            </w:r>
          </w:p>
        </w:tc>
        <w:tc>
          <w:tcPr>
            <w:tcW w:w="7506" w:type="dxa"/>
          </w:tcPr>
          <w:p w14:paraId="5EE437FD"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cs="DIN"/>
              </w:rPr>
            </w:pPr>
            <w:r w:rsidRPr="004D407A">
              <w:rPr>
                <w:rFonts w:ascii="Arial" w:hAnsi="Arial" w:cs="DIN"/>
              </w:rPr>
              <w:t>Bangladesh Maternal Mortality and Healthcare Survey</w:t>
            </w:r>
          </w:p>
        </w:tc>
      </w:tr>
      <w:tr w:rsidR="004D407A" w:rsidRPr="004D407A" w14:paraId="5091491C"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0E536689" w14:textId="77777777" w:rsidR="00617565" w:rsidRPr="004D407A" w:rsidRDefault="00617565" w:rsidP="0077335D">
            <w:pPr>
              <w:spacing w:after="20"/>
              <w:rPr>
                <w:rFonts w:ascii="Arial" w:hAnsi="Arial" w:cs="DIN"/>
                <w:b w:val="0"/>
                <w:bCs w:val="0"/>
              </w:rPr>
            </w:pPr>
            <w:r w:rsidRPr="004D407A">
              <w:rPr>
                <w:rFonts w:ascii="Arial" w:hAnsi="Arial" w:cs="DIN"/>
                <w:b w:val="0"/>
                <w:bCs w:val="0"/>
              </w:rPr>
              <w:t>BNC</w:t>
            </w:r>
          </w:p>
        </w:tc>
        <w:tc>
          <w:tcPr>
            <w:tcW w:w="7506" w:type="dxa"/>
          </w:tcPr>
          <w:p w14:paraId="30914859"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cs="DIN"/>
              </w:rPr>
              <w:t>Bangladesh Nursing Council</w:t>
            </w:r>
          </w:p>
        </w:tc>
      </w:tr>
      <w:tr w:rsidR="004D407A" w:rsidRPr="004D407A" w14:paraId="24BB20BD"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648FD520" w14:textId="39E3C9CD" w:rsidR="00B74F94" w:rsidRPr="004D407A" w:rsidRDefault="00B74F94" w:rsidP="0077335D">
            <w:pPr>
              <w:spacing w:after="20"/>
              <w:rPr>
                <w:rFonts w:ascii="Arial" w:hAnsi="Arial"/>
              </w:rPr>
            </w:pPr>
            <w:r w:rsidRPr="004D407A">
              <w:rPr>
                <w:rFonts w:ascii="Arial" w:hAnsi="Arial" w:cs="DIN"/>
                <w:b w:val="0"/>
                <w:bCs w:val="0"/>
              </w:rPr>
              <w:t>CBAW</w:t>
            </w:r>
          </w:p>
        </w:tc>
        <w:tc>
          <w:tcPr>
            <w:tcW w:w="7506" w:type="dxa"/>
          </w:tcPr>
          <w:p w14:paraId="7CF02B54" w14:textId="13F3FBB0" w:rsidR="00B74F94" w:rsidRPr="004D407A" w:rsidRDefault="00B74F94"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proofErr w:type="gramStart"/>
            <w:r w:rsidRPr="004D407A">
              <w:rPr>
                <w:rFonts w:ascii="Arial" w:hAnsi="Arial"/>
              </w:rPr>
              <w:t>Child Bearing</w:t>
            </w:r>
            <w:proofErr w:type="gramEnd"/>
            <w:r w:rsidRPr="004D407A">
              <w:rPr>
                <w:rFonts w:ascii="Arial" w:hAnsi="Arial"/>
              </w:rPr>
              <w:t xml:space="preserve"> Age Women</w:t>
            </w:r>
          </w:p>
        </w:tc>
      </w:tr>
      <w:tr w:rsidR="004D407A" w:rsidRPr="004D407A" w14:paraId="1B3F5BB5"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70AE9BA6" w14:textId="77777777" w:rsidR="00617565" w:rsidRPr="004D407A" w:rsidRDefault="00617565" w:rsidP="0077335D">
            <w:pPr>
              <w:spacing w:after="20"/>
              <w:rPr>
                <w:rFonts w:ascii="Arial" w:hAnsi="Arial"/>
                <w:b w:val="0"/>
                <w:bCs w:val="0"/>
              </w:rPr>
            </w:pPr>
            <w:r w:rsidRPr="004D407A">
              <w:rPr>
                <w:rFonts w:ascii="Arial" w:hAnsi="Arial"/>
                <w:b w:val="0"/>
                <w:bCs w:val="0"/>
              </w:rPr>
              <w:t>CCs</w:t>
            </w:r>
          </w:p>
        </w:tc>
        <w:tc>
          <w:tcPr>
            <w:tcW w:w="7506" w:type="dxa"/>
          </w:tcPr>
          <w:p w14:paraId="75961F65"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Community Clinics</w:t>
            </w:r>
          </w:p>
        </w:tc>
      </w:tr>
      <w:tr w:rsidR="004D407A" w:rsidRPr="004D407A" w14:paraId="4B7FEF63"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68ADE586" w14:textId="77777777" w:rsidR="00617565" w:rsidRPr="004D407A" w:rsidRDefault="00617565" w:rsidP="0077335D">
            <w:pPr>
              <w:spacing w:after="20"/>
              <w:rPr>
                <w:rFonts w:ascii="Arial" w:hAnsi="Arial"/>
                <w:b w:val="0"/>
                <w:bCs w:val="0"/>
              </w:rPr>
            </w:pPr>
            <w:r w:rsidRPr="004D407A">
              <w:rPr>
                <w:rFonts w:ascii="Arial" w:hAnsi="Arial"/>
                <w:b w:val="0"/>
                <w:bCs w:val="0"/>
              </w:rPr>
              <w:t>CD</w:t>
            </w:r>
          </w:p>
        </w:tc>
        <w:tc>
          <w:tcPr>
            <w:tcW w:w="7506" w:type="dxa"/>
          </w:tcPr>
          <w:p w14:paraId="724B3D6A"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Communicable Diseases</w:t>
            </w:r>
          </w:p>
        </w:tc>
      </w:tr>
      <w:tr w:rsidR="004D407A" w:rsidRPr="004D407A" w14:paraId="176DA367"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060F87C1" w14:textId="77777777" w:rsidR="00617565" w:rsidRPr="004D407A" w:rsidRDefault="00617565" w:rsidP="0077335D">
            <w:pPr>
              <w:spacing w:after="20"/>
              <w:rPr>
                <w:rFonts w:ascii="Arial" w:hAnsi="Arial" w:cs="DIN"/>
                <w:b w:val="0"/>
                <w:bCs w:val="0"/>
              </w:rPr>
            </w:pPr>
            <w:proofErr w:type="spellStart"/>
            <w:r w:rsidRPr="004D407A">
              <w:rPr>
                <w:rFonts w:ascii="Arial" w:hAnsi="Arial" w:cs="DIN"/>
                <w:b w:val="0"/>
                <w:bCs w:val="0"/>
              </w:rPr>
              <w:t>CEmOC</w:t>
            </w:r>
            <w:proofErr w:type="spellEnd"/>
          </w:p>
        </w:tc>
        <w:tc>
          <w:tcPr>
            <w:tcW w:w="7506" w:type="dxa"/>
          </w:tcPr>
          <w:p w14:paraId="1CD7A1FA"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Comprehensive Emergency Obstetrical Care</w:t>
            </w:r>
          </w:p>
        </w:tc>
      </w:tr>
      <w:tr w:rsidR="004D407A" w:rsidRPr="004D407A" w14:paraId="3E28958B"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64226701" w14:textId="77777777" w:rsidR="00617565" w:rsidRPr="004D407A" w:rsidRDefault="00617565" w:rsidP="0077335D">
            <w:pPr>
              <w:spacing w:after="20"/>
              <w:rPr>
                <w:rFonts w:ascii="Arial" w:hAnsi="Arial"/>
                <w:b w:val="0"/>
                <w:bCs w:val="0"/>
              </w:rPr>
            </w:pPr>
            <w:proofErr w:type="spellStart"/>
            <w:r w:rsidRPr="004D407A">
              <w:rPr>
                <w:rFonts w:ascii="Arial" w:hAnsi="Arial"/>
                <w:b w:val="0"/>
                <w:bCs w:val="0"/>
              </w:rPr>
              <w:t>CEmONC</w:t>
            </w:r>
            <w:proofErr w:type="spellEnd"/>
          </w:p>
        </w:tc>
        <w:tc>
          <w:tcPr>
            <w:tcW w:w="7506" w:type="dxa"/>
          </w:tcPr>
          <w:p w14:paraId="16D6813C"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Comprehensive Emergency Obstetrical and Neonatal Care</w:t>
            </w:r>
          </w:p>
        </w:tc>
      </w:tr>
      <w:tr w:rsidR="004D407A" w:rsidRPr="004D407A" w14:paraId="07BB16A4"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35FDB88F" w14:textId="77777777" w:rsidR="00617565" w:rsidRPr="004D407A" w:rsidRDefault="00617565" w:rsidP="0077335D">
            <w:pPr>
              <w:spacing w:after="20"/>
              <w:rPr>
                <w:rFonts w:ascii="Arial" w:hAnsi="Arial"/>
                <w:b w:val="0"/>
                <w:bCs w:val="0"/>
              </w:rPr>
            </w:pPr>
            <w:r w:rsidRPr="004D407A">
              <w:rPr>
                <w:rFonts w:ascii="Arial" w:hAnsi="Arial"/>
                <w:b w:val="0"/>
                <w:bCs w:val="0"/>
              </w:rPr>
              <w:t>CES</w:t>
            </w:r>
          </w:p>
        </w:tc>
        <w:tc>
          <w:tcPr>
            <w:tcW w:w="7506" w:type="dxa"/>
          </w:tcPr>
          <w:p w14:paraId="619E0F3A"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Coverage Evaluation Survey</w:t>
            </w:r>
          </w:p>
        </w:tc>
      </w:tr>
      <w:tr w:rsidR="004D407A" w:rsidRPr="004D407A" w14:paraId="069C9C11"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2F603AA4" w14:textId="77777777" w:rsidR="00617565" w:rsidRPr="004D407A" w:rsidRDefault="00617565" w:rsidP="0077335D">
            <w:pPr>
              <w:spacing w:after="20"/>
              <w:rPr>
                <w:rFonts w:ascii="Arial" w:hAnsi="Arial"/>
                <w:b w:val="0"/>
                <w:bCs w:val="0"/>
              </w:rPr>
            </w:pPr>
            <w:proofErr w:type="spellStart"/>
            <w:r w:rsidRPr="004D407A">
              <w:rPr>
                <w:rFonts w:ascii="Arial" w:hAnsi="Arial"/>
                <w:b w:val="0"/>
                <w:bCs w:val="0"/>
              </w:rPr>
              <w:t>cMYP</w:t>
            </w:r>
            <w:proofErr w:type="spellEnd"/>
          </w:p>
        </w:tc>
        <w:tc>
          <w:tcPr>
            <w:tcW w:w="7506" w:type="dxa"/>
          </w:tcPr>
          <w:p w14:paraId="19B66DBD"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Comprehensive Multi-Year Plan </w:t>
            </w:r>
          </w:p>
        </w:tc>
      </w:tr>
      <w:tr w:rsidR="004D407A" w:rsidRPr="004D407A" w14:paraId="1A2FD6F9"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411BF8B0" w14:textId="77777777" w:rsidR="00617565" w:rsidRPr="004D407A" w:rsidRDefault="00617565" w:rsidP="0077335D">
            <w:pPr>
              <w:spacing w:after="20"/>
              <w:rPr>
                <w:rFonts w:ascii="Arial" w:hAnsi="Arial" w:cs="DIN"/>
                <w:b w:val="0"/>
                <w:bCs w:val="0"/>
              </w:rPr>
            </w:pPr>
            <w:r w:rsidRPr="004D407A">
              <w:rPr>
                <w:rFonts w:ascii="Arial" w:hAnsi="Arial" w:cs="DIN"/>
                <w:b w:val="0"/>
                <w:bCs w:val="0"/>
              </w:rPr>
              <w:t>DGDA</w:t>
            </w:r>
          </w:p>
        </w:tc>
        <w:tc>
          <w:tcPr>
            <w:tcW w:w="7506" w:type="dxa"/>
          </w:tcPr>
          <w:p w14:paraId="692060D6" w14:textId="77777777" w:rsidR="00617565" w:rsidRPr="004D407A" w:rsidRDefault="00617565" w:rsidP="0077335D">
            <w:pPr>
              <w:tabs>
                <w:tab w:val="left" w:pos="4328"/>
              </w:tabs>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cs="DIN"/>
              </w:rPr>
              <w:t>Directorate General of Drug Administration</w:t>
            </w:r>
            <w:r w:rsidRPr="004D407A">
              <w:rPr>
                <w:rFonts w:ascii="Arial" w:hAnsi="Arial" w:cs="DIN"/>
              </w:rPr>
              <w:tab/>
            </w:r>
          </w:p>
        </w:tc>
      </w:tr>
      <w:tr w:rsidR="004D407A" w:rsidRPr="004D407A" w14:paraId="6D473C54"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3856D125" w14:textId="77777777" w:rsidR="00617565" w:rsidRPr="004D407A" w:rsidRDefault="00617565" w:rsidP="0077335D">
            <w:pPr>
              <w:spacing w:after="20"/>
              <w:rPr>
                <w:rFonts w:ascii="Arial" w:hAnsi="Arial"/>
                <w:b w:val="0"/>
                <w:bCs w:val="0"/>
              </w:rPr>
            </w:pPr>
            <w:r w:rsidRPr="004D407A">
              <w:rPr>
                <w:rFonts w:ascii="Arial" w:hAnsi="Arial"/>
                <w:b w:val="0"/>
                <w:bCs w:val="0"/>
              </w:rPr>
              <w:t>DGFP</w:t>
            </w:r>
          </w:p>
        </w:tc>
        <w:tc>
          <w:tcPr>
            <w:tcW w:w="7506" w:type="dxa"/>
          </w:tcPr>
          <w:p w14:paraId="75A2453D"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Directorate General of Family Planning</w:t>
            </w:r>
          </w:p>
        </w:tc>
      </w:tr>
      <w:tr w:rsidR="004D407A" w:rsidRPr="004D407A" w14:paraId="24A4F126"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60E2566E" w14:textId="77777777" w:rsidR="00617565" w:rsidRPr="004D407A" w:rsidRDefault="00617565" w:rsidP="0077335D">
            <w:pPr>
              <w:spacing w:after="20"/>
              <w:rPr>
                <w:rFonts w:ascii="Arial" w:hAnsi="Arial"/>
                <w:b w:val="0"/>
                <w:bCs w:val="0"/>
              </w:rPr>
            </w:pPr>
            <w:r w:rsidRPr="004D407A">
              <w:rPr>
                <w:rFonts w:ascii="Arial" w:hAnsi="Arial"/>
                <w:b w:val="0"/>
                <w:bCs w:val="0"/>
              </w:rPr>
              <w:t>DGHS</w:t>
            </w:r>
          </w:p>
        </w:tc>
        <w:tc>
          <w:tcPr>
            <w:tcW w:w="7506" w:type="dxa"/>
          </w:tcPr>
          <w:p w14:paraId="661A93CC"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Directorate General of Health Services</w:t>
            </w:r>
          </w:p>
        </w:tc>
      </w:tr>
      <w:tr w:rsidR="004D407A" w:rsidRPr="004D407A" w14:paraId="459E7410"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66C3F1D4" w14:textId="77777777" w:rsidR="00617565" w:rsidRPr="004D407A" w:rsidRDefault="00617565" w:rsidP="0077335D">
            <w:pPr>
              <w:spacing w:after="20"/>
              <w:rPr>
                <w:rFonts w:ascii="Arial" w:hAnsi="Arial" w:cs="DIN"/>
                <w:b w:val="0"/>
                <w:bCs w:val="0"/>
              </w:rPr>
            </w:pPr>
            <w:r w:rsidRPr="004D407A">
              <w:rPr>
                <w:rFonts w:ascii="Arial" w:hAnsi="Arial" w:cs="DIN"/>
                <w:b w:val="0"/>
                <w:bCs w:val="0"/>
              </w:rPr>
              <w:t>DGNM</w:t>
            </w:r>
          </w:p>
        </w:tc>
        <w:tc>
          <w:tcPr>
            <w:tcW w:w="7506" w:type="dxa"/>
          </w:tcPr>
          <w:p w14:paraId="0621469C"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Directorate General of Nursing and Midwifery</w:t>
            </w:r>
          </w:p>
        </w:tc>
      </w:tr>
      <w:tr w:rsidR="004D407A" w:rsidRPr="004D407A" w14:paraId="293A904D"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6AD755CA" w14:textId="77777777" w:rsidR="00617565" w:rsidRPr="004D407A" w:rsidRDefault="00617565" w:rsidP="0077335D">
            <w:pPr>
              <w:spacing w:after="20"/>
              <w:rPr>
                <w:rFonts w:ascii="Arial" w:hAnsi="Arial"/>
                <w:b w:val="0"/>
                <w:bCs w:val="0"/>
              </w:rPr>
            </w:pPr>
            <w:r w:rsidRPr="004D407A">
              <w:rPr>
                <w:rFonts w:ascii="Arial" w:hAnsi="Arial"/>
                <w:b w:val="0"/>
                <w:bCs w:val="0"/>
              </w:rPr>
              <w:t>DHS</w:t>
            </w:r>
          </w:p>
        </w:tc>
        <w:tc>
          <w:tcPr>
            <w:tcW w:w="7506" w:type="dxa"/>
          </w:tcPr>
          <w:p w14:paraId="62030743"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Demographic and Health Survey </w:t>
            </w:r>
          </w:p>
        </w:tc>
      </w:tr>
      <w:tr w:rsidR="004D407A" w:rsidRPr="004D407A" w14:paraId="47D9D11F"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46BE9038" w14:textId="77777777" w:rsidR="00617565" w:rsidRPr="004D407A" w:rsidRDefault="00617565" w:rsidP="0077335D">
            <w:pPr>
              <w:spacing w:after="20"/>
              <w:rPr>
                <w:rFonts w:ascii="Arial" w:hAnsi="Arial"/>
                <w:b w:val="0"/>
                <w:bCs w:val="0"/>
              </w:rPr>
            </w:pPr>
            <w:r w:rsidRPr="004D407A">
              <w:rPr>
                <w:rFonts w:ascii="Arial" w:hAnsi="Arial"/>
                <w:b w:val="0"/>
                <w:bCs w:val="0"/>
              </w:rPr>
              <w:t>DHs</w:t>
            </w:r>
          </w:p>
        </w:tc>
        <w:tc>
          <w:tcPr>
            <w:tcW w:w="7506" w:type="dxa"/>
          </w:tcPr>
          <w:p w14:paraId="17AFA1AB"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District Hospitals</w:t>
            </w:r>
          </w:p>
        </w:tc>
      </w:tr>
      <w:tr w:rsidR="004D407A" w:rsidRPr="004D407A" w14:paraId="19970803"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0A386E5A" w14:textId="77777777" w:rsidR="00617565" w:rsidRPr="004D407A" w:rsidRDefault="00617565" w:rsidP="0077335D">
            <w:pPr>
              <w:spacing w:after="20"/>
              <w:rPr>
                <w:rFonts w:ascii="Arial" w:hAnsi="Arial"/>
                <w:b w:val="0"/>
                <w:bCs w:val="0"/>
              </w:rPr>
            </w:pPr>
            <w:r w:rsidRPr="004D407A">
              <w:rPr>
                <w:rFonts w:ascii="Arial" w:hAnsi="Arial"/>
                <w:b w:val="0"/>
                <w:bCs w:val="0"/>
              </w:rPr>
              <w:t>DP</w:t>
            </w:r>
          </w:p>
        </w:tc>
        <w:tc>
          <w:tcPr>
            <w:tcW w:w="7506" w:type="dxa"/>
          </w:tcPr>
          <w:p w14:paraId="31EE2F3D"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Development Partner</w:t>
            </w:r>
          </w:p>
        </w:tc>
      </w:tr>
      <w:tr w:rsidR="004D407A" w:rsidRPr="004D407A" w14:paraId="52A2F844"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521B0E31" w14:textId="77777777" w:rsidR="00617565" w:rsidRPr="004D407A" w:rsidRDefault="00617565" w:rsidP="0077335D">
            <w:pPr>
              <w:spacing w:after="20"/>
              <w:rPr>
                <w:rFonts w:ascii="Arial" w:hAnsi="Arial"/>
                <w:b w:val="0"/>
                <w:bCs w:val="0"/>
              </w:rPr>
            </w:pPr>
            <w:r w:rsidRPr="004D407A">
              <w:rPr>
                <w:rFonts w:ascii="Arial" w:hAnsi="Arial"/>
                <w:b w:val="0"/>
                <w:bCs w:val="0"/>
              </w:rPr>
              <w:t>DQS</w:t>
            </w:r>
          </w:p>
        </w:tc>
        <w:tc>
          <w:tcPr>
            <w:tcW w:w="7506" w:type="dxa"/>
          </w:tcPr>
          <w:p w14:paraId="72FC42FE"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Data Quality Self-Assessment </w:t>
            </w:r>
          </w:p>
        </w:tc>
      </w:tr>
      <w:tr w:rsidR="004D407A" w:rsidRPr="004D407A" w14:paraId="0CA99EB7"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511B3B6B" w14:textId="77777777" w:rsidR="00617565" w:rsidRPr="004D407A" w:rsidRDefault="00617565" w:rsidP="0077335D">
            <w:pPr>
              <w:spacing w:after="20"/>
              <w:rPr>
                <w:rFonts w:ascii="Arial" w:hAnsi="Arial"/>
                <w:b w:val="0"/>
                <w:bCs w:val="0"/>
              </w:rPr>
            </w:pPr>
            <w:r w:rsidRPr="004D407A">
              <w:rPr>
                <w:rFonts w:ascii="Arial" w:hAnsi="Arial"/>
                <w:b w:val="0"/>
                <w:bCs w:val="0"/>
              </w:rPr>
              <w:t>DTP</w:t>
            </w:r>
          </w:p>
        </w:tc>
        <w:tc>
          <w:tcPr>
            <w:tcW w:w="7506" w:type="dxa"/>
          </w:tcPr>
          <w:p w14:paraId="1CC3553C"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Diphtheria, Tetanus and Pertussis (whooping cough) [vaccine]</w:t>
            </w:r>
          </w:p>
        </w:tc>
      </w:tr>
      <w:tr w:rsidR="004D407A" w:rsidRPr="004D407A" w14:paraId="0AF1C8A1"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623A83A2" w14:textId="77777777" w:rsidR="00617565" w:rsidRPr="004D407A" w:rsidRDefault="00617565" w:rsidP="0077335D">
            <w:pPr>
              <w:spacing w:after="20"/>
              <w:rPr>
                <w:rFonts w:ascii="Arial" w:hAnsi="Arial"/>
                <w:b w:val="0"/>
                <w:bCs w:val="0"/>
              </w:rPr>
            </w:pPr>
            <w:r w:rsidRPr="004D407A">
              <w:rPr>
                <w:rFonts w:ascii="Arial" w:hAnsi="Arial"/>
                <w:b w:val="0"/>
                <w:bCs w:val="0"/>
              </w:rPr>
              <w:t>DTP3</w:t>
            </w:r>
          </w:p>
        </w:tc>
        <w:tc>
          <w:tcPr>
            <w:tcW w:w="7506" w:type="dxa"/>
          </w:tcPr>
          <w:p w14:paraId="79D8BDAF"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Third dose of Diphtheria, Tetanus and Pertussis (whooping cough) [vaccine] </w:t>
            </w:r>
          </w:p>
        </w:tc>
      </w:tr>
      <w:tr w:rsidR="004D407A" w:rsidRPr="004D407A" w14:paraId="219A9EA8"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78AA8B3F" w14:textId="77777777" w:rsidR="00617565" w:rsidRPr="004D407A" w:rsidRDefault="00617565" w:rsidP="0077335D">
            <w:pPr>
              <w:spacing w:after="20"/>
              <w:rPr>
                <w:rFonts w:ascii="Arial" w:hAnsi="Arial"/>
                <w:b w:val="0"/>
                <w:bCs w:val="0"/>
              </w:rPr>
            </w:pPr>
            <w:r w:rsidRPr="004D407A">
              <w:rPr>
                <w:rFonts w:ascii="Arial" w:hAnsi="Arial"/>
                <w:b w:val="0"/>
                <w:bCs w:val="0"/>
              </w:rPr>
              <w:t>EPI</w:t>
            </w:r>
          </w:p>
        </w:tc>
        <w:tc>
          <w:tcPr>
            <w:tcW w:w="7506" w:type="dxa"/>
          </w:tcPr>
          <w:p w14:paraId="41ACEA05"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Expanded </w:t>
            </w:r>
            <w:proofErr w:type="spellStart"/>
            <w:r w:rsidRPr="004D407A">
              <w:rPr>
                <w:rFonts w:ascii="Arial" w:hAnsi="Arial"/>
              </w:rPr>
              <w:t>Programme</w:t>
            </w:r>
            <w:proofErr w:type="spellEnd"/>
            <w:r w:rsidRPr="004D407A">
              <w:rPr>
                <w:rFonts w:ascii="Arial" w:hAnsi="Arial"/>
              </w:rPr>
              <w:t xml:space="preserve"> on Immunization </w:t>
            </w:r>
          </w:p>
        </w:tc>
      </w:tr>
      <w:tr w:rsidR="004D407A" w:rsidRPr="004D407A" w14:paraId="77320DFD"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43C54888" w14:textId="77777777" w:rsidR="00617565" w:rsidRPr="004D407A" w:rsidRDefault="00617565" w:rsidP="0077335D">
            <w:pPr>
              <w:spacing w:after="20"/>
              <w:rPr>
                <w:rFonts w:ascii="Arial" w:hAnsi="Arial"/>
                <w:b w:val="0"/>
                <w:bCs w:val="0"/>
              </w:rPr>
            </w:pPr>
            <w:r w:rsidRPr="004D407A">
              <w:rPr>
                <w:rFonts w:ascii="Arial" w:hAnsi="Arial"/>
                <w:b w:val="0"/>
                <w:bCs w:val="0"/>
              </w:rPr>
              <w:t>FP</w:t>
            </w:r>
          </w:p>
        </w:tc>
        <w:tc>
          <w:tcPr>
            <w:tcW w:w="7506" w:type="dxa"/>
          </w:tcPr>
          <w:p w14:paraId="027C5769"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Family planning</w:t>
            </w:r>
          </w:p>
        </w:tc>
      </w:tr>
      <w:tr w:rsidR="004D407A" w:rsidRPr="004D407A" w14:paraId="0F5D3A21"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564FA19D" w14:textId="77777777" w:rsidR="00617565" w:rsidRPr="004D407A" w:rsidRDefault="00617565" w:rsidP="0077335D">
            <w:pPr>
              <w:spacing w:after="20"/>
              <w:rPr>
                <w:rFonts w:ascii="Arial" w:hAnsi="Arial"/>
                <w:b w:val="0"/>
                <w:bCs w:val="0"/>
              </w:rPr>
            </w:pPr>
            <w:r w:rsidRPr="004D407A">
              <w:rPr>
                <w:rFonts w:ascii="Arial" w:hAnsi="Arial"/>
                <w:b w:val="0"/>
                <w:bCs w:val="0"/>
              </w:rPr>
              <w:t>FY</w:t>
            </w:r>
          </w:p>
        </w:tc>
        <w:tc>
          <w:tcPr>
            <w:tcW w:w="7506" w:type="dxa"/>
          </w:tcPr>
          <w:p w14:paraId="47F7FACC"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Fiscal year</w:t>
            </w:r>
          </w:p>
        </w:tc>
      </w:tr>
      <w:tr w:rsidR="004D407A" w:rsidRPr="004D407A" w14:paraId="467A4F01"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068BCB8C" w14:textId="77777777" w:rsidR="00617565" w:rsidRPr="004D407A" w:rsidRDefault="00617565" w:rsidP="0077335D">
            <w:pPr>
              <w:spacing w:after="20"/>
              <w:rPr>
                <w:rFonts w:ascii="Arial" w:hAnsi="Arial" w:cs="DIN"/>
                <w:b w:val="0"/>
                <w:bCs w:val="0"/>
              </w:rPr>
            </w:pPr>
            <w:r w:rsidRPr="004D407A">
              <w:rPr>
                <w:rFonts w:ascii="Arial" w:hAnsi="Arial" w:cs="DIN"/>
                <w:b w:val="0"/>
                <w:bCs w:val="0"/>
              </w:rPr>
              <w:t>FYP</w:t>
            </w:r>
          </w:p>
        </w:tc>
        <w:tc>
          <w:tcPr>
            <w:tcW w:w="7506" w:type="dxa"/>
          </w:tcPr>
          <w:p w14:paraId="3C0C7F3E"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cs="DIN"/>
              </w:rPr>
            </w:pPr>
            <w:r w:rsidRPr="004D407A">
              <w:rPr>
                <w:rFonts w:ascii="Arial" w:hAnsi="Arial" w:cs="DIN"/>
              </w:rPr>
              <w:t>Five-year plan</w:t>
            </w:r>
          </w:p>
        </w:tc>
      </w:tr>
      <w:tr w:rsidR="004D407A" w:rsidRPr="004D407A" w14:paraId="3C603D19"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5D35BF44" w14:textId="77777777" w:rsidR="00617565" w:rsidRPr="004D407A" w:rsidRDefault="00617565" w:rsidP="0077335D">
            <w:pPr>
              <w:spacing w:after="20"/>
              <w:rPr>
                <w:rFonts w:ascii="Arial" w:hAnsi="Arial"/>
                <w:b w:val="0"/>
                <w:bCs w:val="0"/>
              </w:rPr>
            </w:pPr>
            <w:r w:rsidRPr="004D407A">
              <w:rPr>
                <w:rFonts w:ascii="Arial" w:hAnsi="Arial"/>
                <w:b w:val="0"/>
                <w:bCs w:val="0"/>
              </w:rPr>
              <w:t>Gavi</w:t>
            </w:r>
          </w:p>
        </w:tc>
        <w:tc>
          <w:tcPr>
            <w:tcW w:w="7506" w:type="dxa"/>
          </w:tcPr>
          <w:p w14:paraId="71F76EBD"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Global Alliance for Vaccines and Immunization </w:t>
            </w:r>
          </w:p>
        </w:tc>
      </w:tr>
      <w:tr w:rsidR="004D407A" w:rsidRPr="004D407A" w14:paraId="7DE1F3DC"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5314CC69" w14:textId="77777777" w:rsidR="00617565" w:rsidRPr="004D407A" w:rsidRDefault="00617565" w:rsidP="0077335D">
            <w:pPr>
              <w:spacing w:after="20"/>
              <w:rPr>
                <w:rFonts w:ascii="Arial" w:hAnsi="Arial"/>
                <w:b w:val="0"/>
                <w:bCs w:val="0"/>
              </w:rPr>
            </w:pPr>
            <w:r w:rsidRPr="004D407A">
              <w:rPr>
                <w:rFonts w:ascii="Arial" w:hAnsi="Arial"/>
                <w:b w:val="0"/>
                <w:bCs w:val="0"/>
              </w:rPr>
              <w:t>GDP</w:t>
            </w:r>
          </w:p>
        </w:tc>
        <w:tc>
          <w:tcPr>
            <w:tcW w:w="7506" w:type="dxa"/>
          </w:tcPr>
          <w:p w14:paraId="5FF2BA4D"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Gross domestic product</w:t>
            </w:r>
          </w:p>
        </w:tc>
      </w:tr>
      <w:tr w:rsidR="004D407A" w:rsidRPr="004D407A" w14:paraId="58516364"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60554198" w14:textId="77777777" w:rsidR="00617565" w:rsidRPr="004D407A" w:rsidRDefault="00617565" w:rsidP="0077335D">
            <w:pPr>
              <w:spacing w:after="20"/>
              <w:rPr>
                <w:rFonts w:ascii="Arial" w:hAnsi="Arial"/>
                <w:b w:val="0"/>
                <w:bCs w:val="0"/>
              </w:rPr>
            </w:pPr>
            <w:r w:rsidRPr="004D407A">
              <w:rPr>
                <w:rFonts w:ascii="Arial" w:hAnsi="Arial"/>
                <w:b w:val="0"/>
                <w:bCs w:val="0"/>
              </w:rPr>
              <w:t>GHED</w:t>
            </w:r>
          </w:p>
        </w:tc>
        <w:tc>
          <w:tcPr>
            <w:tcW w:w="7506" w:type="dxa"/>
          </w:tcPr>
          <w:p w14:paraId="41C25C08"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WHO Global Health Expenditure Database</w:t>
            </w:r>
          </w:p>
        </w:tc>
      </w:tr>
      <w:tr w:rsidR="004D407A" w:rsidRPr="004D407A" w14:paraId="0391858C"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455ECDEB" w14:textId="77777777" w:rsidR="00617565" w:rsidRPr="004D407A" w:rsidRDefault="00617565" w:rsidP="0077335D">
            <w:pPr>
              <w:spacing w:after="20"/>
              <w:rPr>
                <w:rFonts w:ascii="Arial" w:hAnsi="Arial"/>
                <w:b w:val="0"/>
                <w:bCs w:val="0"/>
              </w:rPr>
            </w:pPr>
            <w:r w:rsidRPr="004D407A">
              <w:rPr>
                <w:rFonts w:ascii="Arial" w:hAnsi="Arial"/>
                <w:b w:val="0"/>
                <w:bCs w:val="0"/>
              </w:rPr>
              <w:t>GNI</w:t>
            </w:r>
          </w:p>
        </w:tc>
        <w:tc>
          <w:tcPr>
            <w:tcW w:w="7506" w:type="dxa"/>
          </w:tcPr>
          <w:p w14:paraId="610E7AFF"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Gross national income</w:t>
            </w:r>
          </w:p>
        </w:tc>
      </w:tr>
      <w:tr w:rsidR="004D407A" w:rsidRPr="004D407A" w14:paraId="670416E0"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00BCF779" w14:textId="77777777" w:rsidR="00617565" w:rsidRPr="004D407A" w:rsidRDefault="00617565" w:rsidP="0077335D">
            <w:pPr>
              <w:spacing w:after="20"/>
              <w:rPr>
                <w:rFonts w:ascii="Arial" w:hAnsi="Arial"/>
                <w:b w:val="0"/>
                <w:bCs w:val="0"/>
              </w:rPr>
            </w:pPr>
            <w:r w:rsidRPr="004D407A">
              <w:rPr>
                <w:rFonts w:ascii="Arial" w:hAnsi="Arial"/>
                <w:b w:val="0"/>
                <w:bCs w:val="0"/>
              </w:rPr>
              <w:t>GoB</w:t>
            </w:r>
          </w:p>
        </w:tc>
        <w:tc>
          <w:tcPr>
            <w:tcW w:w="7506" w:type="dxa"/>
          </w:tcPr>
          <w:p w14:paraId="6C6E857E"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Government of the People’s Republic of Bangladesh</w:t>
            </w:r>
          </w:p>
        </w:tc>
      </w:tr>
      <w:tr w:rsidR="004D407A" w:rsidRPr="004D407A" w14:paraId="5EB5C19B"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22EE8E88" w14:textId="77777777" w:rsidR="00617565" w:rsidRPr="004D407A" w:rsidRDefault="00617565" w:rsidP="0077335D">
            <w:pPr>
              <w:spacing w:after="20"/>
              <w:rPr>
                <w:rFonts w:ascii="Arial" w:hAnsi="Arial"/>
                <w:b w:val="0"/>
                <w:bCs w:val="0"/>
              </w:rPr>
            </w:pPr>
            <w:r w:rsidRPr="004D407A">
              <w:rPr>
                <w:rFonts w:ascii="Arial" w:hAnsi="Arial"/>
                <w:b w:val="0"/>
                <w:bCs w:val="0"/>
              </w:rPr>
              <w:t>HDI</w:t>
            </w:r>
          </w:p>
        </w:tc>
        <w:tc>
          <w:tcPr>
            <w:tcW w:w="7506" w:type="dxa"/>
          </w:tcPr>
          <w:p w14:paraId="34DEB440"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Human Development Index</w:t>
            </w:r>
          </w:p>
        </w:tc>
      </w:tr>
      <w:tr w:rsidR="004D407A" w:rsidRPr="004D407A" w14:paraId="1AA7E868"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7DD146A6" w14:textId="77777777" w:rsidR="00617565" w:rsidRPr="004D407A" w:rsidRDefault="00617565" w:rsidP="0077335D">
            <w:pPr>
              <w:spacing w:after="20"/>
              <w:rPr>
                <w:rFonts w:ascii="Arial" w:hAnsi="Arial"/>
                <w:b w:val="0"/>
                <w:bCs w:val="0"/>
              </w:rPr>
            </w:pPr>
            <w:proofErr w:type="spellStart"/>
            <w:r w:rsidRPr="004D407A">
              <w:rPr>
                <w:rFonts w:ascii="Arial" w:hAnsi="Arial"/>
                <w:b w:val="0"/>
                <w:bCs w:val="0"/>
              </w:rPr>
              <w:t>HepB</w:t>
            </w:r>
            <w:proofErr w:type="spellEnd"/>
          </w:p>
        </w:tc>
        <w:tc>
          <w:tcPr>
            <w:tcW w:w="7506" w:type="dxa"/>
          </w:tcPr>
          <w:p w14:paraId="60904B5C"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Hepatitis B Vaccine </w:t>
            </w:r>
          </w:p>
        </w:tc>
      </w:tr>
      <w:tr w:rsidR="004D407A" w:rsidRPr="004D407A" w14:paraId="33E3AF89"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368BAB68" w14:textId="77777777" w:rsidR="00617565" w:rsidRPr="004D407A" w:rsidRDefault="00617565" w:rsidP="0077335D">
            <w:pPr>
              <w:spacing w:after="20"/>
              <w:rPr>
                <w:rFonts w:ascii="Arial" w:hAnsi="Arial"/>
                <w:b w:val="0"/>
                <w:bCs w:val="0"/>
              </w:rPr>
            </w:pPr>
            <w:r w:rsidRPr="004D407A">
              <w:rPr>
                <w:rFonts w:ascii="Arial" w:hAnsi="Arial"/>
                <w:b w:val="0"/>
                <w:bCs w:val="0"/>
              </w:rPr>
              <w:t>HFs</w:t>
            </w:r>
          </w:p>
        </w:tc>
        <w:tc>
          <w:tcPr>
            <w:tcW w:w="7506" w:type="dxa"/>
          </w:tcPr>
          <w:p w14:paraId="273B9584"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Health Facilities </w:t>
            </w:r>
          </w:p>
        </w:tc>
      </w:tr>
      <w:tr w:rsidR="004D407A" w:rsidRPr="004D407A" w14:paraId="0B831D75"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40D1F8A8" w14:textId="77777777" w:rsidR="00617565" w:rsidRPr="004D407A" w:rsidRDefault="00617565" w:rsidP="0077335D">
            <w:pPr>
              <w:spacing w:after="20"/>
              <w:rPr>
                <w:rFonts w:ascii="Arial" w:hAnsi="Arial"/>
                <w:b w:val="0"/>
                <w:bCs w:val="0"/>
              </w:rPr>
            </w:pPr>
            <w:r w:rsidRPr="004D407A">
              <w:rPr>
                <w:rFonts w:ascii="Arial" w:hAnsi="Arial"/>
                <w:b w:val="0"/>
                <w:bCs w:val="0"/>
              </w:rPr>
              <w:t>Hib</w:t>
            </w:r>
          </w:p>
        </w:tc>
        <w:tc>
          <w:tcPr>
            <w:tcW w:w="7506" w:type="dxa"/>
          </w:tcPr>
          <w:p w14:paraId="523D0F5C"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proofErr w:type="spellStart"/>
            <w:r w:rsidRPr="004D407A">
              <w:rPr>
                <w:rFonts w:ascii="Arial" w:hAnsi="Arial"/>
              </w:rPr>
              <w:t>Haemophilus</w:t>
            </w:r>
            <w:proofErr w:type="spellEnd"/>
            <w:r w:rsidRPr="004D407A">
              <w:rPr>
                <w:rFonts w:ascii="Arial" w:hAnsi="Arial"/>
              </w:rPr>
              <w:t xml:space="preserve"> Influenza type b vaccine</w:t>
            </w:r>
          </w:p>
        </w:tc>
      </w:tr>
      <w:tr w:rsidR="004D407A" w:rsidRPr="004D407A" w14:paraId="32F81660"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400DCD99" w14:textId="77777777" w:rsidR="00617565" w:rsidRPr="004D407A" w:rsidRDefault="00617565" w:rsidP="0077335D">
            <w:pPr>
              <w:spacing w:after="20"/>
              <w:rPr>
                <w:rFonts w:ascii="Arial" w:hAnsi="Arial"/>
                <w:b w:val="0"/>
                <w:bCs w:val="0"/>
              </w:rPr>
            </w:pPr>
            <w:r w:rsidRPr="004D407A">
              <w:rPr>
                <w:rFonts w:ascii="Arial" w:hAnsi="Arial"/>
                <w:b w:val="0"/>
                <w:bCs w:val="0"/>
              </w:rPr>
              <w:t>HTRA&amp;VP</w:t>
            </w:r>
          </w:p>
        </w:tc>
        <w:tc>
          <w:tcPr>
            <w:tcW w:w="7506" w:type="dxa"/>
          </w:tcPr>
          <w:p w14:paraId="6C9533FB"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Services for Hard-to-Reach Areas and Vulnerable Population</w:t>
            </w:r>
          </w:p>
        </w:tc>
      </w:tr>
      <w:tr w:rsidR="004D407A" w:rsidRPr="004D407A" w14:paraId="6A4DB3C4"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727F33D1" w14:textId="77777777" w:rsidR="00617565" w:rsidRPr="004D407A" w:rsidRDefault="00617565" w:rsidP="0077335D">
            <w:pPr>
              <w:spacing w:after="20"/>
              <w:rPr>
                <w:rFonts w:ascii="Arial" w:hAnsi="Arial"/>
                <w:b w:val="0"/>
                <w:bCs w:val="0"/>
              </w:rPr>
            </w:pPr>
            <w:r w:rsidRPr="004D407A">
              <w:rPr>
                <w:rFonts w:ascii="Arial" w:hAnsi="Arial"/>
                <w:b w:val="0"/>
                <w:bCs w:val="0"/>
              </w:rPr>
              <w:t>HWs</w:t>
            </w:r>
          </w:p>
        </w:tc>
        <w:tc>
          <w:tcPr>
            <w:tcW w:w="7506" w:type="dxa"/>
          </w:tcPr>
          <w:p w14:paraId="14F3DC0E"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Health Workers </w:t>
            </w:r>
          </w:p>
        </w:tc>
      </w:tr>
      <w:tr w:rsidR="004D407A" w:rsidRPr="004D407A" w14:paraId="2D7E4970"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41F64643" w14:textId="77777777" w:rsidR="00617565" w:rsidRPr="004D407A" w:rsidRDefault="00617565" w:rsidP="0077335D">
            <w:pPr>
              <w:spacing w:after="20"/>
              <w:rPr>
                <w:rFonts w:ascii="Arial" w:hAnsi="Arial"/>
                <w:b w:val="0"/>
                <w:bCs w:val="0"/>
              </w:rPr>
            </w:pPr>
            <w:r w:rsidRPr="004D407A">
              <w:rPr>
                <w:rFonts w:ascii="Arial" w:hAnsi="Arial"/>
                <w:b w:val="0"/>
                <w:bCs w:val="0"/>
              </w:rPr>
              <w:t>ICC</w:t>
            </w:r>
          </w:p>
        </w:tc>
        <w:tc>
          <w:tcPr>
            <w:tcW w:w="7506" w:type="dxa"/>
          </w:tcPr>
          <w:p w14:paraId="1FF24CF0"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Interagency Coordination Committee </w:t>
            </w:r>
          </w:p>
        </w:tc>
      </w:tr>
      <w:tr w:rsidR="004D407A" w:rsidRPr="004D407A" w14:paraId="10FF046D"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60D414A5" w14:textId="77777777" w:rsidR="00617565" w:rsidRPr="004D407A" w:rsidRDefault="00617565" w:rsidP="0077335D">
            <w:pPr>
              <w:spacing w:after="20"/>
              <w:rPr>
                <w:rFonts w:ascii="Arial" w:hAnsi="Arial"/>
                <w:b w:val="0"/>
                <w:bCs w:val="0"/>
              </w:rPr>
            </w:pPr>
            <w:r w:rsidRPr="004D407A">
              <w:rPr>
                <w:rFonts w:ascii="Arial" w:hAnsi="Arial"/>
                <w:b w:val="0"/>
                <w:bCs w:val="0"/>
              </w:rPr>
              <w:t>IDA</w:t>
            </w:r>
          </w:p>
        </w:tc>
        <w:tc>
          <w:tcPr>
            <w:tcW w:w="7506" w:type="dxa"/>
          </w:tcPr>
          <w:p w14:paraId="4328D84E"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International Development Agency (the World Bank)</w:t>
            </w:r>
          </w:p>
        </w:tc>
      </w:tr>
      <w:tr w:rsidR="004D407A" w:rsidRPr="004D407A" w14:paraId="2EE3D490"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22598624" w14:textId="77777777" w:rsidR="00617565" w:rsidRPr="004D407A" w:rsidRDefault="00617565" w:rsidP="0077335D">
            <w:pPr>
              <w:spacing w:after="20"/>
              <w:rPr>
                <w:rFonts w:ascii="Arial" w:hAnsi="Arial"/>
                <w:b w:val="0"/>
                <w:bCs w:val="0"/>
              </w:rPr>
            </w:pPr>
            <w:r w:rsidRPr="004D407A">
              <w:rPr>
                <w:rFonts w:ascii="Arial" w:hAnsi="Arial"/>
                <w:b w:val="0"/>
                <w:bCs w:val="0"/>
              </w:rPr>
              <w:t>IMCI</w:t>
            </w:r>
          </w:p>
        </w:tc>
        <w:tc>
          <w:tcPr>
            <w:tcW w:w="7506" w:type="dxa"/>
          </w:tcPr>
          <w:p w14:paraId="5F7BE3ED"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Integrated management of childhood illnesses</w:t>
            </w:r>
          </w:p>
        </w:tc>
      </w:tr>
      <w:tr w:rsidR="004D407A" w:rsidRPr="004D407A" w14:paraId="704E5345"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755E6D81" w14:textId="77777777" w:rsidR="00617565" w:rsidRPr="004D407A" w:rsidRDefault="00617565" w:rsidP="0077335D">
            <w:pPr>
              <w:spacing w:after="20"/>
              <w:rPr>
                <w:rFonts w:ascii="Arial" w:hAnsi="Arial"/>
                <w:b w:val="0"/>
                <w:bCs w:val="0"/>
              </w:rPr>
            </w:pPr>
            <w:r w:rsidRPr="004D407A">
              <w:rPr>
                <w:rFonts w:ascii="Arial" w:hAnsi="Arial"/>
                <w:b w:val="0"/>
                <w:bCs w:val="0"/>
              </w:rPr>
              <w:t>IMR</w:t>
            </w:r>
          </w:p>
        </w:tc>
        <w:tc>
          <w:tcPr>
            <w:tcW w:w="7506" w:type="dxa"/>
          </w:tcPr>
          <w:p w14:paraId="429BDBDC"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Infant Mortality Rate </w:t>
            </w:r>
          </w:p>
        </w:tc>
      </w:tr>
      <w:tr w:rsidR="004D407A" w:rsidRPr="004D407A" w14:paraId="5663D2A7"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07DD81CB" w14:textId="77777777" w:rsidR="00617565" w:rsidRPr="004D407A" w:rsidRDefault="00617565" w:rsidP="0077335D">
            <w:pPr>
              <w:spacing w:after="20"/>
              <w:rPr>
                <w:rFonts w:ascii="Arial" w:hAnsi="Arial"/>
                <w:b w:val="0"/>
                <w:bCs w:val="0"/>
              </w:rPr>
            </w:pPr>
            <w:r w:rsidRPr="004D407A">
              <w:rPr>
                <w:rFonts w:ascii="Arial" w:hAnsi="Arial" w:cs="DIN"/>
                <w:b w:val="0"/>
                <w:bCs w:val="0"/>
              </w:rPr>
              <w:t>IPF</w:t>
            </w:r>
          </w:p>
        </w:tc>
        <w:tc>
          <w:tcPr>
            <w:tcW w:w="7506" w:type="dxa"/>
          </w:tcPr>
          <w:p w14:paraId="57C908CF"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Investment Project Financing</w:t>
            </w:r>
          </w:p>
        </w:tc>
      </w:tr>
      <w:tr w:rsidR="004D407A" w:rsidRPr="004D407A" w14:paraId="7E127E39"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4E952842" w14:textId="77777777" w:rsidR="00617565" w:rsidRPr="004D407A" w:rsidRDefault="00617565" w:rsidP="0077335D">
            <w:pPr>
              <w:spacing w:after="20"/>
              <w:rPr>
                <w:rFonts w:ascii="Arial" w:hAnsi="Arial" w:cs="DIN"/>
                <w:b w:val="0"/>
                <w:bCs w:val="0"/>
              </w:rPr>
            </w:pPr>
            <w:r w:rsidRPr="004D407A">
              <w:rPr>
                <w:rFonts w:ascii="Arial" w:hAnsi="Arial"/>
                <w:b w:val="0"/>
                <w:bCs w:val="0"/>
              </w:rPr>
              <w:t>IPH</w:t>
            </w:r>
          </w:p>
        </w:tc>
        <w:tc>
          <w:tcPr>
            <w:tcW w:w="7506" w:type="dxa"/>
          </w:tcPr>
          <w:p w14:paraId="4B3652C7"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cs="DIN"/>
              </w:rPr>
              <w:t>Institute of Public Health</w:t>
            </w:r>
          </w:p>
        </w:tc>
      </w:tr>
      <w:tr w:rsidR="004D407A" w:rsidRPr="004D407A" w14:paraId="1311AFE8"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26813A0F" w14:textId="77777777" w:rsidR="00617565" w:rsidRPr="004D407A" w:rsidRDefault="00617565" w:rsidP="0077335D">
            <w:pPr>
              <w:spacing w:after="20"/>
              <w:rPr>
                <w:rFonts w:ascii="Arial" w:hAnsi="Arial"/>
                <w:b w:val="0"/>
                <w:bCs w:val="0"/>
              </w:rPr>
            </w:pPr>
            <w:r w:rsidRPr="004D407A">
              <w:rPr>
                <w:rFonts w:ascii="Arial" w:hAnsi="Arial"/>
                <w:b w:val="0"/>
                <w:bCs w:val="0"/>
              </w:rPr>
              <w:lastRenderedPageBreak/>
              <w:t>IPHN</w:t>
            </w:r>
          </w:p>
        </w:tc>
        <w:tc>
          <w:tcPr>
            <w:tcW w:w="7506" w:type="dxa"/>
          </w:tcPr>
          <w:p w14:paraId="469D13E9"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cs="DIN"/>
              </w:rPr>
            </w:pPr>
            <w:r w:rsidRPr="004D407A">
              <w:rPr>
                <w:rFonts w:ascii="Arial" w:hAnsi="Arial" w:cs="DIN"/>
              </w:rPr>
              <w:t>Institute of Public Health and Nutrition</w:t>
            </w:r>
          </w:p>
        </w:tc>
      </w:tr>
      <w:tr w:rsidR="004D407A" w:rsidRPr="004D407A" w14:paraId="6D48F0FC"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28961E17" w14:textId="77777777" w:rsidR="00617565" w:rsidRPr="004D407A" w:rsidRDefault="00617565" w:rsidP="0077335D">
            <w:pPr>
              <w:spacing w:after="20"/>
              <w:rPr>
                <w:rFonts w:ascii="Arial" w:hAnsi="Arial" w:cs="DIN"/>
                <w:b w:val="0"/>
                <w:bCs w:val="0"/>
              </w:rPr>
            </w:pPr>
            <w:r w:rsidRPr="004D407A">
              <w:rPr>
                <w:rFonts w:ascii="Arial" w:hAnsi="Arial" w:cs="DIN"/>
                <w:b w:val="0"/>
                <w:bCs w:val="0"/>
              </w:rPr>
              <w:t>KPI</w:t>
            </w:r>
          </w:p>
        </w:tc>
        <w:tc>
          <w:tcPr>
            <w:tcW w:w="7506" w:type="dxa"/>
          </w:tcPr>
          <w:p w14:paraId="220D24C9"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cs="DIN"/>
              </w:rPr>
              <w:t>Key performance indicators</w:t>
            </w:r>
          </w:p>
        </w:tc>
      </w:tr>
      <w:tr w:rsidR="004D407A" w:rsidRPr="004D407A" w14:paraId="291B9036"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2251D5B5" w14:textId="77777777" w:rsidR="00617565" w:rsidRPr="004D407A" w:rsidRDefault="00617565" w:rsidP="0077335D">
            <w:pPr>
              <w:spacing w:after="20"/>
              <w:rPr>
                <w:rFonts w:ascii="Arial" w:hAnsi="Arial"/>
                <w:b w:val="0"/>
                <w:bCs w:val="0"/>
              </w:rPr>
            </w:pPr>
            <w:r w:rsidRPr="004D407A">
              <w:rPr>
                <w:rFonts w:ascii="Arial" w:hAnsi="Arial"/>
                <w:b w:val="0"/>
                <w:bCs w:val="0"/>
              </w:rPr>
              <w:t>LD</w:t>
            </w:r>
          </w:p>
        </w:tc>
        <w:tc>
          <w:tcPr>
            <w:tcW w:w="7506" w:type="dxa"/>
          </w:tcPr>
          <w:p w14:paraId="3880326F"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Line Director</w:t>
            </w:r>
          </w:p>
        </w:tc>
      </w:tr>
      <w:tr w:rsidR="004D407A" w:rsidRPr="004D407A" w14:paraId="63CE7F02"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217830D3" w14:textId="77777777" w:rsidR="00617565" w:rsidRPr="004D407A" w:rsidRDefault="00617565" w:rsidP="0077335D">
            <w:pPr>
              <w:spacing w:after="20"/>
              <w:rPr>
                <w:rFonts w:ascii="Arial" w:hAnsi="Arial" w:cs="DIN"/>
                <w:b w:val="0"/>
                <w:bCs w:val="0"/>
              </w:rPr>
            </w:pPr>
            <w:r w:rsidRPr="004D407A">
              <w:rPr>
                <w:rFonts w:ascii="Arial" w:hAnsi="Arial"/>
                <w:b w:val="0"/>
                <w:bCs w:val="0"/>
              </w:rPr>
              <w:t>M&amp;E</w:t>
            </w:r>
          </w:p>
        </w:tc>
        <w:tc>
          <w:tcPr>
            <w:tcW w:w="7506" w:type="dxa"/>
          </w:tcPr>
          <w:p w14:paraId="1AF5D3E4"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rPr>
              <w:t xml:space="preserve">Monitoring and Evaluation </w:t>
            </w:r>
          </w:p>
        </w:tc>
      </w:tr>
      <w:tr w:rsidR="004D407A" w:rsidRPr="004D407A" w14:paraId="139A7518"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03EB5DE0" w14:textId="77777777" w:rsidR="00617565" w:rsidRPr="004D407A" w:rsidRDefault="00617565" w:rsidP="0077335D">
            <w:pPr>
              <w:spacing w:after="20"/>
              <w:rPr>
                <w:rFonts w:ascii="Arial" w:hAnsi="Arial"/>
                <w:b w:val="0"/>
                <w:bCs w:val="0"/>
              </w:rPr>
            </w:pPr>
            <w:r w:rsidRPr="004D407A">
              <w:rPr>
                <w:rFonts w:ascii="Arial" w:hAnsi="Arial"/>
                <w:b w:val="0"/>
                <w:bCs w:val="0"/>
              </w:rPr>
              <w:t>MLGRDC</w:t>
            </w:r>
          </w:p>
        </w:tc>
        <w:tc>
          <w:tcPr>
            <w:tcW w:w="7506" w:type="dxa"/>
          </w:tcPr>
          <w:p w14:paraId="777D0E4C"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Ministry of Local Government, Rural Development and Cooperatives</w:t>
            </w:r>
          </w:p>
        </w:tc>
      </w:tr>
      <w:tr w:rsidR="004D407A" w:rsidRPr="004D407A" w14:paraId="3E045FE4"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278ADA62" w14:textId="77777777" w:rsidR="00617565" w:rsidRPr="004D407A" w:rsidRDefault="00617565" w:rsidP="0077335D">
            <w:pPr>
              <w:spacing w:after="20"/>
              <w:rPr>
                <w:rFonts w:ascii="Arial" w:hAnsi="Arial" w:cs="DIN"/>
                <w:b w:val="0"/>
                <w:bCs w:val="0"/>
              </w:rPr>
            </w:pPr>
            <w:r w:rsidRPr="004D407A">
              <w:rPr>
                <w:rFonts w:ascii="Arial" w:hAnsi="Arial"/>
                <w:b w:val="0"/>
                <w:bCs w:val="0"/>
              </w:rPr>
              <w:t>MMR</w:t>
            </w:r>
          </w:p>
        </w:tc>
        <w:tc>
          <w:tcPr>
            <w:tcW w:w="7506" w:type="dxa"/>
          </w:tcPr>
          <w:p w14:paraId="14E8B214"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rPr>
              <w:t xml:space="preserve">Maternal Mortality Ratio </w:t>
            </w:r>
          </w:p>
        </w:tc>
      </w:tr>
      <w:tr w:rsidR="004D407A" w:rsidRPr="004D407A" w14:paraId="57D6A3D3"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48DF7143" w14:textId="77777777" w:rsidR="00617565" w:rsidRPr="004D407A" w:rsidRDefault="00617565" w:rsidP="0077335D">
            <w:pPr>
              <w:spacing w:after="20"/>
              <w:rPr>
                <w:rFonts w:ascii="Arial" w:hAnsi="Arial"/>
                <w:b w:val="0"/>
                <w:bCs w:val="0"/>
              </w:rPr>
            </w:pPr>
            <w:r w:rsidRPr="004D407A">
              <w:rPr>
                <w:rFonts w:ascii="Arial" w:hAnsi="Arial"/>
                <w:b w:val="0"/>
                <w:bCs w:val="0"/>
              </w:rPr>
              <w:t>MNTE</w:t>
            </w:r>
          </w:p>
        </w:tc>
        <w:tc>
          <w:tcPr>
            <w:tcW w:w="7506" w:type="dxa"/>
          </w:tcPr>
          <w:p w14:paraId="3F090376"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Maternal and Neonatal Tetanus Elimination </w:t>
            </w:r>
          </w:p>
        </w:tc>
      </w:tr>
      <w:tr w:rsidR="004D407A" w:rsidRPr="004D407A" w14:paraId="0DB7FD4A"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6057CD50" w14:textId="77777777" w:rsidR="00617565" w:rsidRPr="004D407A" w:rsidRDefault="00617565" w:rsidP="0077335D">
            <w:pPr>
              <w:spacing w:after="20"/>
              <w:rPr>
                <w:rFonts w:ascii="Arial" w:hAnsi="Arial"/>
                <w:b w:val="0"/>
                <w:bCs w:val="0"/>
              </w:rPr>
            </w:pPr>
            <w:r w:rsidRPr="004D407A">
              <w:rPr>
                <w:rFonts w:ascii="Arial" w:hAnsi="Arial"/>
                <w:b w:val="0"/>
                <w:bCs w:val="0"/>
              </w:rPr>
              <w:t>MOF</w:t>
            </w:r>
          </w:p>
        </w:tc>
        <w:tc>
          <w:tcPr>
            <w:tcW w:w="7506" w:type="dxa"/>
          </w:tcPr>
          <w:p w14:paraId="236C52FA"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Ministry of Finance</w:t>
            </w:r>
          </w:p>
        </w:tc>
      </w:tr>
      <w:tr w:rsidR="004D407A" w:rsidRPr="004D407A" w14:paraId="4809F96B"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667CC9C3" w14:textId="77777777" w:rsidR="00617565" w:rsidRPr="004D407A" w:rsidRDefault="00617565" w:rsidP="0077335D">
            <w:pPr>
              <w:spacing w:after="20"/>
              <w:rPr>
                <w:rFonts w:ascii="Arial" w:hAnsi="Arial"/>
                <w:b w:val="0"/>
                <w:bCs w:val="0"/>
              </w:rPr>
            </w:pPr>
            <w:proofErr w:type="spellStart"/>
            <w:r w:rsidRPr="004D407A">
              <w:rPr>
                <w:rFonts w:ascii="Arial" w:hAnsi="Arial"/>
                <w:b w:val="0"/>
                <w:bCs w:val="0"/>
              </w:rPr>
              <w:t>MoH&amp;FW</w:t>
            </w:r>
            <w:proofErr w:type="spellEnd"/>
          </w:p>
        </w:tc>
        <w:tc>
          <w:tcPr>
            <w:tcW w:w="7506" w:type="dxa"/>
          </w:tcPr>
          <w:p w14:paraId="5C551B6D"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Ministry of Health and Family Welfare</w:t>
            </w:r>
          </w:p>
        </w:tc>
      </w:tr>
      <w:tr w:rsidR="004D407A" w:rsidRPr="004D407A" w14:paraId="267DB634"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41B24906" w14:textId="77777777" w:rsidR="00617565" w:rsidRPr="004D407A" w:rsidRDefault="00617565" w:rsidP="0077335D">
            <w:pPr>
              <w:spacing w:after="20"/>
              <w:rPr>
                <w:rFonts w:ascii="Arial" w:hAnsi="Arial"/>
                <w:b w:val="0"/>
                <w:bCs w:val="0"/>
              </w:rPr>
            </w:pPr>
            <w:r w:rsidRPr="004D407A">
              <w:rPr>
                <w:rFonts w:ascii="Arial" w:hAnsi="Arial"/>
                <w:b w:val="0"/>
                <w:bCs w:val="0"/>
              </w:rPr>
              <w:t>MOPA</w:t>
            </w:r>
          </w:p>
        </w:tc>
        <w:tc>
          <w:tcPr>
            <w:tcW w:w="7506" w:type="dxa"/>
          </w:tcPr>
          <w:p w14:paraId="6FA84C22"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Ministry of Public Administration</w:t>
            </w:r>
          </w:p>
        </w:tc>
      </w:tr>
      <w:tr w:rsidR="004D407A" w:rsidRPr="004D407A" w14:paraId="7B9000B9"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3FC3BA7D" w14:textId="77777777" w:rsidR="00617565" w:rsidRPr="004D407A" w:rsidRDefault="00617565" w:rsidP="0077335D">
            <w:pPr>
              <w:spacing w:after="20"/>
              <w:rPr>
                <w:rFonts w:ascii="Arial" w:hAnsi="Arial" w:cs="DIN"/>
                <w:b w:val="0"/>
                <w:bCs w:val="0"/>
              </w:rPr>
            </w:pPr>
            <w:r w:rsidRPr="004D407A">
              <w:rPr>
                <w:rFonts w:ascii="Arial" w:hAnsi="Arial"/>
                <w:b w:val="0"/>
                <w:bCs w:val="0"/>
              </w:rPr>
              <w:t>MPIR</w:t>
            </w:r>
          </w:p>
        </w:tc>
        <w:tc>
          <w:tcPr>
            <w:tcW w:w="7506" w:type="dxa"/>
          </w:tcPr>
          <w:p w14:paraId="52D61FD5"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cs="DIN"/>
              </w:rPr>
            </w:pPr>
            <w:r w:rsidRPr="004D407A">
              <w:rPr>
                <w:rFonts w:ascii="Arial" w:hAnsi="Arial" w:cs="DIN"/>
              </w:rPr>
              <w:t>Mid-term Program Implementation Report</w:t>
            </w:r>
          </w:p>
        </w:tc>
      </w:tr>
      <w:tr w:rsidR="004D407A" w:rsidRPr="004D407A" w14:paraId="62C79028"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5E78AAF2" w14:textId="77777777" w:rsidR="00617565" w:rsidRPr="004D407A" w:rsidRDefault="00617565" w:rsidP="0077335D">
            <w:pPr>
              <w:spacing w:after="20"/>
              <w:rPr>
                <w:rFonts w:ascii="Arial" w:hAnsi="Arial"/>
                <w:b w:val="0"/>
                <w:bCs w:val="0"/>
              </w:rPr>
            </w:pPr>
            <w:r w:rsidRPr="004D407A">
              <w:rPr>
                <w:rFonts w:ascii="Arial" w:hAnsi="Arial" w:cs="DIN"/>
                <w:b w:val="0"/>
                <w:bCs w:val="0"/>
              </w:rPr>
              <w:t>MTBF</w:t>
            </w:r>
          </w:p>
        </w:tc>
        <w:tc>
          <w:tcPr>
            <w:tcW w:w="7506" w:type="dxa"/>
          </w:tcPr>
          <w:p w14:paraId="5642FBED"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cs="DIN"/>
              </w:rPr>
              <w:t>Medium Term Budget Framework</w:t>
            </w:r>
          </w:p>
        </w:tc>
      </w:tr>
      <w:tr w:rsidR="004D407A" w:rsidRPr="004D407A" w14:paraId="21CFF502"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1CF23F4D" w14:textId="77777777" w:rsidR="00617565" w:rsidRPr="004D407A" w:rsidRDefault="00617565" w:rsidP="0077335D">
            <w:pPr>
              <w:spacing w:after="20"/>
              <w:rPr>
                <w:rFonts w:ascii="Arial" w:hAnsi="Arial"/>
                <w:b w:val="0"/>
                <w:bCs w:val="0"/>
              </w:rPr>
            </w:pPr>
            <w:r w:rsidRPr="004D407A">
              <w:rPr>
                <w:rFonts w:ascii="Arial" w:hAnsi="Arial"/>
                <w:b w:val="0"/>
                <w:bCs w:val="0"/>
              </w:rPr>
              <w:t>NIPORT</w:t>
            </w:r>
          </w:p>
        </w:tc>
        <w:tc>
          <w:tcPr>
            <w:tcW w:w="7506" w:type="dxa"/>
          </w:tcPr>
          <w:p w14:paraId="14732E9D"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cs="DIN"/>
              </w:rPr>
              <w:t>National Institute of Population, Research and Training</w:t>
            </w:r>
          </w:p>
        </w:tc>
      </w:tr>
      <w:tr w:rsidR="004D407A" w:rsidRPr="004D407A" w14:paraId="18FF1254"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41F71B81" w14:textId="77777777" w:rsidR="00617565" w:rsidRPr="004D407A" w:rsidRDefault="00617565" w:rsidP="0077335D">
            <w:pPr>
              <w:spacing w:after="20"/>
              <w:rPr>
                <w:rFonts w:ascii="Arial" w:hAnsi="Arial"/>
                <w:b w:val="0"/>
                <w:bCs w:val="0"/>
              </w:rPr>
            </w:pPr>
            <w:r w:rsidRPr="004D407A">
              <w:rPr>
                <w:rFonts w:ascii="Arial" w:hAnsi="Arial"/>
                <w:b w:val="0"/>
                <w:bCs w:val="0"/>
              </w:rPr>
              <w:t>NMR</w:t>
            </w:r>
          </w:p>
        </w:tc>
        <w:tc>
          <w:tcPr>
            <w:tcW w:w="7506" w:type="dxa"/>
          </w:tcPr>
          <w:p w14:paraId="3FE6EC2B"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Neonatal mortality rate</w:t>
            </w:r>
          </w:p>
        </w:tc>
      </w:tr>
      <w:tr w:rsidR="004D407A" w:rsidRPr="004D407A" w14:paraId="1D77FE4F"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0C6ED8CA" w14:textId="77777777" w:rsidR="00617565" w:rsidRPr="004D407A" w:rsidRDefault="00617565" w:rsidP="0077335D">
            <w:pPr>
              <w:spacing w:after="20"/>
              <w:rPr>
                <w:rFonts w:ascii="Arial" w:hAnsi="Arial"/>
                <w:b w:val="0"/>
                <w:bCs w:val="0"/>
              </w:rPr>
            </w:pPr>
            <w:r w:rsidRPr="004D407A">
              <w:rPr>
                <w:rFonts w:ascii="Arial" w:hAnsi="Arial"/>
                <w:b w:val="0"/>
                <w:bCs w:val="0"/>
              </w:rPr>
              <w:t>NNT</w:t>
            </w:r>
          </w:p>
        </w:tc>
        <w:tc>
          <w:tcPr>
            <w:tcW w:w="7506" w:type="dxa"/>
          </w:tcPr>
          <w:p w14:paraId="137F80AC"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Neonatal Tetanus </w:t>
            </w:r>
          </w:p>
        </w:tc>
      </w:tr>
      <w:tr w:rsidR="004D407A" w:rsidRPr="004D407A" w14:paraId="71D9792A"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1F63DC8A" w14:textId="77777777" w:rsidR="00617565" w:rsidRPr="004D407A" w:rsidRDefault="00617565" w:rsidP="0077335D">
            <w:pPr>
              <w:spacing w:after="20"/>
              <w:rPr>
                <w:rFonts w:ascii="Arial" w:hAnsi="Arial"/>
                <w:b w:val="0"/>
                <w:bCs w:val="0"/>
              </w:rPr>
            </w:pPr>
            <w:r w:rsidRPr="004D407A">
              <w:rPr>
                <w:rFonts w:ascii="Arial" w:hAnsi="Arial"/>
                <w:b w:val="0"/>
                <w:bCs w:val="0"/>
              </w:rPr>
              <w:t>NPML</w:t>
            </w:r>
          </w:p>
        </w:tc>
        <w:tc>
          <w:tcPr>
            <w:tcW w:w="7506" w:type="dxa"/>
          </w:tcPr>
          <w:p w14:paraId="55106AAE"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cs="DIN"/>
              </w:rPr>
              <w:t xml:space="preserve">National Polio and Measles Laboratory </w:t>
            </w:r>
          </w:p>
        </w:tc>
      </w:tr>
      <w:tr w:rsidR="004D407A" w:rsidRPr="004D407A" w14:paraId="4F26BA19"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3F0A25F0" w14:textId="77777777" w:rsidR="00617565" w:rsidRPr="004D407A" w:rsidRDefault="00617565" w:rsidP="0077335D">
            <w:pPr>
              <w:spacing w:after="20"/>
              <w:rPr>
                <w:rFonts w:ascii="Arial" w:hAnsi="Arial" w:cs="DIN"/>
                <w:b w:val="0"/>
                <w:bCs w:val="0"/>
              </w:rPr>
            </w:pPr>
            <w:r w:rsidRPr="004D407A">
              <w:rPr>
                <w:rFonts w:ascii="Arial" w:hAnsi="Arial" w:cs="DIN"/>
                <w:b w:val="0"/>
                <w:bCs w:val="0"/>
              </w:rPr>
              <w:t>OPs</w:t>
            </w:r>
          </w:p>
        </w:tc>
        <w:tc>
          <w:tcPr>
            <w:tcW w:w="7506" w:type="dxa"/>
          </w:tcPr>
          <w:p w14:paraId="035E2E66"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cs="DIN"/>
              </w:rPr>
            </w:pPr>
            <w:r w:rsidRPr="004D407A">
              <w:rPr>
                <w:rFonts w:ascii="Arial" w:hAnsi="Arial" w:cs="DIN"/>
              </w:rPr>
              <w:t>Operational Plans</w:t>
            </w:r>
          </w:p>
        </w:tc>
      </w:tr>
      <w:tr w:rsidR="004D407A" w:rsidRPr="004D407A" w14:paraId="709C9CBC"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1BBE3005" w14:textId="77777777" w:rsidR="00617565" w:rsidRPr="004D407A" w:rsidRDefault="00617565" w:rsidP="0077335D">
            <w:pPr>
              <w:spacing w:after="20"/>
              <w:rPr>
                <w:rFonts w:ascii="Arial" w:hAnsi="Arial"/>
                <w:b w:val="0"/>
                <w:bCs w:val="0"/>
              </w:rPr>
            </w:pPr>
            <w:r w:rsidRPr="004D407A">
              <w:rPr>
                <w:rFonts w:ascii="Arial" w:hAnsi="Arial"/>
                <w:b w:val="0"/>
                <w:bCs w:val="0"/>
              </w:rPr>
              <w:t>OPV</w:t>
            </w:r>
          </w:p>
        </w:tc>
        <w:tc>
          <w:tcPr>
            <w:tcW w:w="7506" w:type="dxa"/>
          </w:tcPr>
          <w:p w14:paraId="6A44E89C"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Oral Polio Vaccine </w:t>
            </w:r>
          </w:p>
        </w:tc>
      </w:tr>
      <w:tr w:rsidR="004D407A" w:rsidRPr="004D407A" w14:paraId="0780C721"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4335BFFF" w14:textId="77777777" w:rsidR="00617565" w:rsidRPr="004D407A" w:rsidRDefault="00617565" w:rsidP="0077335D">
            <w:pPr>
              <w:spacing w:after="20"/>
              <w:rPr>
                <w:rFonts w:ascii="Arial" w:hAnsi="Arial"/>
                <w:b w:val="0"/>
                <w:bCs w:val="0"/>
              </w:rPr>
            </w:pPr>
            <w:r w:rsidRPr="004D407A">
              <w:rPr>
                <w:rFonts w:ascii="Arial" w:hAnsi="Arial"/>
                <w:b w:val="0"/>
                <w:bCs w:val="0"/>
              </w:rPr>
              <w:t>PDO</w:t>
            </w:r>
          </w:p>
        </w:tc>
        <w:tc>
          <w:tcPr>
            <w:tcW w:w="7506" w:type="dxa"/>
          </w:tcPr>
          <w:p w14:paraId="00138277"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Project development objective</w:t>
            </w:r>
          </w:p>
        </w:tc>
      </w:tr>
      <w:tr w:rsidR="004D407A" w:rsidRPr="004D407A" w14:paraId="4F9FCD96"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726403CB" w14:textId="77777777" w:rsidR="00617565" w:rsidRPr="004D407A" w:rsidRDefault="00617565" w:rsidP="0077335D">
            <w:pPr>
              <w:spacing w:after="20"/>
              <w:rPr>
                <w:rFonts w:ascii="Arial" w:hAnsi="Arial"/>
                <w:b w:val="0"/>
                <w:bCs w:val="0"/>
              </w:rPr>
            </w:pPr>
            <w:r w:rsidRPr="004D407A">
              <w:rPr>
                <w:rFonts w:ascii="Arial" w:hAnsi="Arial"/>
                <w:b w:val="0"/>
                <w:bCs w:val="0"/>
              </w:rPr>
              <w:t>PHC</w:t>
            </w:r>
          </w:p>
        </w:tc>
        <w:tc>
          <w:tcPr>
            <w:tcW w:w="7506" w:type="dxa"/>
          </w:tcPr>
          <w:p w14:paraId="01F28332"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Primary Health Care </w:t>
            </w:r>
          </w:p>
        </w:tc>
      </w:tr>
      <w:tr w:rsidR="004D407A" w:rsidRPr="004D407A" w14:paraId="25576C7C"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409EC4B8" w14:textId="77777777" w:rsidR="00617565" w:rsidRPr="004D407A" w:rsidRDefault="00617565" w:rsidP="0077335D">
            <w:pPr>
              <w:spacing w:after="20"/>
              <w:rPr>
                <w:rFonts w:ascii="Arial" w:hAnsi="Arial" w:cs="DIN"/>
                <w:b w:val="0"/>
                <w:bCs w:val="0"/>
              </w:rPr>
            </w:pPr>
            <w:r w:rsidRPr="004D407A">
              <w:rPr>
                <w:rFonts w:ascii="Arial" w:hAnsi="Arial" w:cs="DIN"/>
                <w:b w:val="0"/>
                <w:bCs w:val="0"/>
              </w:rPr>
              <w:t>PIP</w:t>
            </w:r>
          </w:p>
        </w:tc>
        <w:tc>
          <w:tcPr>
            <w:tcW w:w="7506" w:type="dxa"/>
          </w:tcPr>
          <w:p w14:paraId="25ED8D6E"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cs="DIN"/>
              </w:rPr>
            </w:pPr>
            <w:r w:rsidRPr="004D407A">
              <w:rPr>
                <w:rFonts w:ascii="Arial" w:hAnsi="Arial" w:cs="DIN"/>
              </w:rPr>
              <w:t>Program Implementation Plan</w:t>
            </w:r>
          </w:p>
        </w:tc>
      </w:tr>
      <w:tr w:rsidR="004D407A" w:rsidRPr="004D407A" w14:paraId="60E2B0BC"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25E99B61" w14:textId="77777777" w:rsidR="00617565" w:rsidRPr="004D407A" w:rsidRDefault="00617565" w:rsidP="0077335D">
            <w:pPr>
              <w:spacing w:after="20"/>
              <w:rPr>
                <w:rFonts w:ascii="Arial" w:hAnsi="Arial" w:cs="DIN"/>
                <w:b w:val="0"/>
                <w:bCs w:val="0"/>
              </w:rPr>
            </w:pPr>
            <w:r w:rsidRPr="004D407A">
              <w:rPr>
                <w:rFonts w:ascii="Arial" w:hAnsi="Arial" w:cs="DIN"/>
                <w:b w:val="0"/>
                <w:bCs w:val="0"/>
              </w:rPr>
              <w:t>RFW</w:t>
            </w:r>
          </w:p>
        </w:tc>
        <w:tc>
          <w:tcPr>
            <w:tcW w:w="7506" w:type="dxa"/>
          </w:tcPr>
          <w:p w14:paraId="0DFA92E9"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cs="DIN"/>
              </w:rPr>
              <w:t>Results framework</w:t>
            </w:r>
          </w:p>
        </w:tc>
      </w:tr>
      <w:tr w:rsidR="004D407A" w:rsidRPr="004D407A" w14:paraId="4EC7C386"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73A3100F" w14:textId="77777777" w:rsidR="00617565" w:rsidRPr="004D407A" w:rsidRDefault="00617565" w:rsidP="0077335D">
            <w:pPr>
              <w:spacing w:after="20"/>
              <w:rPr>
                <w:rFonts w:ascii="Arial" w:hAnsi="Arial"/>
                <w:b w:val="0"/>
                <w:bCs w:val="0"/>
              </w:rPr>
            </w:pPr>
            <w:r w:rsidRPr="004D407A">
              <w:rPr>
                <w:rFonts w:ascii="Arial" w:hAnsi="Arial"/>
                <w:b w:val="0"/>
                <w:bCs w:val="0"/>
              </w:rPr>
              <w:t>RI</w:t>
            </w:r>
          </w:p>
        </w:tc>
        <w:tc>
          <w:tcPr>
            <w:tcW w:w="7506" w:type="dxa"/>
          </w:tcPr>
          <w:p w14:paraId="51AC01A4"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Routine Immunization </w:t>
            </w:r>
          </w:p>
        </w:tc>
      </w:tr>
      <w:tr w:rsidR="004D407A" w:rsidRPr="004D407A" w14:paraId="20FBF50A"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60A4C870" w14:textId="77777777" w:rsidR="00617565" w:rsidRPr="004D407A" w:rsidRDefault="00617565" w:rsidP="0077335D">
            <w:pPr>
              <w:spacing w:after="20"/>
              <w:rPr>
                <w:rFonts w:ascii="Arial" w:hAnsi="Arial" w:cs="DIN"/>
                <w:b w:val="0"/>
                <w:bCs w:val="0"/>
              </w:rPr>
            </w:pPr>
            <w:r w:rsidRPr="004D407A">
              <w:rPr>
                <w:rFonts w:ascii="Arial" w:hAnsi="Arial" w:cs="DIN"/>
                <w:b w:val="0"/>
                <w:bCs w:val="0"/>
              </w:rPr>
              <w:t>SDG</w:t>
            </w:r>
          </w:p>
        </w:tc>
        <w:tc>
          <w:tcPr>
            <w:tcW w:w="7506" w:type="dxa"/>
          </w:tcPr>
          <w:p w14:paraId="2CAA6BF2"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Sustainable Development Goals</w:t>
            </w:r>
          </w:p>
        </w:tc>
      </w:tr>
      <w:tr w:rsidR="004D407A" w:rsidRPr="004D407A" w14:paraId="63EEAEA2"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7CF4371A" w14:textId="77777777" w:rsidR="00617565" w:rsidRPr="004D407A" w:rsidRDefault="00617565" w:rsidP="0077335D">
            <w:pPr>
              <w:spacing w:after="20"/>
              <w:rPr>
                <w:rFonts w:ascii="Arial" w:hAnsi="Arial"/>
                <w:b w:val="0"/>
                <w:bCs w:val="0"/>
              </w:rPr>
            </w:pPr>
            <w:r w:rsidRPr="004D407A">
              <w:rPr>
                <w:rFonts w:ascii="Arial" w:hAnsi="Arial"/>
                <w:b w:val="0"/>
                <w:bCs w:val="0"/>
              </w:rPr>
              <w:t>SIA</w:t>
            </w:r>
          </w:p>
        </w:tc>
        <w:tc>
          <w:tcPr>
            <w:tcW w:w="7506" w:type="dxa"/>
          </w:tcPr>
          <w:p w14:paraId="3FF2E2AC"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Supplemental Immunization Activity </w:t>
            </w:r>
          </w:p>
        </w:tc>
      </w:tr>
      <w:tr w:rsidR="004D407A" w:rsidRPr="004D407A" w14:paraId="3F4FD797"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56AE67FF" w14:textId="77777777" w:rsidR="00617565" w:rsidRPr="004D407A" w:rsidRDefault="00617565" w:rsidP="0077335D">
            <w:pPr>
              <w:spacing w:after="20"/>
              <w:rPr>
                <w:rFonts w:ascii="Arial" w:hAnsi="Arial" w:cs="DIN"/>
                <w:b w:val="0"/>
                <w:bCs w:val="0"/>
              </w:rPr>
            </w:pPr>
            <w:r w:rsidRPr="004D407A">
              <w:rPr>
                <w:rFonts w:ascii="Arial" w:hAnsi="Arial" w:cs="DIN"/>
                <w:b w:val="0"/>
                <w:bCs w:val="0"/>
              </w:rPr>
              <w:t>SIMO</w:t>
            </w:r>
          </w:p>
        </w:tc>
        <w:tc>
          <w:tcPr>
            <w:tcW w:w="7506" w:type="dxa"/>
          </w:tcPr>
          <w:p w14:paraId="7BD89818"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cs="DIN"/>
              </w:rPr>
              <w:t>Surveillance and Immunization Medical officer</w:t>
            </w:r>
          </w:p>
        </w:tc>
      </w:tr>
      <w:tr w:rsidR="004D407A" w:rsidRPr="004D407A" w14:paraId="56009268"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750E93E5" w14:textId="77777777" w:rsidR="00617565" w:rsidRPr="004D407A" w:rsidRDefault="00617565" w:rsidP="0077335D">
            <w:pPr>
              <w:spacing w:after="20"/>
              <w:rPr>
                <w:rFonts w:ascii="Arial" w:hAnsi="Arial" w:cs="DIN"/>
                <w:b w:val="0"/>
                <w:bCs w:val="0"/>
              </w:rPr>
            </w:pPr>
            <w:r w:rsidRPr="004D407A">
              <w:rPr>
                <w:rFonts w:ascii="Arial" w:hAnsi="Arial" w:cs="DIN"/>
                <w:b w:val="0"/>
                <w:bCs w:val="0"/>
              </w:rPr>
              <w:t>SIP</w:t>
            </w:r>
          </w:p>
        </w:tc>
        <w:tc>
          <w:tcPr>
            <w:tcW w:w="7506" w:type="dxa"/>
          </w:tcPr>
          <w:p w14:paraId="4B4CA270"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cs="DIN"/>
              </w:rPr>
            </w:pPr>
            <w:r w:rsidRPr="004D407A">
              <w:rPr>
                <w:rFonts w:ascii="Arial" w:hAnsi="Arial" w:cs="DIN"/>
              </w:rPr>
              <w:t>Strategic Investment Plan</w:t>
            </w:r>
          </w:p>
        </w:tc>
      </w:tr>
      <w:tr w:rsidR="004D407A" w:rsidRPr="004D407A" w14:paraId="1FC99D86"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6EFD72F3" w14:textId="77777777" w:rsidR="00617565" w:rsidRPr="004D407A" w:rsidRDefault="00617565" w:rsidP="0077335D">
            <w:pPr>
              <w:spacing w:after="20"/>
              <w:rPr>
                <w:rFonts w:ascii="Arial" w:hAnsi="Arial" w:cs="DIN"/>
                <w:b w:val="0"/>
                <w:bCs w:val="0"/>
              </w:rPr>
            </w:pPr>
            <w:r w:rsidRPr="004D407A">
              <w:rPr>
                <w:rFonts w:ascii="Arial" w:hAnsi="Arial" w:cs="DIN"/>
                <w:b w:val="0"/>
                <w:bCs w:val="0"/>
              </w:rPr>
              <w:t>SMF</w:t>
            </w:r>
          </w:p>
        </w:tc>
        <w:tc>
          <w:tcPr>
            <w:tcW w:w="7506" w:type="dxa"/>
          </w:tcPr>
          <w:p w14:paraId="0C2FC5F2"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cs="DIN"/>
              </w:rPr>
              <w:t>State Medical Faculty</w:t>
            </w:r>
          </w:p>
        </w:tc>
      </w:tr>
      <w:tr w:rsidR="004D407A" w:rsidRPr="004D407A" w14:paraId="24275EBC"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14ACD188" w14:textId="77777777" w:rsidR="00617565" w:rsidRPr="004D407A" w:rsidRDefault="00617565" w:rsidP="0077335D">
            <w:pPr>
              <w:spacing w:after="20"/>
              <w:rPr>
                <w:rFonts w:ascii="Arial" w:hAnsi="Arial" w:cs="DIN"/>
                <w:b w:val="0"/>
                <w:bCs w:val="0"/>
              </w:rPr>
            </w:pPr>
            <w:r w:rsidRPr="004D407A">
              <w:rPr>
                <w:rFonts w:ascii="Arial" w:hAnsi="Arial" w:cs="DIN"/>
                <w:b w:val="0"/>
                <w:bCs w:val="0"/>
              </w:rPr>
              <w:t>TBA</w:t>
            </w:r>
          </w:p>
        </w:tc>
        <w:tc>
          <w:tcPr>
            <w:tcW w:w="7506" w:type="dxa"/>
          </w:tcPr>
          <w:p w14:paraId="44EF1C8E"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cs="DIN"/>
              </w:rPr>
            </w:pPr>
            <w:r w:rsidRPr="004D407A">
              <w:rPr>
                <w:rFonts w:ascii="Arial" w:hAnsi="Arial" w:cs="DIN"/>
              </w:rPr>
              <w:t>Traditional birth attendants</w:t>
            </w:r>
          </w:p>
        </w:tc>
      </w:tr>
      <w:tr w:rsidR="004D407A" w:rsidRPr="004D407A" w14:paraId="26224592"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156A2266" w14:textId="77777777" w:rsidR="00617565" w:rsidRPr="004D407A" w:rsidRDefault="00617565" w:rsidP="0077335D">
            <w:pPr>
              <w:spacing w:after="20"/>
              <w:rPr>
                <w:rFonts w:ascii="Arial" w:hAnsi="Arial" w:cs="DIN"/>
                <w:b w:val="0"/>
                <w:bCs w:val="0"/>
              </w:rPr>
            </w:pPr>
            <w:r w:rsidRPr="004D407A">
              <w:rPr>
                <w:rFonts w:ascii="Arial" w:hAnsi="Arial" w:cs="DIN"/>
                <w:b w:val="0"/>
                <w:bCs w:val="0"/>
              </w:rPr>
              <w:t>Td</w:t>
            </w:r>
          </w:p>
        </w:tc>
        <w:tc>
          <w:tcPr>
            <w:tcW w:w="7506" w:type="dxa"/>
          </w:tcPr>
          <w:p w14:paraId="23B65D33"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cs="DIN"/>
              </w:rPr>
            </w:pPr>
            <w:r w:rsidRPr="004D407A">
              <w:rPr>
                <w:rFonts w:ascii="Arial" w:hAnsi="Arial" w:cs="DIN"/>
              </w:rPr>
              <w:t>Tetanus-diphtheria [vaccine]</w:t>
            </w:r>
          </w:p>
        </w:tc>
      </w:tr>
      <w:tr w:rsidR="004D407A" w:rsidRPr="004D407A" w14:paraId="47EC8B92"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0BD3B5ED" w14:textId="77777777" w:rsidR="00617565" w:rsidRPr="004D407A" w:rsidRDefault="00617565" w:rsidP="0077335D">
            <w:pPr>
              <w:spacing w:after="20"/>
              <w:rPr>
                <w:rFonts w:ascii="Arial" w:hAnsi="Arial"/>
                <w:b w:val="0"/>
                <w:bCs w:val="0"/>
              </w:rPr>
            </w:pPr>
            <w:r w:rsidRPr="004D407A">
              <w:rPr>
                <w:rFonts w:ascii="Arial" w:hAnsi="Arial"/>
                <w:b w:val="0"/>
                <w:bCs w:val="0"/>
              </w:rPr>
              <w:t>TT</w:t>
            </w:r>
          </w:p>
        </w:tc>
        <w:tc>
          <w:tcPr>
            <w:tcW w:w="7506" w:type="dxa"/>
          </w:tcPr>
          <w:p w14:paraId="53F70E4D"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Tetanus Toxoid    </w:t>
            </w:r>
          </w:p>
        </w:tc>
      </w:tr>
      <w:tr w:rsidR="004D407A" w:rsidRPr="004D407A" w14:paraId="310C5CB8"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58B33395" w14:textId="77777777" w:rsidR="00617565" w:rsidRPr="004D407A" w:rsidRDefault="00617565" w:rsidP="0077335D">
            <w:pPr>
              <w:spacing w:after="20"/>
              <w:rPr>
                <w:rFonts w:ascii="Arial" w:hAnsi="Arial"/>
                <w:b w:val="0"/>
                <w:bCs w:val="0"/>
              </w:rPr>
            </w:pPr>
            <w:r w:rsidRPr="004D407A">
              <w:rPr>
                <w:rFonts w:ascii="Arial" w:hAnsi="Arial"/>
                <w:b w:val="0"/>
                <w:bCs w:val="0"/>
              </w:rPr>
              <w:t>U5MR</w:t>
            </w:r>
          </w:p>
        </w:tc>
        <w:tc>
          <w:tcPr>
            <w:tcW w:w="7506" w:type="dxa"/>
          </w:tcPr>
          <w:p w14:paraId="6DCEC945"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Under Five Mortality Rate </w:t>
            </w:r>
          </w:p>
        </w:tc>
      </w:tr>
      <w:tr w:rsidR="004D407A" w:rsidRPr="004D407A" w14:paraId="3E703C0E"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424DD40A" w14:textId="77777777" w:rsidR="00617565" w:rsidRPr="004D407A" w:rsidRDefault="00617565" w:rsidP="0077335D">
            <w:pPr>
              <w:spacing w:after="20"/>
              <w:rPr>
                <w:rFonts w:ascii="Arial" w:hAnsi="Arial"/>
                <w:b w:val="0"/>
                <w:bCs w:val="0"/>
              </w:rPr>
            </w:pPr>
            <w:r w:rsidRPr="004D407A">
              <w:rPr>
                <w:rFonts w:ascii="Arial" w:hAnsi="Arial"/>
                <w:b w:val="0"/>
                <w:bCs w:val="0"/>
              </w:rPr>
              <w:t>UH&amp;FWC</w:t>
            </w:r>
          </w:p>
        </w:tc>
        <w:tc>
          <w:tcPr>
            <w:tcW w:w="7506" w:type="dxa"/>
          </w:tcPr>
          <w:p w14:paraId="3ECC4B44"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Union Health and Family Welfare Centers</w:t>
            </w:r>
          </w:p>
        </w:tc>
      </w:tr>
      <w:tr w:rsidR="004D407A" w:rsidRPr="004D407A" w14:paraId="17BBDEE5"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72BCC272" w14:textId="77777777" w:rsidR="00617565" w:rsidRPr="004D407A" w:rsidRDefault="00617565" w:rsidP="0077335D">
            <w:pPr>
              <w:spacing w:after="20"/>
              <w:rPr>
                <w:rFonts w:ascii="Arial" w:hAnsi="Arial"/>
                <w:b w:val="0"/>
                <w:bCs w:val="0"/>
              </w:rPr>
            </w:pPr>
            <w:r w:rsidRPr="004D407A">
              <w:rPr>
                <w:rFonts w:ascii="Arial" w:hAnsi="Arial"/>
                <w:b w:val="0"/>
                <w:bCs w:val="0"/>
              </w:rPr>
              <w:t>UHC</w:t>
            </w:r>
          </w:p>
        </w:tc>
        <w:tc>
          <w:tcPr>
            <w:tcW w:w="7506" w:type="dxa"/>
          </w:tcPr>
          <w:p w14:paraId="4E7C75B1"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Upazila Health Complex or Universal Health Coverage</w:t>
            </w:r>
          </w:p>
        </w:tc>
      </w:tr>
      <w:tr w:rsidR="004D407A" w:rsidRPr="004D407A" w14:paraId="72775B38"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1D62B7A2" w14:textId="77777777" w:rsidR="00617565" w:rsidRPr="004D407A" w:rsidRDefault="00617565" w:rsidP="0077335D">
            <w:pPr>
              <w:spacing w:after="20"/>
              <w:rPr>
                <w:rFonts w:ascii="Arial" w:hAnsi="Arial"/>
                <w:b w:val="0"/>
                <w:bCs w:val="0"/>
              </w:rPr>
            </w:pPr>
            <w:r w:rsidRPr="004D407A">
              <w:rPr>
                <w:rFonts w:ascii="Arial" w:hAnsi="Arial"/>
                <w:b w:val="0"/>
                <w:bCs w:val="0"/>
              </w:rPr>
              <w:t>UNICEF</w:t>
            </w:r>
          </w:p>
        </w:tc>
        <w:tc>
          <w:tcPr>
            <w:tcW w:w="7506" w:type="dxa"/>
          </w:tcPr>
          <w:p w14:paraId="6F2B7D6B"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United Nations Children’s Fund </w:t>
            </w:r>
          </w:p>
        </w:tc>
      </w:tr>
      <w:tr w:rsidR="004D407A" w:rsidRPr="004D407A" w14:paraId="3BEE73C8"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67F35C2B" w14:textId="77777777" w:rsidR="00617565" w:rsidRPr="004D407A" w:rsidRDefault="00617565" w:rsidP="0077335D">
            <w:pPr>
              <w:spacing w:after="20"/>
              <w:rPr>
                <w:rFonts w:ascii="Arial" w:hAnsi="Arial"/>
                <w:b w:val="0"/>
                <w:bCs w:val="0"/>
              </w:rPr>
            </w:pPr>
            <w:r w:rsidRPr="004D407A">
              <w:rPr>
                <w:rFonts w:ascii="Arial" w:hAnsi="Arial"/>
                <w:b w:val="0"/>
                <w:bCs w:val="0"/>
              </w:rPr>
              <w:t>VDPV</w:t>
            </w:r>
          </w:p>
        </w:tc>
        <w:tc>
          <w:tcPr>
            <w:tcW w:w="7506" w:type="dxa"/>
          </w:tcPr>
          <w:p w14:paraId="7E23BBF4"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Vaccine Derived Polio Virus</w:t>
            </w:r>
          </w:p>
        </w:tc>
      </w:tr>
      <w:tr w:rsidR="004D407A" w:rsidRPr="004D407A" w14:paraId="1E4CDDF5"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45DC881D" w14:textId="77777777" w:rsidR="00617565" w:rsidRPr="004D407A" w:rsidRDefault="00617565" w:rsidP="0077335D">
            <w:pPr>
              <w:spacing w:after="20"/>
              <w:rPr>
                <w:rFonts w:ascii="Arial" w:hAnsi="Arial"/>
                <w:b w:val="0"/>
                <w:bCs w:val="0"/>
              </w:rPr>
            </w:pPr>
            <w:r w:rsidRPr="004D407A">
              <w:rPr>
                <w:rFonts w:ascii="Arial" w:hAnsi="Arial"/>
                <w:b w:val="0"/>
                <w:bCs w:val="0"/>
              </w:rPr>
              <w:t>VPD</w:t>
            </w:r>
          </w:p>
        </w:tc>
        <w:tc>
          <w:tcPr>
            <w:tcW w:w="7506" w:type="dxa"/>
          </w:tcPr>
          <w:p w14:paraId="385E8CD0"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 xml:space="preserve">Vaccine Preventable Diseases </w:t>
            </w:r>
          </w:p>
        </w:tc>
      </w:tr>
      <w:tr w:rsidR="004D407A" w:rsidRPr="004D407A" w14:paraId="01F4B14A"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05EBC40B" w14:textId="77777777" w:rsidR="00617565" w:rsidRPr="004D407A" w:rsidRDefault="00617565" w:rsidP="0077335D">
            <w:pPr>
              <w:spacing w:after="20"/>
              <w:rPr>
                <w:rFonts w:ascii="Arial" w:hAnsi="Arial"/>
                <w:b w:val="0"/>
                <w:bCs w:val="0"/>
              </w:rPr>
            </w:pPr>
            <w:r w:rsidRPr="004D407A">
              <w:rPr>
                <w:rFonts w:ascii="Arial" w:hAnsi="Arial"/>
                <w:b w:val="0"/>
                <w:bCs w:val="0"/>
              </w:rPr>
              <w:t>VVM</w:t>
            </w:r>
          </w:p>
        </w:tc>
        <w:tc>
          <w:tcPr>
            <w:tcW w:w="7506" w:type="dxa"/>
          </w:tcPr>
          <w:p w14:paraId="40CC8AC6"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Vaccine Vial Monitor </w:t>
            </w:r>
          </w:p>
        </w:tc>
      </w:tr>
      <w:tr w:rsidR="004D407A" w:rsidRPr="004D407A" w14:paraId="29414B34"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234211D1" w14:textId="77777777" w:rsidR="00617565" w:rsidRPr="004D407A" w:rsidRDefault="00617565" w:rsidP="0077335D">
            <w:pPr>
              <w:spacing w:after="20"/>
              <w:rPr>
                <w:rFonts w:ascii="Arial" w:hAnsi="Arial"/>
                <w:b w:val="0"/>
                <w:bCs w:val="0"/>
              </w:rPr>
            </w:pPr>
            <w:r w:rsidRPr="004D407A">
              <w:rPr>
                <w:rFonts w:ascii="Arial" w:hAnsi="Arial"/>
                <w:b w:val="0"/>
                <w:bCs w:val="0"/>
              </w:rPr>
              <w:t>WB</w:t>
            </w:r>
          </w:p>
        </w:tc>
        <w:tc>
          <w:tcPr>
            <w:tcW w:w="7506" w:type="dxa"/>
          </w:tcPr>
          <w:p w14:paraId="38B23FAB"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World Bank</w:t>
            </w:r>
          </w:p>
        </w:tc>
      </w:tr>
      <w:tr w:rsidR="004D407A" w:rsidRPr="004D407A" w14:paraId="4E2FFC59"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48EED9B0" w14:textId="77777777" w:rsidR="00617565" w:rsidRPr="004D407A" w:rsidRDefault="00617565" w:rsidP="0077335D">
            <w:pPr>
              <w:spacing w:after="20"/>
              <w:rPr>
                <w:rFonts w:ascii="Arial" w:hAnsi="Arial"/>
                <w:b w:val="0"/>
                <w:bCs w:val="0"/>
              </w:rPr>
            </w:pPr>
            <w:r w:rsidRPr="004D407A">
              <w:rPr>
                <w:rFonts w:ascii="Arial" w:hAnsi="Arial"/>
                <w:b w:val="0"/>
                <w:bCs w:val="0"/>
              </w:rPr>
              <w:t>WHA</w:t>
            </w:r>
          </w:p>
        </w:tc>
        <w:tc>
          <w:tcPr>
            <w:tcW w:w="7506" w:type="dxa"/>
          </w:tcPr>
          <w:p w14:paraId="0E221FF0"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 xml:space="preserve">World Health Assembly </w:t>
            </w:r>
          </w:p>
        </w:tc>
      </w:tr>
      <w:tr w:rsidR="004D407A" w:rsidRPr="004D407A" w14:paraId="305517AA"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21F0CB15" w14:textId="77777777" w:rsidR="00617565" w:rsidRPr="004D407A" w:rsidRDefault="00617565" w:rsidP="0077335D">
            <w:pPr>
              <w:spacing w:after="20"/>
              <w:rPr>
                <w:rFonts w:ascii="Arial" w:hAnsi="Arial"/>
                <w:b w:val="0"/>
                <w:bCs w:val="0"/>
              </w:rPr>
            </w:pPr>
            <w:r w:rsidRPr="004D407A">
              <w:rPr>
                <w:rFonts w:ascii="Arial" w:hAnsi="Arial"/>
                <w:b w:val="0"/>
                <w:bCs w:val="0"/>
              </w:rPr>
              <w:t>WHO</w:t>
            </w:r>
          </w:p>
        </w:tc>
        <w:tc>
          <w:tcPr>
            <w:tcW w:w="7506" w:type="dxa"/>
          </w:tcPr>
          <w:p w14:paraId="2DABBBEC"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World Health Organization</w:t>
            </w:r>
          </w:p>
        </w:tc>
      </w:tr>
      <w:tr w:rsidR="004D407A" w:rsidRPr="004D407A" w14:paraId="6CD07C1E" w14:textId="77777777" w:rsidTr="0061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4B79A0CF" w14:textId="77777777" w:rsidR="00617565" w:rsidRPr="004D407A" w:rsidRDefault="00617565" w:rsidP="0077335D">
            <w:pPr>
              <w:spacing w:after="20"/>
              <w:rPr>
                <w:rFonts w:ascii="Arial" w:hAnsi="Arial"/>
                <w:b w:val="0"/>
                <w:bCs w:val="0"/>
              </w:rPr>
            </w:pPr>
            <w:r w:rsidRPr="004D407A">
              <w:rPr>
                <w:rFonts w:ascii="Arial" w:hAnsi="Arial"/>
                <w:b w:val="0"/>
                <w:bCs w:val="0"/>
              </w:rPr>
              <w:t>WICR</w:t>
            </w:r>
          </w:p>
        </w:tc>
        <w:tc>
          <w:tcPr>
            <w:tcW w:w="7506" w:type="dxa"/>
          </w:tcPr>
          <w:p w14:paraId="141B0D0E" w14:textId="77777777" w:rsidR="00617565" w:rsidRPr="004D407A" w:rsidRDefault="00617565" w:rsidP="0077335D">
            <w:pPr>
              <w:spacing w:after="20"/>
              <w:cnfStyle w:val="000000100000" w:firstRow="0" w:lastRow="0" w:firstColumn="0" w:lastColumn="0" w:oddVBand="0" w:evenVBand="0" w:oddHBand="1" w:evenHBand="0" w:firstRowFirstColumn="0" w:firstRowLastColumn="0" w:lastRowFirstColumn="0" w:lastRowLastColumn="0"/>
              <w:rPr>
                <w:rFonts w:ascii="Arial" w:hAnsi="Arial"/>
              </w:rPr>
            </w:pPr>
            <w:r w:rsidRPr="004D407A">
              <w:rPr>
                <w:rFonts w:ascii="Arial" w:hAnsi="Arial"/>
              </w:rPr>
              <w:t>Walk in Cold Room</w:t>
            </w:r>
          </w:p>
        </w:tc>
      </w:tr>
      <w:tr w:rsidR="004D407A" w:rsidRPr="004D407A" w14:paraId="14B8DDDE" w14:textId="77777777" w:rsidTr="00617565">
        <w:tc>
          <w:tcPr>
            <w:cnfStyle w:val="001000000000" w:firstRow="0" w:lastRow="0" w:firstColumn="1" w:lastColumn="0" w:oddVBand="0" w:evenVBand="0" w:oddHBand="0" w:evenHBand="0" w:firstRowFirstColumn="0" w:firstRowLastColumn="0" w:lastRowFirstColumn="0" w:lastRowLastColumn="0"/>
            <w:tcW w:w="1520" w:type="dxa"/>
          </w:tcPr>
          <w:p w14:paraId="15368748" w14:textId="77777777" w:rsidR="00617565" w:rsidRPr="004D407A" w:rsidRDefault="00617565" w:rsidP="0077335D">
            <w:pPr>
              <w:spacing w:after="20"/>
              <w:rPr>
                <w:rFonts w:ascii="Arial" w:hAnsi="Arial"/>
                <w:b w:val="0"/>
                <w:bCs w:val="0"/>
              </w:rPr>
            </w:pPr>
            <w:r w:rsidRPr="004D407A">
              <w:rPr>
                <w:rFonts w:ascii="Arial" w:hAnsi="Arial"/>
                <w:b w:val="0"/>
                <w:bCs w:val="0"/>
              </w:rPr>
              <w:t>WPV</w:t>
            </w:r>
          </w:p>
        </w:tc>
        <w:tc>
          <w:tcPr>
            <w:tcW w:w="7506" w:type="dxa"/>
          </w:tcPr>
          <w:p w14:paraId="67F09CB6" w14:textId="77777777" w:rsidR="00617565" w:rsidRPr="004D407A" w:rsidRDefault="00617565" w:rsidP="0077335D">
            <w:pPr>
              <w:spacing w:after="20"/>
              <w:cnfStyle w:val="000000000000" w:firstRow="0" w:lastRow="0" w:firstColumn="0" w:lastColumn="0" w:oddVBand="0" w:evenVBand="0" w:oddHBand="0" w:evenHBand="0" w:firstRowFirstColumn="0" w:firstRowLastColumn="0" w:lastRowFirstColumn="0" w:lastRowLastColumn="0"/>
              <w:rPr>
                <w:rFonts w:ascii="Arial" w:hAnsi="Arial"/>
              </w:rPr>
            </w:pPr>
            <w:r w:rsidRPr="004D407A">
              <w:rPr>
                <w:rFonts w:ascii="Arial" w:hAnsi="Arial"/>
              </w:rPr>
              <w:t>Wild Polio Virus</w:t>
            </w:r>
          </w:p>
        </w:tc>
      </w:tr>
    </w:tbl>
    <w:p w14:paraId="0B1F3FAD" w14:textId="77777777" w:rsidR="006C59B8" w:rsidRPr="004D407A" w:rsidRDefault="006C59B8" w:rsidP="006C59B8"/>
    <w:p w14:paraId="5D6AE3C2" w14:textId="77777777" w:rsidR="006C59B8" w:rsidRPr="004D407A" w:rsidRDefault="006C59B8" w:rsidP="006C59B8">
      <w:pPr>
        <w:sectPr w:rsidR="006C59B8" w:rsidRPr="004D407A" w:rsidSect="00DE4F1F">
          <w:headerReference w:type="default" r:id="rId9"/>
          <w:footerReference w:type="default" r:id="rId10"/>
          <w:pgSz w:w="11907" w:h="16840" w:code="9"/>
          <w:pgMar w:top="1440" w:right="1157" w:bottom="1440" w:left="1724" w:header="709" w:footer="709" w:gutter="0"/>
          <w:pgNumType w:fmt="numberInDash"/>
          <w:cols w:space="708"/>
          <w:titlePg/>
          <w:docGrid w:linePitch="360"/>
        </w:sectPr>
      </w:pPr>
    </w:p>
    <w:p w14:paraId="68B07E4A" w14:textId="77777777" w:rsidR="007810E6" w:rsidRPr="004D407A" w:rsidRDefault="00B37F08" w:rsidP="00D21750">
      <w:pPr>
        <w:pStyle w:val="Heading1"/>
        <w:numPr>
          <w:ilvl w:val="0"/>
          <w:numId w:val="0"/>
        </w:numPr>
        <w:ind w:left="-851" w:firstLine="851"/>
        <w:rPr>
          <w:color w:val="auto"/>
        </w:rPr>
      </w:pPr>
      <w:bookmarkStart w:id="0" w:name="_Toc489491465"/>
      <w:bookmarkStart w:id="1" w:name="_Toc111910214"/>
      <w:r w:rsidRPr="004D407A">
        <w:rPr>
          <w:color w:val="auto"/>
        </w:rPr>
        <w:lastRenderedPageBreak/>
        <w:t>Executive Summary (Dashboard)</w:t>
      </w:r>
      <w:bookmarkEnd w:id="0"/>
      <w:bookmarkEnd w:id="1"/>
    </w:p>
    <w:tbl>
      <w:tblPr>
        <w:tblStyle w:val="TableGrid"/>
        <w:tblW w:w="0" w:type="auto"/>
        <w:tblLook w:val="04A0" w:firstRow="1" w:lastRow="0" w:firstColumn="1" w:lastColumn="0" w:noHBand="0" w:noVBand="1"/>
      </w:tblPr>
      <w:tblGrid>
        <w:gridCol w:w="4887"/>
        <w:gridCol w:w="4128"/>
      </w:tblGrid>
      <w:tr w:rsidR="004D407A" w:rsidRPr="004D407A" w14:paraId="16E53B32" w14:textId="77777777" w:rsidTr="00C0647B">
        <w:trPr>
          <w:cnfStyle w:val="100000000000" w:firstRow="1" w:lastRow="0" w:firstColumn="0" w:lastColumn="0" w:oddVBand="0" w:evenVBand="0" w:oddHBand="0" w:evenHBand="0" w:firstRowFirstColumn="0" w:firstRowLastColumn="0" w:lastRowFirstColumn="0" w:lastRowLastColumn="0"/>
          <w:trHeight w:val="336"/>
        </w:trPr>
        <w:tc>
          <w:tcPr>
            <w:tcW w:w="9020" w:type="dxa"/>
            <w:gridSpan w:val="2"/>
            <w:shd w:val="clear" w:color="auto" w:fill="002060"/>
          </w:tcPr>
          <w:p w14:paraId="1700DB2E" w14:textId="25764655" w:rsidR="00050401" w:rsidRPr="004D407A" w:rsidRDefault="00892D80" w:rsidP="005F5738">
            <w:pPr>
              <w:jc w:val="center"/>
              <w:rPr>
                <w:b/>
                <w:sz w:val="28"/>
              </w:rPr>
            </w:pPr>
            <w:r w:rsidRPr="004D407A">
              <w:rPr>
                <w:b/>
                <w:sz w:val="28"/>
              </w:rPr>
              <w:t>NIS</w:t>
            </w:r>
            <w:r w:rsidR="00050401" w:rsidRPr="004D407A">
              <w:rPr>
                <w:b/>
                <w:sz w:val="28"/>
              </w:rPr>
              <w:t xml:space="preserve"> 20</w:t>
            </w:r>
            <w:r w:rsidRPr="004D407A">
              <w:rPr>
                <w:b/>
                <w:sz w:val="28"/>
              </w:rPr>
              <w:t>23</w:t>
            </w:r>
            <w:r w:rsidR="00050401" w:rsidRPr="004D407A">
              <w:rPr>
                <w:b/>
                <w:sz w:val="28"/>
              </w:rPr>
              <w:t>-202</w:t>
            </w:r>
            <w:r w:rsidRPr="004D407A">
              <w:rPr>
                <w:b/>
                <w:sz w:val="28"/>
              </w:rPr>
              <w:t>7</w:t>
            </w:r>
            <w:r w:rsidR="00050401" w:rsidRPr="004D407A">
              <w:rPr>
                <w:b/>
                <w:sz w:val="28"/>
              </w:rPr>
              <w:t xml:space="preserve"> summary</w:t>
            </w:r>
          </w:p>
        </w:tc>
      </w:tr>
      <w:tr w:rsidR="004D407A" w:rsidRPr="004D407A" w14:paraId="4C6C25AD" w14:textId="77777777" w:rsidTr="00C0647B">
        <w:trPr>
          <w:trHeight w:val="336"/>
        </w:trPr>
        <w:tc>
          <w:tcPr>
            <w:tcW w:w="4877" w:type="dxa"/>
          </w:tcPr>
          <w:p w14:paraId="731CAB94" w14:textId="77777777" w:rsidR="00050401" w:rsidRPr="004D407A" w:rsidRDefault="00050401" w:rsidP="005F5738">
            <w:pPr>
              <w:keepNext/>
              <w:spacing w:before="20"/>
              <w:rPr>
                <w:b/>
                <w:sz w:val="26"/>
              </w:rPr>
            </w:pPr>
            <w:r w:rsidRPr="004D407A">
              <w:rPr>
                <w:b/>
                <w:sz w:val="26"/>
              </w:rPr>
              <w:t xml:space="preserve">National immunization </w:t>
            </w:r>
            <w:r w:rsidR="00FB5819" w:rsidRPr="004D407A">
              <w:rPr>
                <w:b/>
                <w:sz w:val="26"/>
              </w:rPr>
              <w:t>objectives</w:t>
            </w:r>
          </w:p>
        </w:tc>
        <w:tc>
          <w:tcPr>
            <w:tcW w:w="4143" w:type="dxa"/>
          </w:tcPr>
          <w:p w14:paraId="2DEF325F" w14:textId="77777777" w:rsidR="00050401" w:rsidRPr="004D407A" w:rsidRDefault="00FB5819" w:rsidP="005F5738">
            <w:pPr>
              <w:keepNext/>
              <w:spacing w:before="20"/>
              <w:rPr>
                <w:b/>
                <w:sz w:val="26"/>
              </w:rPr>
            </w:pPr>
            <w:r w:rsidRPr="004D407A">
              <w:rPr>
                <w:b/>
                <w:sz w:val="26"/>
              </w:rPr>
              <w:t>Immunization program strategies</w:t>
            </w:r>
          </w:p>
        </w:tc>
      </w:tr>
      <w:tr w:rsidR="004D407A" w:rsidRPr="004D407A" w14:paraId="03306EB0" w14:textId="77777777" w:rsidTr="00C0647B">
        <w:trPr>
          <w:trHeight w:val="4572"/>
        </w:trPr>
        <w:tc>
          <w:tcPr>
            <w:tcW w:w="4877" w:type="dxa"/>
          </w:tcPr>
          <w:p w14:paraId="72CAD8D7" w14:textId="09BDA1A8" w:rsidR="00784917" w:rsidRPr="004D407A" w:rsidRDefault="00892D80" w:rsidP="00784917">
            <w:pPr>
              <w:pStyle w:val="ListBulletT"/>
              <w:rPr>
                <w:sz w:val="16"/>
              </w:rPr>
            </w:pPr>
            <w:r w:rsidRPr="004D407A">
              <w:rPr>
                <w:sz w:val="16"/>
                <w:lang w:val="en-GB"/>
              </w:rPr>
              <w:t xml:space="preserve">Achieve and maintain target vaccination coverage rates among </w:t>
            </w:r>
            <w:r w:rsidR="000B11D4" w:rsidRPr="004D407A">
              <w:rPr>
                <w:sz w:val="16"/>
                <w:lang w:val="en-GB"/>
              </w:rPr>
              <w:t>children under</w:t>
            </w:r>
            <w:r w:rsidRPr="004D407A">
              <w:rPr>
                <w:sz w:val="16"/>
                <w:lang w:val="en-GB"/>
              </w:rPr>
              <w:t xml:space="preserve"> 24 months and CBAW</w:t>
            </w:r>
          </w:p>
          <w:p w14:paraId="2333A251" w14:textId="1AA2165C" w:rsidR="00892D80" w:rsidRPr="004D407A" w:rsidRDefault="00892D80" w:rsidP="00892D80">
            <w:pPr>
              <w:pStyle w:val="ListBulletT"/>
              <w:numPr>
                <w:ilvl w:val="1"/>
                <w:numId w:val="1"/>
              </w:numPr>
              <w:rPr>
                <w:sz w:val="16"/>
              </w:rPr>
            </w:pPr>
            <w:r w:rsidRPr="004D407A">
              <w:rPr>
                <w:sz w:val="16"/>
              </w:rPr>
              <w:t>At least 95% of full vaccination coverage of children at the national level</w:t>
            </w:r>
          </w:p>
          <w:p w14:paraId="5740829D" w14:textId="76ED2930" w:rsidR="00892D80" w:rsidRPr="004D407A" w:rsidRDefault="00892D80" w:rsidP="00892D80">
            <w:pPr>
              <w:pStyle w:val="ListBulletT"/>
              <w:numPr>
                <w:ilvl w:val="1"/>
                <w:numId w:val="1"/>
              </w:numPr>
              <w:rPr>
                <w:sz w:val="16"/>
              </w:rPr>
            </w:pPr>
            <w:r w:rsidRPr="004D407A">
              <w:rPr>
                <w:sz w:val="16"/>
              </w:rPr>
              <w:t>At least 90% of full vaccination coverage of children at the sub-national level</w:t>
            </w:r>
          </w:p>
          <w:p w14:paraId="0352203C" w14:textId="4870A472" w:rsidR="00892D80" w:rsidRPr="004D407A" w:rsidRDefault="00892D80" w:rsidP="00892D80">
            <w:pPr>
              <w:pStyle w:val="ListBulletT"/>
              <w:numPr>
                <w:ilvl w:val="1"/>
                <w:numId w:val="1"/>
              </w:numPr>
              <w:rPr>
                <w:sz w:val="16"/>
              </w:rPr>
            </w:pPr>
            <w:r w:rsidRPr="004D407A">
              <w:rPr>
                <w:sz w:val="16"/>
              </w:rPr>
              <w:t>At least 80% coverage with Td5 at the national level</w:t>
            </w:r>
          </w:p>
          <w:p w14:paraId="246196BD" w14:textId="20054680" w:rsidR="00892D80" w:rsidRPr="004D407A" w:rsidRDefault="00892D80" w:rsidP="00892D80">
            <w:pPr>
              <w:pStyle w:val="ListBulletT"/>
              <w:numPr>
                <w:ilvl w:val="1"/>
                <w:numId w:val="1"/>
              </w:numPr>
              <w:rPr>
                <w:sz w:val="16"/>
              </w:rPr>
            </w:pPr>
            <w:r w:rsidRPr="004D407A">
              <w:rPr>
                <w:sz w:val="16"/>
              </w:rPr>
              <w:t>At least 75% coverage with Td5 at the sub-national level</w:t>
            </w:r>
          </w:p>
          <w:p w14:paraId="7AD5D9D8" w14:textId="7CE9477A" w:rsidR="00784917" w:rsidRPr="004D407A" w:rsidRDefault="00784917" w:rsidP="00784917">
            <w:pPr>
              <w:pStyle w:val="ListBulletT"/>
              <w:rPr>
                <w:sz w:val="16"/>
              </w:rPr>
            </w:pPr>
            <w:r w:rsidRPr="004D407A">
              <w:rPr>
                <w:sz w:val="16"/>
                <w:lang w:val="en-GB"/>
              </w:rPr>
              <w:t>Maintain polio free certification</w:t>
            </w:r>
            <w:r w:rsidR="00892D80" w:rsidRPr="004D407A">
              <w:rPr>
                <w:sz w:val="16"/>
                <w:lang w:val="en-GB"/>
              </w:rPr>
              <w:t xml:space="preserve"> </w:t>
            </w:r>
            <w:r w:rsidRPr="004D407A">
              <w:rPr>
                <w:sz w:val="16"/>
                <w:lang w:val="en-GB"/>
              </w:rPr>
              <w:t>status</w:t>
            </w:r>
          </w:p>
          <w:p w14:paraId="1C6811CD" w14:textId="3781109B" w:rsidR="00892D80" w:rsidRPr="004D407A" w:rsidRDefault="00892D80" w:rsidP="00784917">
            <w:pPr>
              <w:pStyle w:val="ListBulletT"/>
              <w:rPr>
                <w:sz w:val="16"/>
              </w:rPr>
            </w:pPr>
            <w:r w:rsidRPr="004D407A">
              <w:rPr>
                <w:sz w:val="16"/>
                <w:lang w:val="en-GB"/>
              </w:rPr>
              <w:t>Maintain MNT elimination status</w:t>
            </w:r>
          </w:p>
          <w:p w14:paraId="3AFD6E0B" w14:textId="4A84487B" w:rsidR="00784917" w:rsidRPr="004D407A" w:rsidRDefault="00892D80" w:rsidP="00784917">
            <w:pPr>
              <w:pStyle w:val="ListBulletT"/>
              <w:rPr>
                <w:sz w:val="16"/>
              </w:rPr>
            </w:pPr>
            <w:r w:rsidRPr="004D407A">
              <w:rPr>
                <w:sz w:val="16"/>
                <w:lang w:val="en-GB"/>
              </w:rPr>
              <w:t xml:space="preserve">Elimination of </w:t>
            </w:r>
            <w:r w:rsidR="00784917" w:rsidRPr="004D407A">
              <w:rPr>
                <w:sz w:val="16"/>
                <w:lang w:val="en-GB"/>
              </w:rPr>
              <w:t>measles</w:t>
            </w:r>
            <w:r w:rsidRPr="004D407A">
              <w:rPr>
                <w:sz w:val="16"/>
                <w:lang w:val="en-GB"/>
              </w:rPr>
              <w:t xml:space="preserve">, Rubella and </w:t>
            </w:r>
            <w:r w:rsidR="00784917" w:rsidRPr="004D407A">
              <w:rPr>
                <w:sz w:val="16"/>
                <w:lang w:val="en-GB"/>
              </w:rPr>
              <w:t>CRS by 202</w:t>
            </w:r>
            <w:r w:rsidRPr="004D407A">
              <w:rPr>
                <w:sz w:val="16"/>
                <w:lang w:val="en-GB"/>
              </w:rPr>
              <w:t>4</w:t>
            </w:r>
          </w:p>
          <w:p w14:paraId="6C53EC77" w14:textId="67EBC7AA" w:rsidR="00892D80" w:rsidRPr="004D407A" w:rsidRDefault="00892D80" w:rsidP="00784917">
            <w:pPr>
              <w:pStyle w:val="ListBulletT"/>
              <w:rPr>
                <w:sz w:val="16"/>
              </w:rPr>
            </w:pPr>
            <w:r w:rsidRPr="004D407A">
              <w:rPr>
                <w:sz w:val="16"/>
              </w:rPr>
              <w:t>Maintain Hepatitis B control through vaccination</w:t>
            </w:r>
          </w:p>
          <w:p w14:paraId="5B57A02B" w14:textId="1FD92341" w:rsidR="00892D80" w:rsidRPr="004D407A" w:rsidRDefault="00892D80" w:rsidP="00784917">
            <w:pPr>
              <w:pStyle w:val="ListBulletT"/>
              <w:rPr>
                <w:sz w:val="16"/>
              </w:rPr>
            </w:pPr>
            <w:r w:rsidRPr="004D407A">
              <w:rPr>
                <w:sz w:val="16"/>
              </w:rPr>
              <w:t xml:space="preserve">Ensure access and use of </w:t>
            </w:r>
            <w:r w:rsidR="00785F83" w:rsidRPr="004D407A">
              <w:rPr>
                <w:sz w:val="16"/>
              </w:rPr>
              <w:t>high-quality</w:t>
            </w:r>
            <w:r w:rsidRPr="004D407A">
              <w:rPr>
                <w:sz w:val="16"/>
              </w:rPr>
              <w:t xml:space="preserve"> vaccines</w:t>
            </w:r>
          </w:p>
          <w:p w14:paraId="3531190B" w14:textId="28C6C3D8" w:rsidR="00784917" w:rsidRPr="004D407A" w:rsidRDefault="00784917" w:rsidP="00784917">
            <w:pPr>
              <w:pStyle w:val="ListBulletT"/>
              <w:rPr>
                <w:sz w:val="16"/>
              </w:rPr>
            </w:pPr>
            <w:r w:rsidRPr="004D407A">
              <w:rPr>
                <w:sz w:val="16"/>
                <w:lang w:val="en-GB"/>
              </w:rPr>
              <w:t>Prevention of diseases protected by new and underused vaccines</w:t>
            </w:r>
          </w:p>
          <w:p w14:paraId="26D2EF1C" w14:textId="77777777" w:rsidR="00050401" w:rsidRPr="004D407A" w:rsidRDefault="00892D80" w:rsidP="00B21EDF">
            <w:pPr>
              <w:pStyle w:val="ListBulletT"/>
              <w:rPr>
                <w:sz w:val="16"/>
              </w:rPr>
            </w:pPr>
            <w:r w:rsidRPr="004D407A">
              <w:rPr>
                <w:sz w:val="16"/>
              </w:rPr>
              <w:t>Sustain operations of immunization system critical components while transition from external to the domestic sources of financing</w:t>
            </w:r>
          </w:p>
          <w:p w14:paraId="2D904477" w14:textId="706D2936" w:rsidR="00AD7E37" w:rsidRPr="004D407A" w:rsidRDefault="00AD7E37" w:rsidP="00AD7E37">
            <w:pPr>
              <w:pStyle w:val="ListBulletT"/>
              <w:numPr>
                <w:ilvl w:val="0"/>
                <w:numId w:val="0"/>
              </w:numPr>
              <w:ind w:left="227"/>
              <w:rPr>
                <w:sz w:val="16"/>
              </w:rPr>
            </w:pPr>
          </w:p>
        </w:tc>
        <w:tc>
          <w:tcPr>
            <w:tcW w:w="4143" w:type="dxa"/>
          </w:tcPr>
          <w:p w14:paraId="49B2F2A4" w14:textId="1BF00F13" w:rsidR="00172E8A" w:rsidRPr="004D407A" w:rsidRDefault="001D2398" w:rsidP="00172E8A">
            <w:pPr>
              <w:pStyle w:val="ListBulletT"/>
              <w:rPr>
                <w:sz w:val="16"/>
              </w:rPr>
            </w:pPr>
            <w:r w:rsidRPr="004D407A">
              <w:rPr>
                <w:sz w:val="16"/>
              </w:rPr>
              <w:t>Strengthening governance and management capacity of EPI</w:t>
            </w:r>
          </w:p>
          <w:p w14:paraId="637F0EE3" w14:textId="35DC0BCD" w:rsidR="001D2398" w:rsidRPr="004D407A" w:rsidRDefault="001D2398" w:rsidP="00172E8A">
            <w:pPr>
              <w:pStyle w:val="ListBulletT"/>
              <w:rPr>
                <w:sz w:val="16"/>
              </w:rPr>
            </w:pPr>
            <w:r w:rsidRPr="004D407A">
              <w:rPr>
                <w:sz w:val="16"/>
              </w:rPr>
              <w:t>Achieve coverage targets in urban areas (city corporations)</w:t>
            </w:r>
          </w:p>
          <w:p w14:paraId="55BD7E21" w14:textId="4647013A" w:rsidR="001D2398" w:rsidRPr="004D407A" w:rsidRDefault="001D2398" w:rsidP="00172E8A">
            <w:pPr>
              <w:pStyle w:val="ListBulletT"/>
              <w:rPr>
                <w:sz w:val="16"/>
              </w:rPr>
            </w:pPr>
            <w:r w:rsidRPr="004D407A">
              <w:rPr>
                <w:sz w:val="16"/>
              </w:rPr>
              <w:t>Design and implement creative approaches for increasing coverage in hard-to-reach areas, urban slums and among zero-dose and missed communities, ethnic minority groups and refugees</w:t>
            </w:r>
          </w:p>
          <w:p w14:paraId="2D06EF41" w14:textId="7CA24F4A" w:rsidR="001D2398" w:rsidRPr="004D407A" w:rsidRDefault="001D2398" w:rsidP="00172E8A">
            <w:pPr>
              <w:pStyle w:val="ListBulletT"/>
              <w:rPr>
                <w:sz w:val="16"/>
              </w:rPr>
            </w:pPr>
            <w:r w:rsidRPr="004D407A">
              <w:rPr>
                <w:sz w:val="16"/>
              </w:rPr>
              <w:t>Improve performance and strengthen sub-national level capacity in VPD surveillance, recording and reporting, AEFI monitoring and management</w:t>
            </w:r>
          </w:p>
          <w:p w14:paraId="79C8C9B5" w14:textId="4C35CC54" w:rsidR="001D2398" w:rsidRPr="004D407A" w:rsidRDefault="001D2398" w:rsidP="00172E8A">
            <w:pPr>
              <w:pStyle w:val="ListBulletT"/>
              <w:rPr>
                <w:sz w:val="16"/>
              </w:rPr>
            </w:pPr>
            <w:r w:rsidRPr="004D407A">
              <w:rPr>
                <w:sz w:val="16"/>
              </w:rPr>
              <w:t>Ensure high performance of cold-chain and logistics systems</w:t>
            </w:r>
          </w:p>
          <w:p w14:paraId="46EC85E9" w14:textId="672183F0" w:rsidR="001D2398" w:rsidRPr="004D407A" w:rsidRDefault="001D2398" w:rsidP="001D2398">
            <w:pPr>
              <w:pStyle w:val="ListBulletT"/>
              <w:rPr>
                <w:sz w:val="16"/>
              </w:rPr>
            </w:pPr>
            <w:r w:rsidRPr="004D407A">
              <w:rPr>
                <w:sz w:val="16"/>
              </w:rPr>
              <w:t xml:space="preserve">Increase uptake of vaccination in the low performing areas through accelerating demand generation strategic interventions: communication, community mobilization, IPC capacity </w:t>
            </w:r>
            <w:proofErr w:type="gramStart"/>
            <w:r w:rsidRPr="004D407A">
              <w:rPr>
                <w:sz w:val="16"/>
              </w:rPr>
              <w:t>and etc.</w:t>
            </w:r>
            <w:proofErr w:type="gramEnd"/>
          </w:p>
          <w:p w14:paraId="6362F30B" w14:textId="77777777" w:rsidR="00050401" w:rsidRPr="004D407A" w:rsidRDefault="001D2398" w:rsidP="00172E8A">
            <w:pPr>
              <w:pStyle w:val="ListBulletT"/>
              <w:rPr>
                <w:sz w:val="16"/>
              </w:rPr>
            </w:pPr>
            <w:r w:rsidRPr="004D407A">
              <w:rPr>
                <w:sz w:val="16"/>
              </w:rPr>
              <w:t>Strengthening capacity of NRA for accessing high quality vaccines</w:t>
            </w:r>
          </w:p>
          <w:p w14:paraId="129F4540" w14:textId="092FDAA2" w:rsidR="001D2398" w:rsidRPr="004D407A" w:rsidRDefault="001D2398" w:rsidP="00172E8A">
            <w:pPr>
              <w:pStyle w:val="ListBulletT"/>
              <w:rPr>
                <w:sz w:val="16"/>
              </w:rPr>
            </w:pPr>
            <w:r w:rsidRPr="004D407A">
              <w:rPr>
                <w:sz w:val="16"/>
              </w:rPr>
              <w:t>Advocate for sufficient and timely allocation of the funding for implementation of all EPI components</w:t>
            </w:r>
          </w:p>
        </w:tc>
      </w:tr>
      <w:tr w:rsidR="004D407A" w:rsidRPr="004D407A" w14:paraId="4281B09C" w14:textId="77777777" w:rsidTr="00C0647B">
        <w:trPr>
          <w:trHeight w:val="336"/>
        </w:trPr>
        <w:tc>
          <w:tcPr>
            <w:tcW w:w="4877" w:type="dxa"/>
          </w:tcPr>
          <w:p w14:paraId="7412FF85" w14:textId="4C357349" w:rsidR="00050401" w:rsidRPr="004D407A" w:rsidRDefault="00FB5819" w:rsidP="005F5738">
            <w:pPr>
              <w:keepNext/>
              <w:spacing w:before="20"/>
              <w:rPr>
                <w:b/>
                <w:sz w:val="26"/>
              </w:rPr>
            </w:pPr>
            <w:r w:rsidRPr="004D407A">
              <w:rPr>
                <w:b/>
                <w:sz w:val="26"/>
              </w:rPr>
              <w:t xml:space="preserve">Immunization performance </w:t>
            </w:r>
            <w:r w:rsidR="00620B6E" w:rsidRPr="004D407A">
              <w:rPr>
                <w:b/>
                <w:sz w:val="26"/>
              </w:rPr>
              <w:t>indicators and target</w:t>
            </w:r>
            <w:r w:rsidR="00C0647B" w:rsidRPr="004D407A">
              <w:rPr>
                <w:b/>
                <w:sz w:val="26"/>
              </w:rPr>
              <w:t>s to</w:t>
            </w:r>
            <w:r w:rsidR="00620B6E" w:rsidRPr="004D407A">
              <w:rPr>
                <w:b/>
                <w:sz w:val="26"/>
              </w:rPr>
              <w:t xml:space="preserve"> achieve by 202</w:t>
            </w:r>
            <w:r w:rsidR="00C0647B" w:rsidRPr="004D407A">
              <w:rPr>
                <w:b/>
                <w:sz w:val="26"/>
              </w:rPr>
              <w:t>7</w:t>
            </w:r>
          </w:p>
        </w:tc>
        <w:tc>
          <w:tcPr>
            <w:tcW w:w="4143" w:type="dxa"/>
          </w:tcPr>
          <w:p w14:paraId="17E18A41" w14:textId="77777777" w:rsidR="00050401" w:rsidRPr="004D407A" w:rsidRDefault="00FB5819" w:rsidP="005F5738">
            <w:pPr>
              <w:keepNext/>
              <w:spacing w:before="20"/>
              <w:rPr>
                <w:b/>
                <w:sz w:val="26"/>
              </w:rPr>
            </w:pPr>
            <w:r w:rsidRPr="004D407A">
              <w:rPr>
                <w:b/>
                <w:sz w:val="26"/>
              </w:rPr>
              <w:t>Major risks and challenges</w:t>
            </w:r>
          </w:p>
        </w:tc>
      </w:tr>
      <w:tr w:rsidR="004D407A" w:rsidRPr="004D407A" w14:paraId="555AFE6F" w14:textId="77777777" w:rsidTr="00C0647B">
        <w:trPr>
          <w:trHeight w:val="3540"/>
        </w:trPr>
        <w:tc>
          <w:tcPr>
            <w:tcW w:w="4877" w:type="dxa"/>
          </w:tcPr>
          <w:tbl>
            <w:tblPr>
              <w:tblW w:w="4651" w:type="dxa"/>
              <w:tblCellMar>
                <w:left w:w="0" w:type="dxa"/>
                <w:right w:w="0" w:type="dxa"/>
              </w:tblCellMar>
              <w:tblLook w:val="04A0" w:firstRow="1" w:lastRow="0" w:firstColumn="1" w:lastColumn="0" w:noHBand="0" w:noVBand="1"/>
            </w:tblPr>
            <w:tblGrid>
              <w:gridCol w:w="3137"/>
              <w:gridCol w:w="764"/>
              <w:gridCol w:w="750"/>
            </w:tblGrid>
            <w:tr w:rsidR="004D407A" w:rsidRPr="004D407A" w14:paraId="40B607F5" w14:textId="77777777" w:rsidTr="004D407A">
              <w:trPr>
                <w:trHeight w:val="230"/>
              </w:trPr>
              <w:tc>
                <w:tcPr>
                  <w:tcW w:w="3137" w:type="dxa"/>
                  <w:tcBorders>
                    <w:top w:val="single" w:sz="8" w:space="0" w:color="5B9BD5"/>
                    <w:left w:val="single" w:sz="8" w:space="0" w:color="5B9BD5"/>
                    <w:bottom w:val="single" w:sz="8" w:space="0" w:color="5B9BD5"/>
                    <w:right w:val="nil"/>
                  </w:tcBorders>
                  <w:shd w:val="clear" w:color="auto" w:fill="5B9BD5"/>
                  <w:tcMar>
                    <w:top w:w="0" w:type="dxa"/>
                    <w:left w:w="108" w:type="dxa"/>
                    <w:bottom w:w="0" w:type="dxa"/>
                    <w:right w:w="108" w:type="dxa"/>
                  </w:tcMar>
                  <w:vAlign w:val="center"/>
                  <w:hideMark/>
                </w:tcPr>
                <w:p w14:paraId="5C149C9A" w14:textId="77777777" w:rsidR="004D407A" w:rsidRPr="004D407A" w:rsidRDefault="004D407A" w:rsidP="004D407A">
                  <w:pPr>
                    <w:spacing w:before="20" w:after="20"/>
                    <w:rPr>
                      <w:sz w:val="16"/>
                      <w:szCs w:val="16"/>
                    </w:rPr>
                  </w:pPr>
                  <w:r w:rsidRPr="004D407A">
                    <w:rPr>
                      <w:b/>
                      <w:bCs/>
                      <w:sz w:val="16"/>
                      <w:szCs w:val="16"/>
                    </w:rPr>
                    <w:t>Indicator*</w:t>
                  </w:r>
                </w:p>
              </w:tc>
              <w:tc>
                <w:tcPr>
                  <w:tcW w:w="764" w:type="dxa"/>
                  <w:tcBorders>
                    <w:top w:val="single" w:sz="8" w:space="0" w:color="5B9BD5"/>
                    <w:left w:val="nil"/>
                    <w:bottom w:val="single" w:sz="8" w:space="0" w:color="5B9BD5"/>
                    <w:right w:val="nil"/>
                  </w:tcBorders>
                  <w:shd w:val="clear" w:color="auto" w:fill="5B9BD5"/>
                  <w:noWrap/>
                  <w:tcMar>
                    <w:top w:w="0" w:type="dxa"/>
                    <w:left w:w="108" w:type="dxa"/>
                    <w:bottom w:w="0" w:type="dxa"/>
                    <w:right w:w="108" w:type="dxa"/>
                  </w:tcMar>
                  <w:vAlign w:val="center"/>
                  <w:hideMark/>
                </w:tcPr>
                <w:p w14:paraId="1DC89BA9" w14:textId="77777777" w:rsidR="004D407A" w:rsidRPr="004D407A" w:rsidRDefault="004D407A" w:rsidP="004D407A">
                  <w:pPr>
                    <w:spacing w:before="20" w:after="20"/>
                    <w:jc w:val="right"/>
                    <w:rPr>
                      <w:sz w:val="16"/>
                      <w:szCs w:val="16"/>
                    </w:rPr>
                  </w:pPr>
                  <w:r w:rsidRPr="004D407A">
                    <w:rPr>
                      <w:b/>
                      <w:bCs/>
                      <w:sz w:val="16"/>
                      <w:szCs w:val="16"/>
                    </w:rPr>
                    <w:t>2021</w:t>
                  </w:r>
                </w:p>
              </w:tc>
              <w:tc>
                <w:tcPr>
                  <w:tcW w:w="750" w:type="dxa"/>
                  <w:tcBorders>
                    <w:top w:val="single" w:sz="8" w:space="0" w:color="5B9BD5"/>
                    <w:left w:val="nil"/>
                    <w:bottom w:val="single" w:sz="8" w:space="0" w:color="5B9BD5"/>
                    <w:right w:val="single" w:sz="8" w:space="0" w:color="5B9BD5"/>
                  </w:tcBorders>
                  <w:shd w:val="clear" w:color="auto" w:fill="5B9BD5"/>
                  <w:noWrap/>
                  <w:tcMar>
                    <w:top w:w="0" w:type="dxa"/>
                    <w:left w:w="108" w:type="dxa"/>
                    <w:bottom w:w="0" w:type="dxa"/>
                    <w:right w:w="108" w:type="dxa"/>
                  </w:tcMar>
                  <w:vAlign w:val="center"/>
                  <w:hideMark/>
                </w:tcPr>
                <w:p w14:paraId="34086276" w14:textId="77777777" w:rsidR="004D407A" w:rsidRPr="004D407A" w:rsidRDefault="004D407A" w:rsidP="004D407A">
                  <w:pPr>
                    <w:spacing w:before="20" w:after="20"/>
                    <w:jc w:val="right"/>
                    <w:rPr>
                      <w:sz w:val="16"/>
                      <w:szCs w:val="16"/>
                    </w:rPr>
                  </w:pPr>
                  <w:r w:rsidRPr="004D407A">
                    <w:rPr>
                      <w:b/>
                      <w:bCs/>
                      <w:sz w:val="16"/>
                      <w:szCs w:val="16"/>
                    </w:rPr>
                    <w:t>2027</w:t>
                  </w:r>
                </w:p>
              </w:tc>
            </w:tr>
            <w:tr w:rsidR="004D407A" w:rsidRPr="004D407A" w14:paraId="424EC305" w14:textId="77777777" w:rsidTr="004D407A">
              <w:trPr>
                <w:trHeight w:val="230"/>
              </w:trPr>
              <w:tc>
                <w:tcPr>
                  <w:tcW w:w="4651" w:type="dxa"/>
                  <w:gridSpan w:val="3"/>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225C1999" w14:textId="77777777" w:rsidR="004D407A" w:rsidRPr="004D407A" w:rsidRDefault="004D407A" w:rsidP="004D407A">
                  <w:pPr>
                    <w:spacing w:before="20" w:after="20"/>
                    <w:rPr>
                      <w:b/>
                      <w:bCs/>
                      <w:sz w:val="16"/>
                      <w:szCs w:val="16"/>
                    </w:rPr>
                  </w:pPr>
                  <w:r w:rsidRPr="004D407A">
                    <w:rPr>
                      <w:b/>
                      <w:bCs/>
                      <w:sz w:val="16"/>
                      <w:szCs w:val="16"/>
                    </w:rPr>
                    <w:t>National (Children)</w:t>
                  </w:r>
                </w:p>
              </w:tc>
            </w:tr>
            <w:tr w:rsidR="004D407A" w:rsidRPr="004D407A" w14:paraId="19E884C8" w14:textId="77777777" w:rsidTr="004D407A">
              <w:trPr>
                <w:trHeight w:val="288"/>
              </w:trPr>
              <w:tc>
                <w:tcPr>
                  <w:tcW w:w="3137" w:type="dxa"/>
                  <w:tcBorders>
                    <w:top w:val="nil"/>
                    <w:left w:val="single" w:sz="8" w:space="0" w:color="9CC2E5"/>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629C78BF" w14:textId="566EB85B" w:rsidR="004D407A" w:rsidRPr="004D407A" w:rsidRDefault="004D407A" w:rsidP="004D407A">
                  <w:pPr>
                    <w:spacing w:before="20" w:after="20"/>
                    <w:rPr>
                      <w:b/>
                      <w:bCs/>
                      <w:sz w:val="16"/>
                      <w:szCs w:val="16"/>
                    </w:rPr>
                  </w:pPr>
                  <w:r w:rsidRPr="004D407A">
                    <w:rPr>
                      <w:b/>
                      <w:bCs/>
                      <w:sz w:val="16"/>
                      <w:szCs w:val="16"/>
                    </w:rPr>
                    <w:t xml:space="preserve">Valid Fully vaccination Coverage by 12 </w:t>
                  </w:r>
                  <w:r w:rsidRPr="004D407A">
                    <w:rPr>
                      <w:b/>
                      <w:bCs/>
                      <w:sz w:val="16"/>
                      <w:szCs w:val="16"/>
                    </w:rPr>
                    <w:t xml:space="preserve">months of age </w:t>
                  </w:r>
                </w:p>
              </w:tc>
              <w:tc>
                <w:tcPr>
                  <w:tcW w:w="76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27D120BD" w14:textId="77777777" w:rsidR="004D407A" w:rsidRPr="004D407A" w:rsidRDefault="004D407A" w:rsidP="004D407A">
                  <w:pPr>
                    <w:spacing w:before="20" w:after="20"/>
                    <w:jc w:val="right"/>
                    <w:rPr>
                      <w:sz w:val="16"/>
                      <w:szCs w:val="16"/>
                    </w:rPr>
                  </w:pPr>
                  <w:r w:rsidRPr="004D407A">
                    <w:rPr>
                      <w:sz w:val="16"/>
                      <w:szCs w:val="16"/>
                    </w:rPr>
                    <w:t>83.9</w:t>
                  </w:r>
                </w:p>
              </w:tc>
              <w:tc>
                <w:tcPr>
                  <w:tcW w:w="750"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1CE1B4F9" w14:textId="77777777" w:rsidR="004D407A" w:rsidRPr="004D407A" w:rsidRDefault="004D407A" w:rsidP="004D407A">
                  <w:pPr>
                    <w:spacing w:before="20" w:after="20"/>
                    <w:jc w:val="right"/>
                    <w:rPr>
                      <w:sz w:val="16"/>
                      <w:szCs w:val="16"/>
                    </w:rPr>
                  </w:pPr>
                  <w:r w:rsidRPr="004D407A">
                    <w:rPr>
                      <w:sz w:val="16"/>
                      <w:szCs w:val="16"/>
                    </w:rPr>
                    <w:t>&gt;=95%</w:t>
                  </w:r>
                </w:p>
              </w:tc>
            </w:tr>
            <w:tr w:rsidR="004D407A" w:rsidRPr="004D407A" w14:paraId="1E2636E2" w14:textId="77777777" w:rsidTr="004D407A">
              <w:trPr>
                <w:trHeight w:val="288"/>
              </w:trPr>
              <w:tc>
                <w:tcPr>
                  <w:tcW w:w="3137" w:type="dxa"/>
                  <w:tcBorders>
                    <w:top w:val="nil"/>
                    <w:left w:val="single" w:sz="8" w:space="0" w:color="9CC2E5"/>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083ABBB6" w14:textId="01F4A0EB" w:rsidR="004D407A" w:rsidRPr="004D407A" w:rsidRDefault="004D407A" w:rsidP="004D407A">
                  <w:pPr>
                    <w:spacing w:before="20" w:after="20"/>
                    <w:rPr>
                      <w:b/>
                      <w:bCs/>
                      <w:sz w:val="16"/>
                      <w:szCs w:val="16"/>
                    </w:rPr>
                  </w:pPr>
                  <w:r w:rsidRPr="004D407A">
                    <w:rPr>
                      <w:b/>
                      <w:bCs/>
                      <w:sz w:val="16"/>
                      <w:szCs w:val="16"/>
                    </w:rPr>
                    <w:t xml:space="preserve">Valid Fully vaccination Coverage by 23 </w:t>
                  </w:r>
                  <w:r w:rsidRPr="004D407A">
                    <w:rPr>
                      <w:b/>
                      <w:bCs/>
                      <w:sz w:val="16"/>
                      <w:szCs w:val="16"/>
                    </w:rPr>
                    <w:t>months of age</w:t>
                  </w:r>
                  <w:r w:rsidRPr="004D407A">
                    <w:rPr>
                      <w:b/>
                      <w:bCs/>
                      <w:sz w:val="16"/>
                      <w:szCs w:val="16"/>
                    </w:rPr>
                    <w:t xml:space="preserve"> considering MR2</w:t>
                  </w:r>
                </w:p>
              </w:tc>
              <w:tc>
                <w:tcPr>
                  <w:tcW w:w="76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503FDA6E" w14:textId="77777777" w:rsidR="004D407A" w:rsidRPr="004D407A" w:rsidRDefault="004D407A" w:rsidP="004D407A">
                  <w:pPr>
                    <w:spacing w:before="20" w:after="20"/>
                    <w:jc w:val="right"/>
                    <w:rPr>
                      <w:sz w:val="16"/>
                      <w:szCs w:val="16"/>
                    </w:rPr>
                  </w:pPr>
                  <w:r w:rsidRPr="004D407A">
                    <w:rPr>
                      <w:sz w:val="16"/>
                      <w:szCs w:val="16"/>
                    </w:rPr>
                    <w:t>82.4</w:t>
                  </w:r>
                </w:p>
              </w:tc>
              <w:tc>
                <w:tcPr>
                  <w:tcW w:w="750"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3CAB9955" w14:textId="77777777" w:rsidR="004D407A" w:rsidRPr="004D407A" w:rsidRDefault="004D407A" w:rsidP="004D407A">
                  <w:pPr>
                    <w:spacing w:before="20" w:after="20"/>
                    <w:jc w:val="right"/>
                    <w:rPr>
                      <w:sz w:val="16"/>
                      <w:szCs w:val="16"/>
                    </w:rPr>
                  </w:pPr>
                  <w:r w:rsidRPr="004D407A">
                    <w:rPr>
                      <w:sz w:val="16"/>
                      <w:szCs w:val="16"/>
                    </w:rPr>
                    <w:t>&gt;=95%</w:t>
                  </w:r>
                </w:p>
              </w:tc>
            </w:tr>
            <w:tr w:rsidR="004D407A" w:rsidRPr="004D407A" w14:paraId="15575A0E" w14:textId="77777777" w:rsidTr="004D407A">
              <w:trPr>
                <w:trHeight w:val="288"/>
              </w:trPr>
              <w:tc>
                <w:tcPr>
                  <w:tcW w:w="4651" w:type="dxa"/>
                  <w:gridSpan w:val="3"/>
                  <w:tcBorders>
                    <w:top w:val="nil"/>
                    <w:left w:val="single" w:sz="8" w:space="0" w:color="9CC2E5"/>
                    <w:bottom w:val="single" w:sz="8" w:space="0" w:color="9CC2E5"/>
                    <w:right w:val="single" w:sz="8" w:space="0" w:color="9CC2E5"/>
                  </w:tcBorders>
                  <w:shd w:val="clear" w:color="auto" w:fill="D9E2F3"/>
                  <w:tcMar>
                    <w:top w:w="0" w:type="dxa"/>
                    <w:left w:w="108" w:type="dxa"/>
                    <w:bottom w:w="0" w:type="dxa"/>
                    <w:right w:w="108" w:type="dxa"/>
                  </w:tcMar>
                  <w:vAlign w:val="center"/>
                  <w:hideMark/>
                </w:tcPr>
                <w:p w14:paraId="3B14503F" w14:textId="77777777" w:rsidR="004D407A" w:rsidRPr="004D407A" w:rsidRDefault="004D407A" w:rsidP="004D407A">
                  <w:pPr>
                    <w:spacing w:before="20" w:after="20"/>
                    <w:rPr>
                      <w:b/>
                      <w:bCs/>
                      <w:sz w:val="16"/>
                      <w:szCs w:val="16"/>
                    </w:rPr>
                  </w:pPr>
                  <w:r w:rsidRPr="004D407A">
                    <w:rPr>
                      <w:b/>
                      <w:bCs/>
                      <w:sz w:val="16"/>
                      <w:szCs w:val="16"/>
                    </w:rPr>
                    <w:t>Sub-District (Children)</w:t>
                  </w:r>
                </w:p>
              </w:tc>
            </w:tr>
            <w:tr w:rsidR="004D407A" w:rsidRPr="004D407A" w14:paraId="1ABEA43B" w14:textId="77777777" w:rsidTr="004D407A">
              <w:trPr>
                <w:trHeight w:val="288"/>
              </w:trPr>
              <w:tc>
                <w:tcPr>
                  <w:tcW w:w="3137" w:type="dxa"/>
                  <w:tcBorders>
                    <w:top w:val="nil"/>
                    <w:left w:val="single" w:sz="8" w:space="0" w:color="9CC2E5"/>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53268468" w14:textId="77777777" w:rsidR="004D407A" w:rsidRPr="004D407A" w:rsidRDefault="004D407A" w:rsidP="004D407A">
                  <w:pPr>
                    <w:spacing w:before="20" w:after="20"/>
                    <w:rPr>
                      <w:b/>
                      <w:bCs/>
                      <w:sz w:val="16"/>
                      <w:szCs w:val="16"/>
                    </w:rPr>
                  </w:pPr>
                  <w:r w:rsidRPr="004D407A">
                    <w:rPr>
                      <w:b/>
                      <w:bCs/>
                      <w:sz w:val="16"/>
                      <w:szCs w:val="16"/>
                    </w:rPr>
                    <w:t xml:space="preserve"># </w:t>
                  </w:r>
                  <w:proofErr w:type="gramStart"/>
                  <w:r w:rsidRPr="004D407A">
                    <w:rPr>
                      <w:b/>
                      <w:bCs/>
                      <w:sz w:val="16"/>
                      <w:szCs w:val="16"/>
                    </w:rPr>
                    <w:t>of</w:t>
                  </w:r>
                  <w:proofErr w:type="gramEnd"/>
                  <w:r w:rsidRPr="004D407A">
                    <w:rPr>
                      <w:b/>
                      <w:bCs/>
                      <w:sz w:val="16"/>
                      <w:szCs w:val="16"/>
                    </w:rPr>
                    <w:t xml:space="preserve"> Districts &amp; CC achieved Fully vaccination Coverage &gt;=90% by 12 month</w:t>
                  </w:r>
                </w:p>
              </w:tc>
              <w:tc>
                <w:tcPr>
                  <w:tcW w:w="76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07B261E7" w14:textId="77777777" w:rsidR="004D407A" w:rsidRPr="004D407A" w:rsidRDefault="004D407A" w:rsidP="004D407A">
                  <w:pPr>
                    <w:spacing w:before="20" w:after="20"/>
                    <w:jc w:val="right"/>
                    <w:rPr>
                      <w:sz w:val="16"/>
                      <w:szCs w:val="16"/>
                    </w:rPr>
                  </w:pPr>
                  <w:r w:rsidRPr="004D407A">
                    <w:rPr>
                      <w:sz w:val="16"/>
                      <w:szCs w:val="16"/>
                    </w:rPr>
                    <w:t>9</w:t>
                  </w:r>
                </w:p>
              </w:tc>
              <w:tc>
                <w:tcPr>
                  <w:tcW w:w="750"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61627F68" w14:textId="77777777" w:rsidR="004D407A" w:rsidRPr="004D407A" w:rsidRDefault="004D407A" w:rsidP="004D407A">
                  <w:pPr>
                    <w:spacing w:before="20" w:after="20"/>
                    <w:jc w:val="right"/>
                    <w:rPr>
                      <w:sz w:val="16"/>
                      <w:szCs w:val="16"/>
                    </w:rPr>
                  </w:pPr>
                  <w:r w:rsidRPr="004D407A">
                    <w:rPr>
                      <w:sz w:val="16"/>
                      <w:szCs w:val="16"/>
                    </w:rPr>
                    <w:t>76</w:t>
                  </w:r>
                </w:p>
              </w:tc>
            </w:tr>
            <w:tr w:rsidR="004D407A" w:rsidRPr="004D407A" w14:paraId="43EDAF38" w14:textId="77777777" w:rsidTr="004D407A">
              <w:trPr>
                <w:trHeight w:val="288"/>
              </w:trPr>
              <w:tc>
                <w:tcPr>
                  <w:tcW w:w="3137" w:type="dxa"/>
                  <w:tcBorders>
                    <w:top w:val="nil"/>
                    <w:left w:val="single" w:sz="8" w:space="0" w:color="9CC2E5"/>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1EAF310B" w14:textId="77777777" w:rsidR="004D407A" w:rsidRPr="004D407A" w:rsidRDefault="004D407A" w:rsidP="004D407A">
                  <w:pPr>
                    <w:spacing w:before="20" w:after="20"/>
                    <w:rPr>
                      <w:b/>
                      <w:bCs/>
                      <w:sz w:val="16"/>
                      <w:szCs w:val="16"/>
                    </w:rPr>
                  </w:pPr>
                  <w:r w:rsidRPr="004D407A">
                    <w:rPr>
                      <w:b/>
                      <w:bCs/>
                      <w:sz w:val="16"/>
                      <w:szCs w:val="16"/>
                    </w:rPr>
                    <w:t xml:space="preserve"># </w:t>
                  </w:r>
                  <w:proofErr w:type="gramStart"/>
                  <w:r w:rsidRPr="004D407A">
                    <w:rPr>
                      <w:b/>
                      <w:bCs/>
                      <w:sz w:val="16"/>
                      <w:szCs w:val="16"/>
                    </w:rPr>
                    <w:t>of</w:t>
                  </w:r>
                  <w:proofErr w:type="gramEnd"/>
                  <w:r w:rsidRPr="004D407A">
                    <w:rPr>
                      <w:b/>
                      <w:bCs/>
                      <w:sz w:val="16"/>
                      <w:szCs w:val="16"/>
                    </w:rPr>
                    <w:t xml:space="preserve"> Districts &amp; CC achieved Fully vaccination Coverage &gt;=90% by 23 month</w:t>
                  </w:r>
                </w:p>
              </w:tc>
              <w:tc>
                <w:tcPr>
                  <w:tcW w:w="76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41F94305" w14:textId="77777777" w:rsidR="004D407A" w:rsidRPr="004D407A" w:rsidRDefault="004D407A" w:rsidP="004D407A">
                  <w:pPr>
                    <w:spacing w:before="20" w:after="20"/>
                    <w:jc w:val="right"/>
                    <w:rPr>
                      <w:sz w:val="16"/>
                      <w:szCs w:val="16"/>
                    </w:rPr>
                  </w:pPr>
                  <w:r w:rsidRPr="004D407A">
                    <w:rPr>
                      <w:sz w:val="16"/>
                      <w:szCs w:val="16"/>
                    </w:rPr>
                    <w:t>11</w:t>
                  </w:r>
                </w:p>
              </w:tc>
              <w:tc>
                <w:tcPr>
                  <w:tcW w:w="750"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vAlign w:val="center"/>
                  <w:hideMark/>
                </w:tcPr>
                <w:p w14:paraId="128CF05C" w14:textId="77777777" w:rsidR="004D407A" w:rsidRPr="004D407A" w:rsidRDefault="004D407A" w:rsidP="004D407A">
                  <w:pPr>
                    <w:spacing w:before="20" w:after="20"/>
                    <w:jc w:val="right"/>
                    <w:rPr>
                      <w:sz w:val="16"/>
                      <w:szCs w:val="16"/>
                    </w:rPr>
                  </w:pPr>
                  <w:r w:rsidRPr="004D407A">
                    <w:rPr>
                      <w:sz w:val="16"/>
                      <w:szCs w:val="16"/>
                    </w:rPr>
                    <w:t>76</w:t>
                  </w:r>
                </w:p>
              </w:tc>
            </w:tr>
            <w:tr w:rsidR="004D407A" w:rsidRPr="004D407A" w14:paraId="7C37EE11" w14:textId="77777777" w:rsidTr="004D407A">
              <w:trPr>
                <w:trHeight w:val="288"/>
              </w:trPr>
              <w:tc>
                <w:tcPr>
                  <w:tcW w:w="4651" w:type="dxa"/>
                  <w:gridSpan w:val="3"/>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1067E138" w14:textId="77777777" w:rsidR="004D407A" w:rsidRPr="004D407A" w:rsidRDefault="004D407A" w:rsidP="004D407A">
                  <w:pPr>
                    <w:spacing w:before="20" w:after="20"/>
                    <w:rPr>
                      <w:b/>
                      <w:bCs/>
                      <w:sz w:val="16"/>
                      <w:szCs w:val="16"/>
                    </w:rPr>
                  </w:pPr>
                  <w:r w:rsidRPr="004D407A">
                    <w:rPr>
                      <w:b/>
                      <w:bCs/>
                      <w:sz w:val="16"/>
                      <w:szCs w:val="16"/>
                    </w:rPr>
                    <w:t>National (15-49 years Women)</w:t>
                  </w:r>
                </w:p>
              </w:tc>
            </w:tr>
            <w:tr w:rsidR="004D407A" w:rsidRPr="004D407A" w14:paraId="5BCB7962" w14:textId="77777777" w:rsidTr="004D407A">
              <w:trPr>
                <w:trHeight w:val="288"/>
              </w:trPr>
              <w:tc>
                <w:tcPr>
                  <w:tcW w:w="3137" w:type="dxa"/>
                  <w:tcBorders>
                    <w:top w:val="nil"/>
                    <w:left w:val="single" w:sz="8" w:space="0" w:color="9CC2E5"/>
                    <w:bottom w:val="single" w:sz="8" w:space="0" w:color="9CC2E5"/>
                    <w:right w:val="single" w:sz="8" w:space="0" w:color="9CC2E5"/>
                  </w:tcBorders>
                  <w:tcMar>
                    <w:top w:w="0" w:type="dxa"/>
                    <w:left w:w="108" w:type="dxa"/>
                    <w:bottom w:w="0" w:type="dxa"/>
                    <w:right w:w="108" w:type="dxa"/>
                  </w:tcMar>
                  <w:vAlign w:val="center"/>
                  <w:hideMark/>
                </w:tcPr>
                <w:p w14:paraId="08B50262" w14:textId="77777777" w:rsidR="004D407A" w:rsidRPr="004D407A" w:rsidRDefault="004D407A" w:rsidP="004D407A">
                  <w:pPr>
                    <w:spacing w:before="20" w:after="20"/>
                    <w:rPr>
                      <w:b/>
                      <w:bCs/>
                      <w:sz w:val="16"/>
                      <w:szCs w:val="16"/>
                    </w:rPr>
                  </w:pPr>
                  <w:r w:rsidRPr="004D407A">
                    <w:rPr>
                      <w:b/>
                      <w:bCs/>
                      <w:sz w:val="16"/>
                      <w:szCs w:val="16"/>
                    </w:rPr>
                    <w:t xml:space="preserve">Valid Td5 vaccination coverage </w:t>
                  </w:r>
                </w:p>
              </w:tc>
              <w:tc>
                <w:tcPr>
                  <w:tcW w:w="764"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232914FD" w14:textId="77777777" w:rsidR="004D407A" w:rsidRPr="004D407A" w:rsidRDefault="004D407A" w:rsidP="004D407A">
                  <w:pPr>
                    <w:spacing w:before="20" w:after="20"/>
                    <w:jc w:val="right"/>
                    <w:rPr>
                      <w:sz w:val="16"/>
                      <w:szCs w:val="16"/>
                    </w:rPr>
                  </w:pPr>
                  <w:r w:rsidRPr="004D407A">
                    <w:rPr>
                      <w:sz w:val="16"/>
                      <w:szCs w:val="16"/>
                    </w:rPr>
                    <w:t>54.9%</w:t>
                  </w:r>
                </w:p>
              </w:tc>
              <w:tc>
                <w:tcPr>
                  <w:tcW w:w="75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7A16E7E7" w14:textId="77777777" w:rsidR="004D407A" w:rsidRPr="004D407A" w:rsidRDefault="004D407A" w:rsidP="004D407A">
                  <w:pPr>
                    <w:spacing w:before="20" w:after="20"/>
                    <w:jc w:val="right"/>
                    <w:rPr>
                      <w:sz w:val="16"/>
                      <w:szCs w:val="16"/>
                    </w:rPr>
                  </w:pPr>
                  <w:r w:rsidRPr="004D407A">
                    <w:rPr>
                      <w:sz w:val="16"/>
                      <w:szCs w:val="16"/>
                    </w:rPr>
                    <w:t>&gt;=80%</w:t>
                  </w:r>
                </w:p>
              </w:tc>
            </w:tr>
            <w:tr w:rsidR="004D407A" w:rsidRPr="004D407A" w14:paraId="24665EB9" w14:textId="77777777" w:rsidTr="004D407A">
              <w:trPr>
                <w:trHeight w:val="288"/>
              </w:trPr>
              <w:tc>
                <w:tcPr>
                  <w:tcW w:w="3137"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27FC972B" w14:textId="77777777" w:rsidR="004D407A" w:rsidRPr="004D407A" w:rsidRDefault="004D407A" w:rsidP="004D407A">
                  <w:pPr>
                    <w:spacing w:before="20" w:after="20"/>
                    <w:rPr>
                      <w:b/>
                      <w:bCs/>
                      <w:sz w:val="16"/>
                      <w:szCs w:val="16"/>
                    </w:rPr>
                  </w:pPr>
                  <w:r w:rsidRPr="004D407A">
                    <w:rPr>
                      <w:b/>
                      <w:bCs/>
                      <w:sz w:val="16"/>
                      <w:szCs w:val="16"/>
                    </w:rPr>
                    <w:t>Sub-District (15-49 years Women)</w:t>
                  </w:r>
                </w:p>
              </w:tc>
              <w:tc>
                <w:tcPr>
                  <w:tcW w:w="764"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20401C0C" w14:textId="77777777" w:rsidR="004D407A" w:rsidRPr="004D407A" w:rsidRDefault="004D407A" w:rsidP="004D407A">
                  <w:pPr>
                    <w:spacing w:before="20" w:after="20"/>
                    <w:jc w:val="right"/>
                    <w:rPr>
                      <w:sz w:val="16"/>
                      <w:szCs w:val="16"/>
                    </w:rPr>
                  </w:pPr>
                </w:p>
              </w:tc>
              <w:tc>
                <w:tcPr>
                  <w:tcW w:w="75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5680C084" w14:textId="77777777" w:rsidR="004D407A" w:rsidRPr="004D407A" w:rsidRDefault="004D407A" w:rsidP="004D407A">
                  <w:pPr>
                    <w:spacing w:before="20" w:after="20"/>
                    <w:jc w:val="right"/>
                    <w:rPr>
                      <w:sz w:val="16"/>
                      <w:szCs w:val="16"/>
                    </w:rPr>
                  </w:pPr>
                </w:p>
              </w:tc>
            </w:tr>
            <w:tr w:rsidR="004D407A" w:rsidRPr="004D407A" w14:paraId="2060544D" w14:textId="77777777" w:rsidTr="004D407A">
              <w:trPr>
                <w:trHeight w:val="288"/>
              </w:trPr>
              <w:tc>
                <w:tcPr>
                  <w:tcW w:w="3137" w:type="dxa"/>
                  <w:tcBorders>
                    <w:top w:val="nil"/>
                    <w:left w:val="single" w:sz="8" w:space="0" w:color="9CC2E5"/>
                    <w:bottom w:val="single" w:sz="8" w:space="0" w:color="9CC2E5"/>
                    <w:right w:val="single" w:sz="8" w:space="0" w:color="9CC2E5"/>
                  </w:tcBorders>
                  <w:tcMar>
                    <w:top w:w="0" w:type="dxa"/>
                    <w:left w:w="108" w:type="dxa"/>
                    <w:bottom w:w="0" w:type="dxa"/>
                    <w:right w:w="108" w:type="dxa"/>
                  </w:tcMar>
                  <w:vAlign w:val="center"/>
                  <w:hideMark/>
                </w:tcPr>
                <w:p w14:paraId="064C9FB9" w14:textId="77777777" w:rsidR="004D407A" w:rsidRPr="004D407A" w:rsidRDefault="004D407A" w:rsidP="004D407A">
                  <w:pPr>
                    <w:spacing w:before="20" w:after="20"/>
                    <w:rPr>
                      <w:b/>
                      <w:bCs/>
                      <w:sz w:val="16"/>
                      <w:szCs w:val="16"/>
                    </w:rPr>
                  </w:pPr>
                  <w:r w:rsidRPr="004D407A">
                    <w:rPr>
                      <w:b/>
                      <w:bCs/>
                      <w:sz w:val="16"/>
                      <w:szCs w:val="16"/>
                    </w:rPr>
                    <w:t xml:space="preserve"># </w:t>
                  </w:r>
                  <w:proofErr w:type="gramStart"/>
                  <w:r w:rsidRPr="004D407A">
                    <w:rPr>
                      <w:b/>
                      <w:bCs/>
                      <w:sz w:val="16"/>
                      <w:szCs w:val="16"/>
                    </w:rPr>
                    <w:t>of</w:t>
                  </w:r>
                  <w:proofErr w:type="gramEnd"/>
                  <w:r w:rsidRPr="004D407A">
                    <w:rPr>
                      <w:b/>
                      <w:bCs/>
                      <w:sz w:val="16"/>
                      <w:szCs w:val="16"/>
                    </w:rPr>
                    <w:t xml:space="preserve"> Districts &amp; CC achieved Td5 coverage &gt;=75%</w:t>
                  </w:r>
                </w:p>
              </w:tc>
              <w:tc>
                <w:tcPr>
                  <w:tcW w:w="764"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44983EBE" w14:textId="77777777" w:rsidR="004D407A" w:rsidRPr="004D407A" w:rsidRDefault="004D407A" w:rsidP="004D407A">
                  <w:pPr>
                    <w:spacing w:before="20" w:after="20"/>
                    <w:jc w:val="right"/>
                    <w:rPr>
                      <w:sz w:val="16"/>
                      <w:szCs w:val="16"/>
                    </w:rPr>
                  </w:pPr>
                  <w:r w:rsidRPr="004D407A">
                    <w:rPr>
                      <w:sz w:val="16"/>
                      <w:szCs w:val="16"/>
                    </w:rPr>
                    <w:t>2</w:t>
                  </w:r>
                </w:p>
              </w:tc>
              <w:tc>
                <w:tcPr>
                  <w:tcW w:w="75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1FABE441" w14:textId="77777777" w:rsidR="004D407A" w:rsidRPr="004D407A" w:rsidRDefault="004D407A" w:rsidP="004D407A">
                  <w:pPr>
                    <w:spacing w:before="20" w:after="20"/>
                    <w:jc w:val="right"/>
                    <w:rPr>
                      <w:sz w:val="16"/>
                      <w:szCs w:val="16"/>
                    </w:rPr>
                  </w:pPr>
                  <w:r w:rsidRPr="004D407A">
                    <w:rPr>
                      <w:sz w:val="16"/>
                      <w:szCs w:val="16"/>
                    </w:rPr>
                    <w:t>76</w:t>
                  </w:r>
                </w:p>
              </w:tc>
            </w:tr>
            <w:tr w:rsidR="004D407A" w:rsidRPr="004D407A" w14:paraId="62A3BF61" w14:textId="77777777" w:rsidTr="004D407A">
              <w:trPr>
                <w:trHeight w:val="288"/>
              </w:trPr>
              <w:tc>
                <w:tcPr>
                  <w:tcW w:w="3137"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2A8EDAC7" w14:textId="77777777" w:rsidR="004D407A" w:rsidRPr="004D407A" w:rsidRDefault="004D407A" w:rsidP="004D407A">
                  <w:pPr>
                    <w:spacing w:before="20" w:after="20"/>
                    <w:rPr>
                      <w:b/>
                      <w:bCs/>
                      <w:sz w:val="16"/>
                      <w:szCs w:val="16"/>
                    </w:rPr>
                  </w:pPr>
                  <w:r w:rsidRPr="004D407A">
                    <w:rPr>
                      <w:b/>
                      <w:bCs/>
                      <w:sz w:val="16"/>
                      <w:szCs w:val="16"/>
                    </w:rPr>
                    <w:t>*</w:t>
                  </w:r>
                  <w:proofErr w:type="gramStart"/>
                  <w:r w:rsidRPr="004D407A">
                    <w:rPr>
                      <w:b/>
                      <w:bCs/>
                      <w:sz w:val="16"/>
                      <w:szCs w:val="16"/>
                    </w:rPr>
                    <w:t>Source :</w:t>
                  </w:r>
                  <w:proofErr w:type="gramEnd"/>
                  <w:r w:rsidRPr="004D407A">
                    <w:rPr>
                      <w:b/>
                      <w:bCs/>
                      <w:sz w:val="16"/>
                      <w:szCs w:val="16"/>
                    </w:rPr>
                    <w:t xml:space="preserve"> CES-2019</w:t>
                  </w:r>
                </w:p>
              </w:tc>
              <w:tc>
                <w:tcPr>
                  <w:tcW w:w="764"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456BBEBD" w14:textId="77777777" w:rsidR="004D407A" w:rsidRPr="004D407A" w:rsidRDefault="004D407A" w:rsidP="004D407A">
                  <w:pPr>
                    <w:spacing w:before="20" w:after="20"/>
                    <w:jc w:val="right"/>
                    <w:rPr>
                      <w:sz w:val="16"/>
                      <w:szCs w:val="16"/>
                    </w:rPr>
                  </w:pPr>
                </w:p>
              </w:tc>
              <w:tc>
                <w:tcPr>
                  <w:tcW w:w="75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51812636" w14:textId="77777777" w:rsidR="004D407A" w:rsidRPr="004D407A" w:rsidRDefault="004D407A" w:rsidP="004D407A">
                  <w:pPr>
                    <w:spacing w:before="20" w:after="20"/>
                    <w:jc w:val="right"/>
                    <w:rPr>
                      <w:sz w:val="16"/>
                      <w:szCs w:val="16"/>
                    </w:rPr>
                  </w:pPr>
                </w:p>
              </w:tc>
            </w:tr>
          </w:tbl>
          <w:p w14:paraId="20B0FDDB" w14:textId="77ED6F95" w:rsidR="00050401" w:rsidRPr="004D407A" w:rsidRDefault="00050401" w:rsidP="00172E8A">
            <w:pPr>
              <w:pStyle w:val="ListBulletT"/>
              <w:numPr>
                <w:ilvl w:val="0"/>
                <w:numId w:val="0"/>
              </w:numPr>
              <w:rPr>
                <w:sz w:val="18"/>
              </w:rPr>
            </w:pPr>
          </w:p>
        </w:tc>
        <w:tc>
          <w:tcPr>
            <w:tcW w:w="4143" w:type="dxa"/>
          </w:tcPr>
          <w:p w14:paraId="5E367D7D" w14:textId="77777777" w:rsidR="00142257" w:rsidRPr="004D407A" w:rsidRDefault="00142257" w:rsidP="00807BA9">
            <w:pPr>
              <w:pStyle w:val="ListBulletT"/>
              <w:rPr>
                <w:sz w:val="18"/>
              </w:rPr>
            </w:pPr>
            <w:r w:rsidRPr="004D407A">
              <w:rPr>
                <w:sz w:val="18"/>
              </w:rPr>
              <w:t>Shortage of human resources for health with 20% of vacant posts in the health system</w:t>
            </w:r>
          </w:p>
          <w:p w14:paraId="2FCE050F" w14:textId="0B7DA8FA" w:rsidR="00142257" w:rsidRPr="004D407A" w:rsidRDefault="00142257" w:rsidP="00142257">
            <w:pPr>
              <w:pStyle w:val="ListBulletT"/>
              <w:rPr>
                <w:sz w:val="18"/>
              </w:rPr>
            </w:pPr>
            <w:r w:rsidRPr="004D407A">
              <w:rPr>
                <w:sz w:val="18"/>
              </w:rPr>
              <w:t>Inadequate skills of the front-line service providers and mid-level-managers</w:t>
            </w:r>
          </w:p>
          <w:p w14:paraId="6EC824BB" w14:textId="5D69EB38" w:rsidR="00142257" w:rsidRPr="004D407A" w:rsidRDefault="00142257" w:rsidP="00142257">
            <w:pPr>
              <w:pStyle w:val="ListBulletT"/>
              <w:rPr>
                <w:sz w:val="18"/>
              </w:rPr>
            </w:pPr>
            <w:r w:rsidRPr="004D407A">
              <w:rPr>
                <w:sz w:val="18"/>
              </w:rPr>
              <w:t>Training programs heavily dependent upon donor’s funding</w:t>
            </w:r>
          </w:p>
          <w:p w14:paraId="4371BADB" w14:textId="41B6FD90" w:rsidR="00142257" w:rsidRPr="004D407A" w:rsidRDefault="00142257" w:rsidP="00142257">
            <w:pPr>
              <w:pStyle w:val="ListBulletT"/>
              <w:rPr>
                <w:sz w:val="18"/>
              </w:rPr>
            </w:pPr>
            <w:r w:rsidRPr="004D407A">
              <w:rPr>
                <w:sz w:val="18"/>
              </w:rPr>
              <w:t>Workforce composing surveillance network fully depends on external funding</w:t>
            </w:r>
          </w:p>
          <w:p w14:paraId="306A8FE0" w14:textId="64E745B2" w:rsidR="00050401" w:rsidRPr="004D407A" w:rsidRDefault="00142257" w:rsidP="003F081B">
            <w:pPr>
              <w:pStyle w:val="ListBulletT"/>
              <w:rPr>
                <w:sz w:val="18"/>
              </w:rPr>
            </w:pPr>
            <w:r w:rsidRPr="004D407A">
              <w:rPr>
                <w:sz w:val="18"/>
              </w:rPr>
              <w:t>Shortage of supply chain management staff at district and Upazila levels</w:t>
            </w:r>
          </w:p>
          <w:p w14:paraId="0ED12A9F" w14:textId="537DC76E" w:rsidR="003F081B" w:rsidRPr="004D407A" w:rsidRDefault="003F081B" w:rsidP="003F081B">
            <w:pPr>
              <w:pStyle w:val="ListBulletT"/>
              <w:rPr>
                <w:sz w:val="18"/>
              </w:rPr>
            </w:pPr>
            <w:r w:rsidRPr="004D407A">
              <w:rPr>
                <w:sz w:val="18"/>
              </w:rPr>
              <w:t>Heavy dependence on DP funding threatening financial sustainability</w:t>
            </w:r>
          </w:p>
          <w:p w14:paraId="58371CDC" w14:textId="715D7FE8" w:rsidR="003F081B" w:rsidRPr="004D407A" w:rsidRDefault="003F081B" w:rsidP="00142257">
            <w:pPr>
              <w:pStyle w:val="ListBulletT"/>
              <w:rPr>
                <w:sz w:val="18"/>
              </w:rPr>
            </w:pPr>
            <w:r w:rsidRPr="004D407A">
              <w:rPr>
                <w:sz w:val="18"/>
              </w:rPr>
              <w:t>Exist</w:t>
            </w:r>
            <w:r w:rsidR="00142257" w:rsidRPr="004D407A">
              <w:rPr>
                <w:sz w:val="18"/>
              </w:rPr>
              <w:t>ence of hard-to-reach areas</w:t>
            </w:r>
          </w:p>
        </w:tc>
      </w:tr>
      <w:tr w:rsidR="004D407A" w:rsidRPr="004D407A" w14:paraId="0B957B00" w14:textId="77777777" w:rsidTr="00C0647B">
        <w:trPr>
          <w:trHeight w:val="336"/>
        </w:trPr>
        <w:tc>
          <w:tcPr>
            <w:tcW w:w="9020" w:type="dxa"/>
            <w:gridSpan w:val="2"/>
          </w:tcPr>
          <w:p w14:paraId="1EDFD25A" w14:textId="77777777" w:rsidR="00FB5819" w:rsidRPr="004D407A" w:rsidRDefault="00FB5819" w:rsidP="005F5738">
            <w:pPr>
              <w:keepNext/>
              <w:spacing w:before="20"/>
              <w:rPr>
                <w:b/>
                <w:sz w:val="26"/>
              </w:rPr>
            </w:pPr>
            <w:r w:rsidRPr="004D407A">
              <w:rPr>
                <w:b/>
                <w:sz w:val="26"/>
              </w:rPr>
              <w:t>Resource requirement and financing projections</w:t>
            </w:r>
          </w:p>
        </w:tc>
      </w:tr>
      <w:tr w:rsidR="004D407A" w:rsidRPr="004D407A" w14:paraId="3E1670B1" w14:textId="77777777" w:rsidTr="00C0647B">
        <w:trPr>
          <w:trHeight w:val="1656"/>
        </w:trPr>
        <w:tc>
          <w:tcPr>
            <w:tcW w:w="9020" w:type="dxa"/>
            <w:gridSpan w:val="2"/>
          </w:tcPr>
          <w:tbl>
            <w:tblPr>
              <w:tblW w:w="5000" w:type="pct"/>
              <w:jc w:val="center"/>
              <w:tblLook w:val="04A0" w:firstRow="1" w:lastRow="0" w:firstColumn="1" w:lastColumn="0" w:noHBand="0" w:noVBand="1"/>
            </w:tblPr>
            <w:tblGrid>
              <w:gridCol w:w="4237"/>
              <w:gridCol w:w="762"/>
              <w:gridCol w:w="759"/>
              <w:gridCol w:w="759"/>
              <w:gridCol w:w="759"/>
              <w:gridCol w:w="759"/>
              <w:gridCol w:w="754"/>
            </w:tblGrid>
            <w:tr w:rsidR="004D407A" w:rsidRPr="004D407A" w14:paraId="4F7F2503" w14:textId="77777777" w:rsidTr="001A268F">
              <w:trPr>
                <w:trHeight w:val="192"/>
                <w:jc w:val="center"/>
              </w:trPr>
              <w:tc>
                <w:tcPr>
                  <w:tcW w:w="2410" w:type="pct"/>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7BF22ECA" w14:textId="77777777" w:rsidR="00281332" w:rsidRPr="004D407A" w:rsidRDefault="00281332" w:rsidP="00281332">
                  <w:pPr>
                    <w:spacing w:after="0" w:line="240" w:lineRule="auto"/>
                    <w:rPr>
                      <w:rFonts w:ascii="Calibri" w:eastAsia="Times New Roman" w:hAnsi="Calibri"/>
                      <w:b/>
                      <w:sz w:val="16"/>
                    </w:rPr>
                  </w:pPr>
                </w:p>
              </w:tc>
              <w:tc>
                <w:tcPr>
                  <w:tcW w:w="433" w:type="pct"/>
                  <w:tcBorders>
                    <w:top w:val="single" w:sz="4" w:space="0" w:color="auto"/>
                    <w:left w:val="nil"/>
                    <w:bottom w:val="single" w:sz="4" w:space="0" w:color="auto"/>
                    <w:right w:val="single" w:sz="4" w:space="0" w:color="auto"/>
                  </w:tcBorders>
                  <w:shd w:val="clear" w:color="auto" w:fill="2F5496" w:themeFill="accent5" w:themeFillShade="BF"/>
                  <w:vAlign w:val="center"/>
                  <w:hideMark/>
                </w:tcPr>
                <w:p w14:paraId="14F9F00D" w14:textId="6B65F473" w:rsidR="00281332" w:rsidRPr="004D407A" w:rsidRDefault="00281332" w:rsidP="00281332">
                  <w:pPr>
                    <w:spacing w:after="0" w:line="240" w:lineRule="auto"/>
                    <w:jc w:val="right"/>
                    <w:rPr>
                      <w:rFonts w:eastAsia="Times New Roman"/>
                      <w:b/>
                      <w:sz w:val="16"/>
                      <w:szCs w:val="20"/>
                    </w:rPr>
                  </w:pPr>
                  <w:r w:rsidRPr="004D407A">
                    <w:rPr>
                      <w:rFonts w:eastAsia="MS Mincho"/>
                      <w:b/>
                      <w:sz w:val="16"/>
                      <w:szCs w:val="20"/>
                      <w:lang w:eastAsia="ja-JP"/>
                    </w:rPr>
                    <w:t>20</w:t>
                  </w:r>
                  <w:r w:rsidR="009F5409" w:rsidRPr="004D407A">
                    <w:rPr>
                      <w:rFonts w:eastAsia="MS Mincho"/>
                      <w:b/>
                      <w:sz w:val="16"/>
                      <w:szCs w:val="20"/>
                      <w:lang w:eastAsia="ja-JP"/>
                    </w:rPr>
                    <w:t>23</w:t>
                  </w:r>
                </w:p>
              </w:tc>
              <w:tc>
                <w:tcPr>
                  <w:tcW w:w="432" w:type="pct"/>
                  <w:tcBorders>
                    <w:top w:val="single" w:sz="4" w:space="0" w:color="auto"/>
                    <w:left w:val="nil"/>
                    <w:bottom w:val="single" w:sz="4" w:space="0" w:color="auto"/>
                    <w:right w:val="single" w:sz="4" w:space="0" w:color="auto"/>
                  </w:tcBorders>
                  <w:shd w:val="clear" w:color="auto" w:fill="2F5496" w:themeFill="accent5" w:themeFillShade="BF"/>
                  <w:vAlign w:val="center"/>
                  <w:hideMark/>
                </w:tcPr>
                <w:p w14:paraId="537ACF27" w14:textId="11DFB7EB" w:rsidR="00281332" w:rsidRPr="004D407A" w:rsidRDefault="00281332" w:rsidP="00281332">
                  <w:pPr>
                    <w:spacing w:after="0" w:line="240" w:lineRule="auto"/>
                    <w:jc w:val="right"/>
                    <w:rPr>
                      <w:rFonts w:eastAsia="Times New Roman"/>
                      <w:b/>
                      <w:sz w:val="16"/>
                      <w:szCs w:val="20"/>
                    </w:rPr>
                  </w:pPr>
                  <w:r w:rsidRPr="004D407A">
                    <w:rPr>
                      <w:rFonts w:eastAsia="MS Mincho"/>
                      <w:b/>
                      <w:sz w:val="16"/>
                      <w:szCs w:val="20"/>
                      <w:lang w:eastAsia="ja-JP"/>
                    </w:rPr>
                    <w:t>20</w:t>
                  </w:r>
                  <w:r w:rsidR="009F5409" w:rsidRPr="004D407A">
                    <w:rPr>
                      <w:rFonts w:eastAsia="MS Mincho"/>
                      <w:b/>
                      <w:sz w:val="16"/>
                      <w:szCs w:val="20"/>
                      <w:lang w:eastAsia="ja-JP"/>
                    </w:rPr>
                    <w:t>24</w:t>
                  </w:r>
                </w:p>
              </w:tc>
              <w:tc>
                <w:tcPr>
                  <w:tcW w:w="432" w:type="pct"/>
                  <w:tcBorders>
                    <w:top w:val="single" w:sz="4" w:space="0" w:color="auto"/>
                    <w:left w:val="nil"/>
                    <w:bottom w:val="single" w:sz="4" w:space="0" w:color="auto"/>
                    <w:right w:val="single" w:sz="4" w:space="0" w:color="auto"/>
                  </w:tcBorders>
                  <w:shd w:val="clear" w:color="auto" w:fill="2F5496" w:themeFill="accent5" w:themeFillShade="BF"/>
                  <w:vAlign w:val="center"/>
                  <w:hideMark/>
                </w:tcPr>
                <w:p w14:paraId="296A005C" w14:textId="77D06AAE" w:rsidR="00281332" w:rsidRPr="004D407A" w:rsidRDefault="00281332" w:rsidP="00281332">
                  <w:pPr>
                    <w:spacing w:after="0" w:line="240" w:lineRule="auto"/>
                    <w:jc w:val="right"/>
                    <w:rPr>
                      <w:rFonts w:eastAsia="Times New Roman"/>
                      <w:b/>
                      <w:sz w:val="16"/>
                      <w:szCs w:val="20"/>
                    </w:rPr>
                  </w:pPr>
                  <w:r w:rsidRPr="004D407A">
                    <w:rPr>
                      <w:rFonts w:eastAsia="MS Mincho"/>
                      <w:b/>
                      <w:sz w:val="16"/>
                      <w:szCs w:val="20"/>
                      <w:lang w:eastAsia="ja-JP"/>
                    </w:rPr>
                    <w:t>20</w:t>
                  </w:r>
                  <w:r w:rsidR="009F5409" w:rsidRPr="004D407A">
                    <w:rPr>
                      <w:rFonts w:eastAsia="MS Mincho"/>
                      <w:b/>
                      <w:sz w:val="16"/>
                      <w:szCs w:val="20"/>
                      <w:lang w:eastAsia="ja-JP"/>
                    </w:rPr>
                    <w:t>25</w:t>
                  </w:r>
                </w:p>
              </w:tc>
              <w:tc>
                <w:tcPr>
                  <w:tcW w:w="432" w:type="pct"/>
                  <w:tcBorders>
                    <w:top w:val="single" w:sz="4" w:space="0" w:color="auto"/>
                    <w:left w:val="nil"/>
                    <w:bottom w:val="single" w:sz="4" w:space="0" w:color="auto"/>
                    <w:right w:val="single" w:sz="4" w:space="0" w:color="auto"/>
                  </w:tcBorders>
                  <w:shd w:val="clear" w:color="auto" w:fill="2F5496" w:themeFill="accent5" w:themeFillShade="BF"/>
                  <w:vAlign w:val="center"/>
                  <w:hideMark/>
                </w:tcPr>
                <w:p w14:paraId="629C8031" w14:textId="04B98337" w:rsidR="00281332" w:rsidRPr="004D407A" w:rsidRDefault="00281332" w:rsidP="00281332">
                  <w:pPr>
                    <w:spacing w:after="0" w:line="240" w:lineRule="auto"/>
                    <w:jc w:val="right"/>
                    <w:rPr>
                      <w:rFonts w:eastAsia="Times New Roman"/>
                      <w:b/>
                      <w:sz w:val="16"/>
                      <w:szCs w:val="20"/>
                    </w:rPr>
                  </w:pPr>
                  <w:r w:rsidRPr="004D407A">
                    <w:rPr>
                      <w:rFonts w:eastAsia="MS Mincho"/>
                      <w:b/>
                      <w:sz w:val="16"/>
                      <w:szCs w:val="20"/>
                      <w:lang w:eastAsia="ja-JP"/>
                    </w:rPr>
                    <w:t>20</w:t>
                  </w:r>
                  <w:r w:rsidR="009F5409" w:rsidRPr="004D407A">
                    <w:rPr>
                      <w:rFonts w:eastAsia="MS Mincho"/>
                      <w:b/>
                      <w:sz w:val="16"/>
                      <w:szCs w:val="20"/>
                      <w:lang w:eastAsia="ja-JP"/>
                    </w:rPr>
                    <w:t>26</w:t>
                  </w:r>
                </w:p>
              </w:tc>
              <w:tc>
                <w:tcPr>
                  <w:tcW w:w="432" w:type="pct"/>
                  <w:tcBorders>
                    <w:top w:val="single" w:sz="4" w:space="0" w:color="auto"/>
                    <w:left w:val="nil"/>
                    <w:bottom w:val="single" w:sz="4" w:space="0" w:color="auto"/>
                    <w:right w:val="single" w:sz="4" w:space="0" w:color="auto"/>
                  </w:tcBorders>
                  <w:shd w:val="clear" w:color="auto" w:fill="2F5496" w:themeFill="accent5" w:themeFillShade="BF"/>
                  <w:vAlign w:val="center"/>
                  <w:hideMark/>
                </w:tcPr>
                <w:p w14:paraId="28EECF8A" w14:textId="531A5333" w:rsidR="00281332" w:rsidRPr="004D407A" w:rsidRDefault="00281332" w:rsidP="00281332">
                  <w:pPr>
                    <w:spacing w:after="0" w:line="240" w:lineRule="auto"/>
                    <w:jc w:val="right"/>
                    <w:rPr>
                      <w:rFonts w:eastAsia="Times New Roman"/>
                      <w:b/>
                      <w:sz w:val="16"/>
                      <w:szCs w:val="20"/>
                    </w:rPr>
                  </w:pPr>
                  <w:r w:rsidRPr="004D407A">
                    <w:rPr>
                      <w:rFonts w:eastAsia="MS Mincho"/>
                      <w:b/>
                      <w:sz w:val="16"/>
                      <w:szCs w:val="20"/>
                      <w:lang w:eastAsia="ja-JP"/>
                    </w:rPr>
                    <w:t>202</w:t>
                  </w:r>
                  <w:r w:rsidR="009F5409" w:rsidRPr="004D407A">
                    <w:rPr>
                      <w:rFonts w:eastAsia="MS Mincho"/>
                      <w:b/>
                      <w:sz w:val="16"/>
                      <w:szCs w:val="20"/>
                      <w:lang w:eastAsia="ja-JP"/>
                    </w:rPr>
                    <w:t>7</w:t>
                  </w:r>
                </w:p>
              </w:tc>
              <w:tc>
                <w:tcPr>
                  <w:tcW w:w="429" w:type="pct"/>
                  <w:tcBorders>
                    <w:top w:val="single" w:sz="4" w:space="0" w:color="auto"/>
                    <w:left w:val="nil"/>
                    <w:bottom w:val="single" w:sz="4" w:space="0" w:color="auto"/>
                    <w:right w:val="single" w:sz="4" w:space="0" w:color="auto"/>
                  </w:tcBorders>
                  <w:shd w:val="clear" w:color="auto" w:fill="2F5496" w:themeFill="accent5" w:themeFillShade="BF"/>
                  <w:vAlign w:val="center"/>
                </w:tcPr>
                <w:p w14:paraId="6C9C9EA6" w14:textId="77777777" w:rsidR="00281332" w:rsidRPr="004D407A" w:rsidRDefault="00281332" w:rsidP="00281332">
                  <w:pPr>
                    <w:spacing w:after="0" w:line="240" w:lineRule="auto"/>
                    <w:jc w:val="right"/>
                    <w:rPr>
                      <w:rFonts w:eastAsia="MS Mincho"/>
                      <w:b/>
                      <w:sz w:val="16"/>
                      <w:szCs w:val="20"/>
                      <w:lang w:eastAsia="ja-JP"/>
                    </w:rPr>
                  </w:pPr>
                  <w:r w:rsidRPr="004D407A">
                    <w:rPr>
                      <w:rFonts w:eastAsia="MS Mincho"/>
                      <w:b/>
                      <w:sz w:val="16"/>
                      <w:szCs w:val="20"/>
                      <w:lang w:eastAsia="ja-JP"/>
                    </w:rPr>
                    <w:t>Total</w:t>
                  </w:r>
                </w:p>
              </w:tc>
            </w:tr>
            <w:tr w:rsidR="004D407A" w:rsidRPr="004D407A" w14:paraId="75D9D650" w14:textId="77777777" w:rsidTr="001A268F">
              <w:trPr>
                <w:trHeight w:val="192"/>
                <w:jc w:val="center"/>
              </w:trPr>
              <w:tc>
                <w:tcPr>
                  <w:tcW w:w="2410" w:type="pct"/>
                  <w:tcBorders>
                    <w:top w:val="nil"/>
                    <w:left w:val="single" w:sz="4" w:space="0" w:color="auto"/>
                    <w:bottom w:val="single" w:sz="4" w:space="0" w:color="auto"/>
                    <w:right w:val="single" w:sz="4" w:space="0" w:color="auto"/>
                  </w:tcBorders>
                  <w:shd w:val="clear" w:color="auto" w:fill="auto"/>
                  <w:vAlign w:val="center"/>
                  <w:hideMark/>
                </w:tcPr>
                <w:p w14:paraId="5BBBD4B5" w14:textId="77777777" w:rsidR="00281332" w:rsidRPr="004D407A" w:rsidRDefault="00281332" w:rsidP="00CA3BCB">
                  <w:pPr>
                    <w:shd w:val="clear" w:color="auto" w:fill="FFFFFF" w:themeFill="background1"/>
                    <w:spacing w:after="0" w:line="240" w:lineRule="auto"/>
                    <w:rPr>
                      <w:rFonts w:ascii="Calibri" w:eastAsia="Times New Roman" w:hAnsi="Calibri"/>
                      <w:b/>
                      <w:sz w:val="16"/>
                      <w:szCs w:val="20"/>
                    </w:rPr>
                  </w:pPr>
                  <w:r w:rsidRPr="004D407A">
                    <w:rPr>
                      <w:rFonts w:ascii="Calibri" w:eastAsia="MS Mincho" w:hAnsi="Calibri"/>
                      <w:b/>
                      <w:sz w:val="16"/>
                      <w:szCs w:val="20"/>
                      <w:lang w:val="en-GB" w:eastAsia="ja-JP"/>
                    </w:rPr>
                    <w:t>Total Resources Required (US$ millions)</w:t>
                  </w:r>
                </w:p>
              </w:tc>
              <w:tc>
                <w:tcPr>
                  <w:tcW w:w="433" w:type="pct"/>
                  <w:tcBorders>
                    <w:top w:val="nil"/>
                    <w:left w:val="nil"/>
                    <w:bottom w:val="single" w:sz="4" w:space="0" w:color="auto"/>
                    <w:right w:val="single" w:sz="4" w:space="0" w:color="auto"/>
                  </w:tcBorders>
                  <w:shd w:val="clear" w:color="auto" w:fill="auto"/>
                  <w:vAlign w:val="bottom"/>
                </w:tcPr>
                <w:p w14:paraId="4FDBFDD1" w14:textId="65CE54B2" w:rsidR="00281332" w:rsidRPr="004D407A" w:rsidRDefault="009F5409" w:rsidP="00CA3BCB">
                  <w:pPr>
                    <w:shd w:val="clear" w:color="auto" w:fill="FFFFFF" w:themeFill="background1"/>
                    <w:spacing w:after="0" w:line="240" w:lineRule="auto"/>
                    <w:jc w:val="right"/>
                    <w:rPr>
                      <w:rFonts w:ascii="Calibri" w:hAnsi="Calibri"/>
                      <w:sz w:val="16"/>
                    </w:rPr>
                  </w:pPr>
                  <w:r w:rsidRPr="004D407A">
                    <w:rPr>
                      <w:rFonts w:ascii="Calibri" w:hAnsi="Calibri"/>
                      <w:sz w:val="16"/>
                    </w:rPr>
                    <w:t>107</w:t>
                  </w:r>
                </w:p>
              </w:tc>
              <w:tc>
                <w:tcPr>
                  <w:tcW w:w="432" w:type="pct"/>
                  <w:tcBorders>
                    <w:top w:val="nil"/>
                    <w:left w:val="nil"/>
                    <w:bottom w:val="single" w:sz="4" w:space="0" w:color="auto"/>
                    <w:right w:val="single" w:sz="4" w:space="0" w:color="auto"/>
                  </w:tcBorders>
                  <w:shd w:val="clear" w:color="auto" w:fill="auto"/>
                  <w:vAlign w:val="bottom"/>
                </w:tcPr>
                <w:p w14:paraId="45A52181" w14:textId="27D94577" w:rsidR="00281332" w:rsidRPr="004D407A" w:rsidRDefault="00CA3BCB" w:rsidP="00CA3BCB">
                  <w:pPr>
                    <w:shd w:val="clear" w:color="auto" w:fill="FFFFFF" w:themeFill="background1"/>
                    <w:spacing w:after="0" w:line="240" w:lineRule="auto"/>
                    <w:jc w:val="right"/>
                    <w:rPr>
                      <w:rFonts w:ascii="Calibri" w:hAnsi="Calibri"/>
                      <w:sz w:val="16"/>
                    </w:rPr>
                  </w:pPr>
                  <w:r w:rsidRPr="004D407A">
                    <w:rPr>
                      <w:rFonts w:ascii="Calibri" w:hAnsi="Calibri"/>
                      <w:sz w:val="16"/>
                    </w:rPr>
                    <w:t>98</w:t>
                  </w:r>
                </w:p>
              </w:tc>
              <w:tc>
                <w:tcPr>
                  <w:tcW w:w="432" w:type="pct"/>
                  <w:tcBorders>
                    <w:top w:val="nil"/>
                    <w:left w:val="nil"/>
                    <w:bottom w:val="single" w:sz="4" w:space="0" w:color="auto"/>
                    <w:right w:val="single" w:sz="4" w:space="0" w:color="auto"/>
                  </w:tcBorders>
                  <w:shd w:val="clear" w:color="auto" w:fill="auto"/>
                  <w:vAlign w:val="bottom"/>
                </w:tcPr>
                <w:p w14:paraId="6B031EE3" w14:textId="11FE0CA0" w:rsidR="00281332" w:rsidRPr="004D407A" w:rsidRDefault="00CA3BCB" w:rsidP="00CA3BCB">
                  <w:pPr>
                    <w:shd w:val="clear" w:color="auto" w:fill="FFFFFF" w:themeFill="background1"/>
                    <w:spacing w:after="0" w:line="240" w:lineRule="auto"/>
                    <w:jc w:val="right"/>
                    <w:rPr>
                      <w:rFonts w:ascii="Calibri" w:hAnsi="Calibri"/>
                      <w:sz w:val="16"/>
                    </w:rPr>
                  </w:pPr>
                  <w:r w:rsidRPr="004D407A">
                    <w:rPr>
                      <w:rFonts w:ascii="Calibri" w:hAnsi="Calibri"/>
                      <w:sz w:val="16"/>
                    </w:rPr>
                    <w:t>97</w:t>
                  </w:r>
                </w:p>
              </w:tc>
              <w:tc>
                <w:tcPr>
                  <w:tcW w:w="432" w:type="pct"/>
                  <w:tcBorders>
                    <w:top w:val="nil"/>
                    <w:left w:val="nil"/>
                    <w:bottom w:val="single" w:sz="4" w:space="0" w:color="auto"/>
                    <w:right w:val="single" w:sz="4" w:space="0" w:color="auto"/>
                  </w:tcBorders>
                  <w:shd w:val="clear" w:color="auto" w:fill="auto"/>
                  <w:vAlign w:val="bottom"/>
                </w:tcPr>
                <w:p w14:paraId="71C4E02D" w14:textId="3AAA5313" w:rsidR="00281332" w:rsidRPr="004D407A" w:rsidRDefault="00CA3BCB" w:rsidP="00CA3BCB">
                  <w:pPr>
                    <w:shd w:val="clear" w:color="auto" w:fill="FFFFFF" w:themeFill="background1"/>
                    <w:spacing w:after="0" w:line="240" w:lineRule="auto"/>
                    <w:jc w:val="right"/>
                    <w:rPr>
                      <w:rFonts w:ascii="Calibri" w:hAnsi="Calibri"/>
                      <w:sz w:val="16"/>
                    </w:rPr>
                  </w:pPr>
                  <w:r w:rsidRPr="004D407A">
                    <w:rPr>
                      <w:rFonts w:ascii="Calibri" w:hAnsi="Calibri"/>
                      <w:sz w:val="16"/>
                    </w:rPr>
                    <w:t>92</w:t>
                  </w:r>
                </w:p>
              </w:tc>
              <w:tc>
                <w:tcPr>
                  <w:tcW w:w="432" w:type="pct"/>
                  <w:tcBorders>
                    <w:top w:val="nil"/>
                    <w:left w:val="nil"/>
                    <w:bottom w:val="single" w:sz="4" w:space="0" w:color="auto"/>
                    <w:right w:val="single" w:sz="4" w:space="0" w:color="auto"/>
                  </w:tcBorders>
                  <w:shd w:val="clear" w:color="auto" w:fill="auto"/>
                  <w:vAlign w:val="bottom"/>
                </w:tcPr>
                <w:p w14:paraId="28D905FA" w14:textId="77E5FB4D" w:rsidR="00281332" w:rsidRPr="004D407A" w:rsidRDefault="00CA3BCB" w:rsidP="00CA3BCB">
                  <w:pPr>
                    <w:shd w:val="clear" w:color="auto" w:fill="FFFFFF" w:themeFill="background1"/>
                    <w:spacing w:after="0" w:line="240" w:lineRule="auto"/>
                    <w:jc w:val="right"/>
                    <w:rPr>
                      <w:rFonts w:ascii="Calibri" w:hAnsi="Calibri"/>
                      <w:sz w:val="16"/>
                    </w:rPr>
                  </w:pPr>
                  <w:r w:rsidRPr="004D407A">
                    <w:rPr>
                      <w:rFonts w:ascii="Calibri" w:hAnsi="Calibri"/>
                      <w:sz w:val="16"/>
                    </w:rPr>
                    <w:t>90</w:t>
                  </w:r>
                </w:p>
              </w:tc>
              <w:tc>
                <w:tcPr>
                  <w:tcW w:w="429" w:type="pct"/>
                  <w:tcBorders>
                    <w:top w:val="nil"/>
                    <w:left w:val="nil"/>
                    <w:bottom w:val="single" w:sz="4" w:space="0" w:color="auto"/>
                    <w:right w:val="single" w:sz="4" w:space="0" w:color="auto"/>
                  </w:tcBorders>
                  <w:vAlign w:val="bottom"/>
                </w:tcPr>
                <w:p w14:paraId="28C70364" w14:textId="5386AC41" w:rsidR="00281332" w:rsidRPr="004D407A" w:rsidRDefault="00CA3BCB" w:rsidP="00CA3BCB">
                  <w:pPr>
                    <w:shd w:val="clear" w:color="auto" w:fill="FFFFFF" w:themeFill="background1"/>
                    <w:spacing w:after="0" w:line="240" w:lineRule="auto"/>
                    <w:jc w:val="right"/>
                    <w:rPr>
                      <w:rFonts w:ascii="Calibri" w:hAnsi="Calibri"/>
                      <w:sz w:val="16"/>
                    </w:rPr>
                  </w:pPr>
                  <w:r w:rsidRPr="004D407A">
                    <w:rPr>
                      <w:rFonts w:ascii="Calibri" w:hAnsi="Calibri"/>
                      <w:sz w:val="16"/>
                    </w:rPr>
                    <w:t>485</w:t>
                  </w:r>
                </w:p>
              </w:tc>
            </w:tr>
            <w:tr w:rsidR="004D407A" w:rsidRPr="004D407A" w14:paraId="0CDB7C7D" w14:textId="77777777" w:rsidTr="001A268F">
              <w:trPr>
                <w:trHeight w:val="192"/>
                <w:jc w:val="center"/>
              </w:trPr>
              <w:tc>
                <w:tcPr>
                  <w:tcW w:w="2410" w:type="pct"/>
                  <w:tcBorders>
                    <w:top w:val="nil"/>
                    <w:left w:val="single" w:sz="4" w:space="0" w:color="auto"/>
                    <w:bottom w:val="single" w:sz="4" w:space="0" w:color="auto"/>
                    <w:right w:val="single" w:sz="4" w:space="0" w:color="auto"/>
                  </w:tcBorders>
                  <w:shd w:val="clear" w:color="auto" w:fill="auto"/>
                  <w:vAlign w:val="center"/>
                  <w:hideMark/>
                </w:tcPr>
                <w:p w14:paraId="40FFA3BD" w14:textId="77777777" w:rsidR="00281332" w:rsidRPr="004D407A" w:rsidRDefault="00281332" w:rsidP="00CA3BCB">
                  <w:pPr>
                    <w:shd w:val="clear" w:color="auto" w:fill="FFFFFF" w:themeFill="background1"/>
                    <w:spacing w:after="0" w:line="240" w:lineRule="auto"/>
                    <w:rPr>
                      <w:rFonts w:ascii="Calibri" w:eastAsia="Times New Roman" w:hAnsi="Calibri"/>
                      <w:bCs/>
                      <w:sz w:val="16"/>
                      <w:szCs w:val="20"/>
                    </w:rPr>
                  </w:pPr>
                  <w:r w:rsidRPr="004D407A">
                    <w:rPr>
                      <w:rFonts w:ascii="Calibri" w:eastAsia="MS Mincho" w:hAnsi="Calibri"/>
                      <w:bCs/>
                      <w:sz w:val="16"/>
                      <w:szCs w:val="20"/>
                      <w:lang w:val="en-GB" w:eastAsia="ja-JP"/>
                    </w:rPr>
                    <w:t>Cost per capita</w:t>
                  </w:r>
                </w:p>
              </w:tc>
              <w:tc>
                <w:tcPr>
                  <w:tcW w:w="433" w:type="pct"/>
                  <w:tcBorders>
                    <w:top w:val="nil"/>
                    <w:left w:val="nil"/>
                    <w:bottom w:val="single" w:sz="4" w:space="0" w:color="auto"/>
                    <w:right w:val="single" w:sz="4" w:space="0" w:color="auto"/>
                  </w:tcBorders>
                  <w:shd w:val="clear" w:color="auto" w:fill="auto"/>
                  <w:noWrap/>
                  <w:vAlign w:val="bottom"/>
                </w:tcPr>
                <w:p w14:paraId="2A395A0F" w14:textId="58CC24A3" w:rsidR="00281332" w:rsidRPr="004D407A" w:rsidRDefault="00583F74" w:rsidP="00CA3BCB">
                  <w:pPr>
                    <w:shd w:val="clear" w:color="auto" w:fill="FFFFFF" w:themeFill="background1"/>
                    <w:spacing w:after="0" w:line="240" w:lineRule="auto"/>
                    <w:jc w:val="right"/>
                    <w:rPr>
                      <w:rFonts w:ascii="Calibri" w:hAnsi="Calibri"/>
                      <w:sz w:val="16"/>
                    </w:rPr>
                  </w:pPr>
                  <w:r w:rsidRPr="004D407A">
                    <w:rPr>
                      <w:rFonts w:ascii="Calibri" w:hAnsi="Calibri"/>
                      <w:sz w:val="16"/>
                    </w:rPr>
                    <w:t>0.41</w:t>
                  </w:r>
                </w:p>
              </w:tc>
              <w:tc>
                <w:tcPr>
                  <w:tcW w:w="432" w:type="pct"/>
                  <w:tcBorders>
                    <w:top w:val="nil"/>
                    <w:left w:val="nil"/>
                    <w:bottom w:val="single" w:sz="4" w:space="0" w:color="auto"/>
                    <w:right w:val="single" w:sz="4" w:space="0" w:color="auto"/>
                  </w:tcBorders>
                  <w:shd w:val="clear" w:color="auto" w:fill="auto"/>
                  <w:noWrap/>
                  <w:vAlign w:val="bottom"/>
                </w:tcPr>
                <w:p w14:paraId="7540C777" w14:textId="08AE8DAC" w:rsidR="00281332" w:rsidRPr="004D407A" w:rsidRDefault="00583F74" w:rsidP="00CA3BCB">
                  <w:pPr>
                    <w:shd w:val="clear" w:color="auto" w:fill="FFFFFF" w:themeFill="background1"/>
                    <w:spacing w:after="0" w:line="240" w:lineRule="auto"/>
                    <w:jc w:val="right"/>
                    <w:rPr>
                      <w:rFonts w:ascii="Calibri" w:hAnsi="Calibri"/>
                      <w:sz w:val="16"/>
                    </w:rPr>
                  </w:pPr>
                  <w:r w:rsidRPr="004D407A">
                    <w:rPr>
                      <w:rFonts w:ascii="Calibri" w:hAnsi="Calibri"/>
                      <w:sz w:val="16"/>
                    </w:rPr>
                    <w:t>0.48</w:t>
                  </w:r>
                </w:p>
              </w:tc>
              <w:tc>
                <w:tcPr>
                  <w:tcW w:w="432" w:type="pct"/>
                  <w:tcBorders>
                    <w:top w:val="nil"/>
                    <w:left w:val="nil"/>
                    <w:bottom w:val="single" w:sz="4" w:space="0" w:color="auto"/>
                    <w:right w:val="single" w:sz="4" w:space="0" w:color="auto"/>
                  </w:tcBorders>
                  <w:shd w:val="clear" w:color="auto" w:fill="auto"/>
                  <w:noWrap/>
                  <w:vAlign w:val="bottom"/>
                </w:tcPr>
                <w:p w14:paraId="51310E26" w14:textId="2A20371D" w:rsidR="00281332" w:rsidRPr="004D407A" w:rsidRDefault="00583F74" w:rsidP="00CA3BCB">
                  <w:pPr>
                    <w:shd w:val="clear" w:color="auto" w:fill="FFFFFF" w:themeFill="background1"/>
                    <w:spacing w:after="0" w:line="240" w:lineRule="auto"/>
                    <w:jc w:val="right"/>
                    <w:rPr>
                      <w:rFonts w:ascii="Calibri" w:hAnsi="Calibri"/>
                      <w:sz w:val="16"/>
                    </w:rPr>
                  </w:pPr>
                  <w:r w:rsidRPr="004D407A">
                    <w:rPr>
                      <w:rFonts w:ascii="Calibri" w:hAnsi="Calibri"/>
                      <w:sz w:val="16"/>
                    </w:rPr>
                    <w:t>0.48</w:t>
                  </w:r>
                </w:p>
              </w:tc>
              <w:tc>
                <w:tcPr>
                  <w:tcW w:w="432" w:type="pct"/>
                  <w:tcBorders>
                    <w:top w:val="nil"/>
                    <w:left w:val="nil"/>
                    <w:bottom w:val="single" w:sz="4" w:space="0" w:color="auto"/>
                    <w:right w:val="single" w:sz="4" w:space="0" w:color="auto"/>
                  </w:tcBorders>
                  <w:shd w:val="clear" w:color="auto" w:fill="auto"/>
                  <w:noWrap/>
                  <w:vAlign w:val="bottom"/>
                </w:tcPr>
                <w:p w14:paraId="61F8B3A0" w14:textId="28D103C5" w:rsidR="00281332" w:rsidRPr="004D407A" w:rsidRDefault="00583F74" w:rsidP="00CA3BCB">
                  <w:pPr>
                    <w:shd w:val="clear" w:color="auto" w:fill="FFFFFF" w:themeFill="background1"/>
                    <w:spacing w:after="0" w:line="240" w:lineRule="auto"/>
                    <w:jc w:val="right"/>
                    <w:rPr>
                      <w:rFonts w:ascii="Calibri" w:hAnsi="Calibri"/>
                      <w:sz w:val="16"/>
                    </w:rPr>
                  </w:pPr>
                  <w:r w:rsidRPr="004D407A">
                    <w:rPr>
                      <w:rFonts w:ascii="Calibri" w:hAnsi="Calibri"/>
                      <w:sz w:val="16"/>
                    </w:rPr>
                    <w:t>0.48</w:t>
                  </w:r>
                </w:p>
              </w:tc>
              <w:tc>
                <w:tcPr>
                  <w:tcW w:w="432" w:type="pct"/>
                  <w:tcBorders>
                    <w:top w:val="nil"/>
                    <w:left w:val="nil"/>
                    <w:bottom w:val="single" w:sz="4" w:space="0" w:color="auto"/>
                    <w:right w:val="single" w:sz="4" w:space="0" w:color="auto"/>
                  </w:tcBorders>
                  <w:shd w:val="clear" w:color="auto" w:fill="auto"/>
                  <w:noWrap/>
                  <w:vAlign w:val="bottom"/>
                </w:tcPr>
                <w:p w14:paraId="1D0FE994" w14:textId="16EC7ADC" w:rsidR="00281332" w:rsidRPr="004D407A" w:rsidRDefault="00583F74" w:rsidP="00CA3BCB">
                  <w:pPr>
                    <w:shd w:val="clear" w:color="auto" w:fill="FFFFFF" w:themeFill="background1"/>
                    <w:spacing w:after="0" w:line="240" w:lineRule="auto"/>
                    <w:jc w:val="right"/>
                    <w:rPr>
                      <w:rFonts w:ascii="Calibri" w:hAnsi="Calibri"/>
                      <w:sz w:val="16"/>
                    </w:rPr>
                  </w:pPr>
                  <w:r w:rsidRPr="004D407A">
                    <w:rPr>
                      <w:rFonts w:ascii="Calibri" w:hAnsi="Calibri"/>
                      <w:sz w:val="16"/>
                    </w:rPr>
                    <w:t>0.48</w:t>
                  </w:r>
                </w:p>
              </w:tc>
              <w:tc>
                <w:tcPr>
                  <w:tcW w:w="429" w:type="pct"/>
                  <w:tcBorders>
                    <w:top w:val="nil"/>
                    <w:left w:val="nil"/>
                    <w:bottom w:val="single" w:sz="4" w:space="0" w:color="auto"/>
                    <w:right w:val="single" w:sz="4" w:space="0" w:color="auto"/>
                  </w:tcBorders>
                  <w:vAlign w:val="bottom"/>
                </w:tcPr>
                <w:p w14:paraId="06808E30" w14:textId="14CD2B1C" w:rsidR="00281332" w:rsidRPr="004D407A" w:rsidRDefault="00583F74" w:rsidP="00CA3BCB">
                  <w:pPr>
                    <w:shd w:val="clear" w:color="auto" w:fill="FFFFFF" w:themeFill="background1"/>
                    <w:spacing w:after="0" w:line="240" w:lineRule="auto"/>
                    <w:jc w:val="right"/>
                    <w:rPr>
                      <w:rFonts w:ascii="Calibri" w:hAnsi="Calibri"/>
                      <w:sz w:val="16"/>
                    </w:rPr>
                  </w:pPr>
                  <w:r w:rsidRPr="004D407A">
                    <w:rPr>
                      <w:rFonts w:ascii="Calibri" w:hAnsi="Calibri"/>
                      <w:sz w:val="16"/>
                    </w:rPr>
                    <w:t>0.48</w:t>
                  </w:r>
                </w:p>
              </w:tc>
            </w:tr>
            <w:tr w:rsidR="004D407A" w:rsidRPr="004D407A" w14:paraId="44C15B58" w14:textId="77777777" w:rsidTr="001A268F">
              <w:trPr>
                <w:trHeight w:val="192"/>
                <w:jc w:val="center"/>
              </w:trPr>
              <w:tc>
                <w:tcPr>
                  <w:tcW w:w="2410" w:type="pct"/>
                  <w:tcBorders>
                    <w:top w:val="nil"/>
                    <w:left w:val="single" w:sz="4" w:space="0" w:color="auto"/>
                    <w:bottom w:val="single" w:sz="4" w:space="0" w:color="auto"/>
                    <w:right w:val="single" w:sz="4" w:space="0" w:color="auto"/>
                  </w:tcBorders>
                  <w:shd w:val="clear" w:color="auto" w:fill="auto"/>
                  <w:vAlign w:val="center"/>
                  <w:hideMark/>
                </w:tcPr>
                <w:p w14:paraId="5B4391F6" w14:textId="77777777" w:rsidR="00281332" w:rsidRPr="004D407A" w:rsidRDefault="00281332" w:rsidP="00CA3BCB">
                  <w:pPr>
                    <w:shd w:val="clear" w:color="auto" w:fill="FFFFFF" w:themeFill="background1"/>
                    <w:spacing w:after="0" w:line="240" w:lineRule="auto"/>
                    <w:rPr>
                      <w:rFonts w:ascii="Calibri" w:eastAsia="Times New Roman" w:hAnsi="Calibri"/>
                      <w:b/>
                      <w:sz w:val="16"/>
                      <w:szCs w:val="20"/>
                    </w:rPr>
                  </w:pPr>
                  <w:r w:rsidRPr="004D407A">
                    <w:rPr>
                      <w:rFonts w:ascii="Calibri" w:eastAsia="MS Mincho" w:hAnsi="Calibri"/>
                      <w:b/>
                      <w:sz w:val="16"/>
                      <w:szCs w:val="20"/>
                      <w:lang w:val="en-GB" w:eastAsia="ja-JP"/>
                    </w:rPr>
                    <w:t>Total Secure Financing (US$ millions)</w:t>
                  </w:r>
                </w:p>
              </w:tc>
              <w:tc>
                <w:tcPr>
                  <w:tcW w:w="433" w:type="pct"/>
                  <w:tcBorders>
                    <w:top w:val="nil"/>
                    <w:left w:val="nil"/>
                    <w:bottom w:val="single" w:sz="4" w:space="0" w:color="auto"/>
                    <w:right w:val="single" w:sz="4" w:space="0" w:color="auto"/>
                  </w:tcBorders>
                  <w:shd w:val="clear" w:color="auto" w:fill="auto"/>
                  <w:noWrap/>
                  <w:vAlign w:val="bottom"/>
                </w:tcPr>
                <w:p w14:paraId="4A43804E" w14:textId="171D95E9" w:rsidR="00281332" w:rsidRPr="004D407A" w:rsidRDefault="00526FBF" w:rsidP="00CA3BCB">
                  <w:pPr>
                    <w:shd w:val="clear" w:color="auto" w:fill="FFFFFF" w:themeFill="background1"/>
                    <w:spacing w:after="0" w:line="240" w:lineRule="auto"/>
                    <w:jc w:val="right"/>
                    <w:rPr>
                      <w:rFonts w:ascii="Calibri" w:hAnsi="Calibri"/>
                      <w:sz w:val="16"/>
                    </w:rPr>
                  </w:pPr>
                  <w:r w:rsidRPr="004D407A">
                    <w:rPr>
                      <w:rFonts w:ascii="Calibri" w:hAnsi="Calibri"/>
                      <w:sz w:val="16"/>
                    </w:rPr>
                    <w:t>81.2</w:t>
                  </w:r>
                </w:p>
              </w:tc>
              <w:tc>
                <w:tcPr>
                  <w:tcW w:w="432" w:type="pct"/>
                  <w:tcBorders>
                    <w:top w:val="nil"/>
                    <w:left w:val="nil"/>
                    <w:bottom w:val="single" w:sz="4" w:space="0" w:color="auto"/>
                    <w:right w:val="single" w:sz="4" w:space="0" w:color="auto"/>
                  </w:tcBorders>
                  <w:shd w:val="clear" w:color="auto" w:fill="auto"/>
                  <w:noWrap/>
                  <w:vAlign w:val="bottom"/>
                </w:tcPr>
                <w:p w14:paraId="1A9E066E" w14:textId="006AB546" w:rsidR="00281332" w:rsidRPr="004D407A" w:rsidRDefault="00526FBF" w:rsidP="00CA3BCB">
                  <w:pPr>
                    <w:shd w:val="clear" w:color="auto" w:fill="FFFFFF" w:themeFill="background1"/>
                    <w:spacing w:after="0" w:line="240" w:lineRule="auto"/>
                    <w:jc w:val="right"/>
                    <w:rPr>
                      <w:rFonts w:ascii="Calibri" w:hAnsi="Calibri"/>
                      <w:sz w:val="16"/>
                    </w:rPr>
                  </w:pPr>
                  <w:r w:rsidRPr="004D407A">
                    <w:rPr>
                      <w:rFonts w:ascii="Calibri" w:hAnsi="Calibri"/>
                      <w:sz w:val="16"/>
                    </w:rPr>
                    <w:t>83.2</w:t>
                  </w:r>
                </w:p>
              </w:tc>
              <w:tc>
                <w:tcPr>
                  <w:tcW w:w="432" w:type="pct"/>
                  <w:tcBorders>
                    <w:top w:val="nil"/>
                    <w:left w:val="nil"/>
                    <w:bottom w:val="single" w:sz="4" w:space="0" w:color="auto"/>
                    <w:right w:val="single" w:sz="4" w:space="0" w:color="auto"/>
                  </w:tcBorders>
                  <w:shd w:val="clear" w:color="auto" w:fill="auto"/>
                  <w:noWrap/>
                  <w:vAlign w:val="bottom"/>
                </w:tcPr>
                <w:p w14:paraId="3B69787D" w14:textId="06AB413E" w:rsidR="00281332" w:rsidRPr="004D407A" w:rsidRDefault="00526FBF" w:rsidP="00CA3BCB">
                  <w:pPr>
                    <w:shd w:val="clear" w:color="auto" w:fill="FFFFFF" w:themeFill="background1"/>
                    <w:spacing w:after="0" w:line="240" w:lineRule="auto"/>
                    <w:jc w:val="right"/>
                    <w:rPr>
                      <w:rFonts w:ascii="Calibri" w:hAnsi="Calibri"/>
                      <w:sz w:val="16"/>
                    </w:rPr>
                  </w:pPr>
                  <w:r w:rsidRPr="004D407A">
                    <w:rPr>
                      <w:rFonts w:ascii="Calibri" w:hAnsi="Calibri"/>
                      <w:sz w:val="16"/>
                    </w:rPr>
                    <w:t>82.8</w:t>
                  </w:r>
                </w:p>
              </w:tc>
              <w:tc>
                <w:tcPr>
                  <w:tcW w:w="432" w:type="pct"/>
                  <w:tcBorders>
                    <w:top w:val="nil"/>
                    <w:left w:val="nil"/>
                    <w:bottom w:val="single" w:sz="4" w:space="0" w:color="auto"/>
                    <w:right w:val="single" w:sz="4" w:space="0" w:color="auto"/>
                  </w:tcBorders>
                  <w:shd w:val="clear" w:color="auto" w:fill="auto"/>
                  <w:noWrap/>
                  <w:vAlign w:val="bottom"/>
                </w:tcPr>
                <w:p w14:paraId="584014AC" w14:textId="3616F3E7" w:rsidR="00281332" w:rsidRPr="004D407A" w:rsidRDefault="00526FBF" w:rsidP="00CA3BCB">
                  <w:pPr>
                    <w:shd w:val="clear" w:color="auto" w:fill="FFFFFF" w:themeFill="background1"/>
                    <w:spacing w:after="0" w:line="240" w:lineRule="auto"/>
                    <w:jc w:val="right"/>
                    <w:rPr>
                      <w:rFonts w:ascii="Calibri" w:hAnsi="Calibri"/>
                      <w:sz w:val="16"/>
                    </w:rPr>
                  </w:pPr>
                  <w:r w:rsidRPr="004D407A">
                    <w:rPr>
                      <w:rFonts w:ascii="Calibri" w:hAnsi="Calibri"/>
                      <w:sz w:val="16"/>
                    </w:rPr>
                    <w:t>83.9</w:t>
                  </w:r>
                </w:p>
              </w:tc>
              <w:tc>
                <w:tcPr>
                  <w:tcW w:w="432" w:type="pct"/>
                  <w:tcBorders>
                    <w:top w:val="nil"/>
                    <w:left w:val="nil"/>
                    <w:bottom w:val="single" w:sz="4" w:space="0" w:color="auto"/>
                    <w:right w:val="single" w:sz="4" w:space="0" w:color="auto"/>
                  </w:tcBorders>
                  <w:shd w:val="clear" w:color="auto" w:fill="auto"/>
                  <w:vAlign w:val="bottom"/>
                </w:tcPr>
                <w:p w14:paraId="2D65EC58" w14:textId="6225FF0F" w:rsidR="00281332" w:rsidRPr="004D407A" w:rsidRDefault="00526FBF" w:rsidP="00CA3BCB">
                  <w:pPr>
                    <w:shd w:val="clear" w:color="auto" w:fill="FFFFFF" w:themeFill="background1"/>
                    <w:spacing w:after="0" w:line="240" w:lineRule="auto"/>
                    <w:jc w:val="right"/>
                    <w:rPr>
                      <w:rFonts w:ascii="Calibri" w:hAnsi="Calibri"/>
                      <w:sz w:val="16"/>
                    </w:rPr>
                  </w:pPr>
                  <w:r w:rsidRPr="004D407A">
                    <w:rPr>
                      <w:rFonts w:ascii="Calibri" w:hAnsi="Calibri"/>
                      <w:sz w:val="16"/>
                    </w:rPr>
                    <w:t>85</w:t>
                  </w:r>
                </w:p>
              </w:tc>
              <w:tc>
                <w:tcPr>
                  <w:tcW w:w="429" w:type="pct"/>
                  <w:tcBorders>
                    <w:top w:val="nil"/>
                    <w:left w:val="nil"/>
                    <w:bottom w:val="single" w:sz="4" w:space="0" w:color="auto"/>
                    <w:right w:val="single" w:sz="4" w:space="0" w:color="auto"/>
                  </w:tcBorders>
                  <w:vAlign w:val="bottom"/>
                </w:tcPr>
                <w:p w14:paraId="3A28A7FD" w14:textId="7861EDA9" w:rsidR="00281332" w:rsidRPr="004D407A" w:rsidRDefault="00526FBF" w:rsidP="00CA3BCB">
                  <w:pPr>
                    <w:shd w:val="clear" w:color="auto" w:fill="FFFFFF" w:themeFill="background1"/>
                    <w:spacing w:after="0" w:line="240" w:lineRule="auto"/>
                    <w:jc w:val="right"/>
                    <w:rPr>
                      <w:rFonts w:ascii="Calibri" w:hAnsi="Calibri"/>
                      <w:sz w:val="16"/>
                    </w:rPr>
                  </w:pPr>
                  <w:r w:rsidRPr="004D407A">
                    <w:rPr>
                      <w:rFonts w:ascii="Calibri" w:hAnsi="Calibri"/>
                      <w:sz w:val="16"/>
                    </w:rPr>
                    <w:t>416.2</w:t>
                  </w:r>
                </w:p>
              </w:tc>
            </w:tr>
            <w:tr w:rsidR="004D407A" w:rsidRPr="004D407A" w14:paraId="579E1374" w14:textId="77777777" w:rsidTr="001A268F">
              <w:trPr>
                <w:trHeight w:val="192"/>
                <w:jc w:val="center"/>
              </w:trPr>
              <w:tc>
                <w:tcPr>
                  <w:tcW w:w="2410" w:type="pct"/>
                  <w:tcBorders>
                    <w:top w:val="nil"/>
                    <w:left w:val="single" w:sz="4" w:space="0" w:color="auto"/>
                    <w:bottom w:val="single" w:sz="4" w:space="0" w:color="auto"/>
                    <w:right w:val="single" w:sz="4" w:space="0" w:color="auto"/>
                  </w:tcBorders>
                  <w:shd w:val="clear" w:color="auto" w:fill="auto"/>
                  <w:vAlign w:val="center"/>
                </w:tcPr>
                <w:p w14:paraId="0FC83044" w14:textId="1D5ACA2F" w:rsidR="001A268F" w:rsidRPr="004D407A" w:rsidRDefault="001A268F" w:rsidP="001A268F">
                  <w:pPr>
                    <w:shd w:val="clear" w:color="auto" w:fill="FFFFFF" w:themeFill="background1"/>
                    <w:spacing w:after="0" w:line="240" w:lineRule="auto"/>
                    <w:rPr>
                      <w:rFonts w:ascii="Calibri" w:eastAsia="Times New Roman" w:hAnsi="Calibri"/>
                      <w:b/>
                      <w:sz w:val="16"/>
                      <w:szCs w:val="20"/>
                    </w:rPr>
                  </w:pPr>
                  <w:proofErr w:type="gramStart"/>
                  <w:r w:rsidRPr="004D407A">
                    <w:rPr>
                      <w:rFonts w:ascii="Calibri" w:eastAsia="MS Mincho" w:hAnsi="Calibri"/>
                      <w:b/>
                      <w:sz w:val="16"/>
                      <w:szCs w:val="20"/>
                      <w:lang w:val="en-GB" w:eastAsia="ja-JP"/>
                    </w:rPr>
                    <w:t>Gap  (</w:t>
                  </w:r>
                  <w:proofErr w:type="gramEnd"/>
                  <w:r w:rsidRPr="004D407A">
                    <w:rPr>
                      <w:rFonts w:ascii="Calibri" w:eastAsia="MS Mincho" w:hAnsi="Calibri"/>
                      <w:b/>
                      <w:sz w:val="16"/>
                      <w:szCs w:val="20"/>
                      <w:lang w:val="en-GB" w:eastAsia="ja-JP"/>
                    </w:rPr>
                    <w:t>US$ millions)</w:t>
                  </w:r>
                </w:p>
              </w:tc>
              <w:tc>
                <w:tcPr>
                  <w:tcW w:w="433" w:type="pct"/>
                  <w:tcBorders>
                    <w:top w:val="nil"/>
                    <w:left w:val="nil"/>
                    <w:bottom w:val="single" w:sz="4" w:space="0" w:color="auto"/>
                    <w:right w:val="single" w:sz="4" w:space="0" w:color="auto"/>
                  </w:tcBorders>
                  <w:shd w:val="clear" w:color="auto" w:fill="auto"/>
                  <w:vAlign w:val="bottom"/>
                </w:tcPr>
                <w:p w14:paraId="0DF04DBD" w14:textId="3BD3F0A8" w:rsidR="001A268F" w:rsidRPr="004D407A" w:rsidRDefault="001A268F" w:rsidP="001A268F">
                  <w:pPr>
                    <w:shd w:val="clear" w:color="auto" w:fill="FFFFFF" w:themeFill="background1"/>
                    <w:spacing w:after="0" w:line="240" w:lineRule="auto"/>
                    <w:jc w:val="right"/>
                    <w:rPr>
                      <w:rFonts w:ascii="Calibri" w:hAnsi="Calibri"/>
                      <w:sz w:val="16"/>
                    </w:rPr>
                  </w:pPr>
                  <w:r w:rsidRPr="004D407A">
                    <w:rPr>
                      <w:rFonts w:ascii="Calibri" w:hAnsi="Calibri"/>
                      <w:sz w:val="16"/>
                    </w:rPr>
                    <w:t>26</w:t>
                  </w:r>
                </w:p>
              </w:tc>
              <w:tc>
                <w:tcPr>
                  <w:tcW w:w="432" w:type="pct"/>
                  <w:tcBorders>
                    <w:top w:val="nil"/>
                    <w:left w:val="nil"/>
                    <w:bottom w:val="single" w:sz="4" w:space="0" w:color="auto"/>
                    <w:right w:val="single" w:sz="4" w:space="0" w:color="auto"/>
                  </w:tcBorders>
                  <w:shd w:val="clear" w:color="auto" w:fill="auto"/>
                  <w:vAlign w:val="bottom"/>
                </w:tcPr>
                <w:p w14:paraId="56E30581" w14:textId="1EA7D89E" w:rsidR="001A268F" w:rsidRPr="004D407A" w:rsidRDefault="001A268F" w:rsidP="001A268F">
                  <w:pPr>
                    <w:shd w:val="clear" w:color="auto" w:fill="FFFFFF" w:themeFill="background1"/>
                    <w:spacing w:after="0" w:line="240" w:lineRule="auto"/>
                    <w:jc w:val="right"/>
                    <w:rPr>
                      <w:rFonts w:ascii="Calibri" w:hAnsi="Calibri"/>
                      <w:sz w:val="16"/>
                    </w:rPr>
                  </w:pPr>
                  <w:r w:rsidRPr="004D407A">
                    <w:rPr>
                      <w:rFonts w:ascii="Calibri" w:hAnsi="Calibri"/>
                      <w:sz w:val="16"/>
                    </w:rPr>
                    <w:t>15</w:t>
                  </w:r>
                </w:p>
              </w:tc>
              <w:tc>
                <w:tcPr>
                  <w:tcW w:w="432" w:type="pct"/>
                  <w:tcBorders>
                    <w:top w:val="nil"/>
                    <w:left w:val="nil"/>
                    <w:bottom w:val="single" w:sz="4" w:space="0" w:color="auto"/>
                    <w:right w:val="single" w:sz="4" w:space="0" w:color="auto"/>
                  </w:tcBorders>
                  <w:shd w:val="clear" w:color="auto" w:fill="auto"/>
                  <w:vAlign w:val="bottom"/>
                </w:tcPr>
                <w:p w14:paraId="5E570864" w14:textId="03728934" w:rsidR="001A268F" w:rsidRPr="004D407A" w:rsidRDefault="001A268F" w:rsidP="001A268F">
                  <w:pPr>
                    <w:shd w:val="clear" w:color="auto" w:fill="FFFFFF" w:themeFill="background1"/>
                    <w:spacing w:after="0" w:line="240" w:lineRule="auto"/>
                    <w:jc w:val="right"/>
                    <w:rPr>
                      <w:rFonts w:ascii="Calibri" w:hAnsi="Calibri"/>
                      <w:sz w:val="16"/>
                    </w:rPr>
                  </w:pPr>
                  <w:r w:rsidRPr="004D407A">
                    <w:rPr>
                      <w:rFonts w:ascii="Calibri" w:hAnsi="Calibri"/>
                      <w:sz w:val="16"/>
                    </w:rPr>
                    <w:t>14</w:t>
                  </w:r>
                </w:p>
              </w:tc>
              <w:tc>
                <w:tcPr>
                  <w:tcW w:w="432" w:type="pct"/>
                  <w:tcBorders>
                    <w:top w:val="nil"/>
                    <w:left w:val="nil"/>
                    <w:bottom w:val="single" w:sz="4" w:space="0" w:color="auto"/>
                    <w:right w:val="single" w:sz="4" w:space="0" w:color="auto"/>
                  </w:tcBorders>
                  <w:shd w:val="clear" w:color="auto" w:fill="auto"/>
                  <w:vAlign w:val="bottom"/>
                </w:tcPr>
                <w:p w14:paraId="4BE9DF0F" w14:textId="7844B3F4" w:rsidR="001A268F" w:rsidRPr="004D407A" w:rsidRDefault="001A268F" w:rsidP="001A268F">
                  <w:pPr>
                    <w:shd w:val="clear" w:color="auto" w:fill="FFFFFF" w:themeFill="background1"/>
                    <w:spacing w:after="0" w:line="240" w:lineRule="auto"/>
                    <w:jc w:val="right"/>
                    <w:rPr>
                      <w:rFonts w:ascii="Calibri" w:hAnsi="Calibri"/>
                      <w:sz w:val="16"/>
                    </w:rPr>
                  </w:pPr>
                  <w:r w:rsidRPr="004D407A">
                    <w:rPr>
                      <w:rFonts w:ascii="Calibri" w:hAnsi="Calibri"/>
                      <w:sz w:val="16"/>
                    </w:rPr>
                    <w:t>9</w:t>
                  </w:r>
                </w:p>
              </w:tc>
              <w:tc>
                <w:tcPr>
                  <w:tcW w:w="432" w:type="pct"/>
                  <w:tcBorders>
                    <w:top w:val="nil"/>
                    <w:left w:val="nil"/>
                    <w:bottom w:val="single" w:sz="4" w:space="0" w:color="auto"/>
                    <w:right w:val="single" w:sz="4" w:space="0" w:color="auto"/>
                  </w:tcBorders>
                  <w:shd w:val="clear" w:color="auto" w:fill="auto"/>
                  <w:vAlign w:val="bottom"/>
                </w:tcPr>
                <w:p w14:paraId="661F3084" w14:textId="0A724D8C" w:rsidR="001A268F" w:rsidRPr="004D407A" w:rsidRDefault="001A268F" w:rsidP="001A268F">
                  <w:pPr>
                    <w:shd w:val="clear" w:color="auto" w:fill="FFFFFF" w:themeFill="background1"/>
                    <w:spacing w:after="0" w:line="240" w:lineRule="auto"/>
                    <w:jc w:val="right"/>
                    <w:rPr>
                      <w:rFonts w:ascii="Calibri" w:hAnsi="Calibri"/>
                      <w:sz w:val="16"/>
                    </w:rPr>
                  </w:pPr>
                  <w:r w:rsidRPr="004D407A">
                    <w:rPr>
                      <w:rFonts w:ascii="Calibri" w:hAnsi="Calibri"/>
                      <w:sz w:val="16"/>
                    </w:rPr>
                    <w:t>6</w:t>
                  </w:r>
                </w:p>
              </w:tc>
              <w:tc>
                <w:tcPr>
                  <w:tcW w:w="429" w:type="pct"/>
                  <w:tcBorders>
                    <w:top w:val="nil"/>
                    <w:left w:val="nil"/>
                    <w:bottom w:val="single" w:sz="4" w:space="0" w:color="auto"/>
                    <w:right w:val="single" w:sz="4" w:space="0" w:color="auto"/>
                  </w:tcBorders>
                  <w:vAlign w:val="bottom"/>
                </w:tcPr>
                <w:p w14:paraId="559531A3" w14:textId="005C98EF" w:rsidR="001A268F" w:rsidRPr="004D407A" w:rsidRDefault="001A268F" w:rsidP="001A268F">
                  <w:pPr>
                    <w:shd w:val="clear" w:color="auto" w:fill="FFFFFF" w:themeFill="background1"/>
                    <w:spacing w:after="0" w:line="240" w:lineRule="auto"/>
                    <w:jc w:val="right"/>
                    <w:rPr>
                      <w:rFonts w:ascii="Calibri" w:hAnsi="Calibri"/>
                      <w:sz w:val="16"/>
                    </w:rPr>
                  </w:pPr>
                  <w:r w:rsidRPr="004D407A">
                    <w:rPr>
                      <w:rFonts w:ascii="Calibri" w:hAnsi="Calibri"/>
                      <w:sz w:val="16"/>
                    </w:rPr>
                    <w:t>70.4</w:t>
                  </w:r>
                </w:p>
              </w:tc>
            </w:tr>
            <w:tr w:rsidR="004D407A" w:rsidRPr="004D407A" w14:paraId="515AE2B7" w14:textId="77777777" w:rsidTr="001A268F">
              <w:trPr>
                <w:trHeight w:val="192"/>
                <w:jc w:val="center"/>
              </w:trPr>
              <w:tc>
                <w:tcPr>
                  <w:tcW w:w="2410" w:type="pct"/>
                  <w:tcBorders>
                    <w:top w:val="nil"/>
                    <w:left w:val="single" w:sz="4" w:space="0" w:color="auto"/>
                    <w:bottom w:val="single" w:sz="4" w:space="0" w:color="auto"/>
                    <w:right w:val="single" w:sz="4" w:space="0" w:color="auto"/>
                  </w:tcBorders>
                  <w:shd w:val="clear" w:color="auto" w:fill="B4C6E7" w:themeFill="accent5" w:themeFillTint="66"/>
                  <w:vAlign w:val="center"/>
                </w:tcPr>
                <w:p w14:paraId="665D2FCA" w14:textId="77777777" w:rsidR="00281332" w:rsidRPr="004D407A" w:rsidRDefault="00281332" w:rsidP="00CA3BCB">
                  <w:pPr>
                    <w:shd w:val="clear" w:color="auto" w:fill="FFFFFF" w:themeFill="background1"/>
                    <w:spacing w:after="0" w:line="240" w:lineRule="auto"/>
                    <w:rPr>
                      <w:rFonts w:ascii="Calibri" w:eastAsia="Times New Roman" w:hAnsi="Calibri"/>
                      <w:b/>
                      <w:sz w:val="16"/>
                      <w:szCs w:val="20"/>
                    </w:rPr>
                  </w:pPr>
                  <w:r w:rsidRPr="004D407A">
                    <w:rPr>
                      <w:rFonts w:ascii="Calibri" w:eastAsia="Times New Roman" w:hAnsi="Calibri"/>
                      <w:b/>
                      <w:sz w:val="16"/>
                      <w:szCs w:val="20"/>
                    </w:rPr>
                    <w:t xml:space="preserve">% </w:t>
                  </w:r>
                  <w:proofErr w:type="gramStart"/>
                  <w:r w:rsidRPr="004D407A">
                    <w:rPr>
                      <w:rFonts w:ascii="Calibri" w:eastAsia="Times New Roman" w:hAnsi="Calibri"/>
                      <w:b/>
                      <w:sz w:val="16"/>
                      <w:szCs w:val="20"/>
                    </w:rPr>
                    <w:t>of</w:t>
                  </w:r>
                  <w:proofErr w:type="gramEnd"/>
                  <w:r w:rsidRPr="004D407A">
                    <w:rPr>
                      <w:rFonts w:ascii="Calibri" w:eastAsia="Times New Roman" w:hAnsi="Calibri"/>
                      <w:b/>
                      <w:sz w:val="16"/>
                      <w:szCs w:val="20"/>
                    </w:rPr>
                    <w:t xml:space="preserve"> total needs</w:t>
                  </w:r>
                </w:p>
              </w:tc>
              <w:tc>
                <w:tcPr>
                  <w:tcW w:w="433" w:type="pct"/>
                  <w:tcBorders>
                    <w:top w:val="nil"/>
                    <w:left w:val="nil"/>
                    <w:bottom w:val="single" w:sz="4" w:space="0" w:color="auto"/>
                    <w:right w:val="single" w:sz="4" w:space="0" w:color="auto"/>
                  </w:tcBorders>
                  <w:shd w:val="clear" w:color="auto" w:fill="B4C6E7" w:themeFill="accent5" w:themeFillTint="66"/>
                  <w:vAlign w:val="bottom"/>
                </w:tcPr>
                <w:p w14:paraId="1FFF52BE" w14:textId="41932A36" w:rsidR="00281332" w:rsidRPr="004D407A" w:rsidRDefault="00AC4354" w:rsidP="00CA3BCB">
                  <w:pPr>
                    <w:shd w:val="clear" w:color="auto" w:fill="FFFFFF" w:themeFill="background1"/>
                    <w:spacing w:after="0" w:line="240" w:lineRule="auto"/>
                    <w:jc w:val="right"/>
                    <w:rPr>
                      <w:rFonts w:ascii="Calibri" w:hAnsi="Calibri"/>
                      <w:sz w:val="16"/>
                    </w:rPr>
                  </w:pPr>
                  <w:r w:rsidRPr="004D407A">
                    <w:rPr>
                      <w:rFonts w:ascii="Calibri" w:hAnsi="Calibri"/>
                      <w:sz w:val="16"/>
                    </w:rPr>
                    <w:t>24</w:t>
                  </w:r>
                  <w:r w:rsidR="00281332" w:rsidRPr="004D407A">
                    <w:rPr>
                      <w:rFonts w:ascii="Calibri" w:hAnsi="Calibri"/>
                      <w:sz w:val="16"/>
                    </w:rPr>
                    <w:t>%</w:t>
                  </w:r>
                </w:p>
              </w:tc>
              <w:tc>
                <w:tcPr>
                  <w:tcW w:w="432" w:type="pct"/>
                  <w:tcBorders>
                    <w:top w:val="nil"/>
                    <w:left w:val="nil"/>
                    <w:bottom w:val="single" w:sz="4" w:space="0" w:color="auto"/>
                    <w:right w:val="single" w:sz="4" w:space="0" w:color="auto"/>
                  </w:tcBorders>
                  <w:shd w:val="clear" w:color="auto" w:fill="B4C6E7" w:themeFill="accent5" w:themeFillTint="66"/>
                  <w:vAlign w:val="bottom"/>
                </w:tcPr>
                <w:p w14:paraId="21160E41" w14:textId="52175A58" w:rsidR="00281332" w:rsidRPr="004D407A" w:rsidRDefault="00AC4354" w:rsidP="00CA3BCB">
                  <w:pPr>
                    <w:shd w:val="clear" w:color="auto" w:fill="FFFFFF" w:themeFill="background1"/>
                    <w:spacing w:after="0" w:line="240" w:lineRule="auto"/>
                    <w:jc w:val="right"/>
                    <w:rPr>
                      <w:rFonts w:ascii="Calibri" w:hAnsi="Calibri"/>
                      <w:sz w:val="16"/>
                    </w:rPr>
                  </w:pPr>
                  <w:r w:rsidRPr="004D407A">
                    <w:rPr>
                      <w:rFonts w:ascii="Calibri" w:hAnsi="Calibri"/>
                      <w:sz w:val="16"/>
                    </w:rPr>
                    <w:t>16</w:t>
                  </w:r>
                  <w:r w:rsidR="00281332" w:rsidRPr="004D407A">
                    <w:rPr>
                      <w:rFonts w:ascii="Calibri" w:hAnsi="Calibri"/>
                      <w:sz w:val="16"/>
                    </w:rPr>
                    <w:t>%</w:t>
                  </w:r>
                </w:p>
              </w:tc>
              <w:tc>
                <w:tcPr>
                  <w:tcW w:w="432" w:type="pct"/>
                  <w:tcBorders>
                    <w:top w:val="nil"/>
                    <w:left w:val="nil"/>
                    <w:bottom w:val="single" w:sz="4" w:space="0" w:color="auto"/>
                    <w:right w:val="single" w:sz="4" w:space="0" w:color="auto"/>
                  </w:tcBorders>
                  <w:shd w:val="clear" w:color="auto" w:fill="B4C6E7" w:themeFill="accent5" w:themeFillTint="66"/>
                  <w:vAlign w:val="bottom"/>
                </w:tcPr>
                <w:p w14:paraId="662D952C" w14:textId="2C83F8E0" w:rsidR="00281332" w:rsidRPr="004D407A" w:rsidRDefault="00AC4354" w:rsidP="00CA3BCB">
                  <w:pPr>
                    <w:shd w:val="clear" w:color="auto" w:fill="FFFFFF" w:themeFill="background1"/>
                    <w:spacing w:after="0" w:line="240" w:lineRule="auto"/>
                    <w:jc w:val="right"/>
                    <w:rPr>
                      <w:rFonts w:ascii="Calibri" w:hAnsi="Calibri"/>
                      <w:sz w:val="16"/>
                    </w:rPr>
                  </w:pPr>
                  <w:r w:rsidRPr="004D407A">
                    <w:rPr>
                      <w:rFonts w:ascii="Calibri" w:hAnsi="Calibri"/>
                      <w:sz w:val="16"/>
                    </w:rPr>
                    <w:t>15</w:t>
                  </w:r>
                  <w:r w:rsidR="00281332" w:rsidRPr="004D407A">
                    <w:rPr>
                      <w:rFonts w:ascii="Calibri" w:hAnsi="Calibri"/>
                      <w:sz w:val="16"/>
                    </w:rPr>
                    <w:t>%</w:t>
                  </w:r>
                </w:p>
              </w:tc>
              <w:tc>
                <w:tcPr>
                  <w:tcW w:w="432" w:type="pct"/>
                  <w:tcBorders>
                    <w:top w:val="nil"/>
                    <w:left w:val="nil"/>
                    <w:bottom w:val="single" w:sz="4" w:space="0" w:color="auto"/>
                    <w:right w:val="single" w:sz="4" w:space="0" w:color="auto"/>
                  </w:tcBorders>
                  <w:shd w:val="clear" w:color="auto" w:fill="B4C6E7" w:themeFill="accent5" w:themeFillTint="66"/>
                  <w:vAlign w:val="bottom"/>
                </w:tcPr>
                <w:p w14:paraId="7DC0B6B6" w14:textId="70469B61" w:rsidR="00281332" w:rsidRPr="004D407A" w:rsidRDefault="00AC4354" w:rsidP="00CA3BCB">
                  <w:pPr>
                    <w:shd w:val="clear" w:color="auto" w:fill="FFFFFF" w:themeFill="background1"/>
                    <w:spacing w:after="0" w:line="240" w:lineRule="auto"/>
                    <w:jc w:val="right"/>
                    <w:rPr>
                      <w:rFonts w:ascii="Calibri" w:hAnsi="Calibri"/>
                      <w:sz w:val="16"/>
                    </w:rPr>
                  </w:pPr>
                  <w:r w:rsidRPr="004D407A">
                    <w:rPr>
                      <w:rFonts w:ascii="Calibri" w:hAnsi="Calibri"/>
                      <w:sz w:val="16"/>
                    </w:rPr>
                    <w:t>9</w:t>
                  </w:r>
                  <w:r w:rsidR="00281332" w:rsidRPr="004D407A">
                    <w:rPr>
                      <w:rFonts w:ascii="Calibri" w:hAnsi="Calibri"/>
                      <w:sz w:val="16"/>
                    </w:rPr>
                    <w:t>%</w:t>
                  </w:r>
                </w:p>
              </w:tc>
              <w:tc>
                <w:tcPr>
                  <w:tcW w:w="432" w:type="pct"/>
                  <w:tcBorders>
                    <w:top w:val="nil"/>
                    <w:left w:val="nil"/>
                    <w:bottom w:val="single" w:sz="4" w:space="0" w:color="auto"/>
                    <w:right w:val="single" w:sz="4" w:space="0" w:color="auto"/>
                  </w:tcBorders>
                  <w:shd w:val="clear" w:color="auto" w:fill="B4C6E7" w:themeFill="accent5" w:themeFillTint="66"/>
                  <w:vAlign w:val="bottom"/>
                </w:tcPr>
                <w:p w14:paraId="652E5C60" w14:textId="5FA1689E" w:rsidR="00281332" w:rsidRPr="004D407A" w:rsidRDefault="00AC4354" w:rsidP="00CA3BCB">
                  <w:pPr>
                    <w:shd w:val="clear" w:color="auto" w:fill="FFFFFF" w:themeFill="background1"/>
                    <w:spacing w:after="0" w:line="240" w:lineRule="auto"/>
                    <w:jc w:val="right"/>
                    <w:rPr>
                      <w:rFonts w:ascii="Calibri" w:hAnsi="Calibri"/>
                      <w:sz w:val="16"/>
                    </w:rPr>
                  </w:pPr>
                  <w:r w:rsidRPr="004D407A">
                    <w:rPr>
                      <w:rFonts w:ascii="Calibri" w:hAnsi="Calibri"/>
                      <w:sz w:val="16"/>
                    </w:rPr>
                    <w:t>7</w:t>
                  </w:r>
                  <w:r w:rsidR="00281332" w:rsidRPr="004D407A">
                    <w:rPr>
                      <w:rFonts w:ascii="Calibri" w:hAnsi="Calibri"/>
                      <w:sz w:val="16"/>
                    </w:rPr>
                    <w:t>%</w:t>
                  </w:r>
                </w:p>
              </w:tc>
              <w:tc>
                <w:tcPr>
                  <w:tcW w:w="429" w:type="pct"/>
                  <w:tcBorders>
                    <w:top w:val="nil"/>
                    <w:left w:val="nil"/>
                    <w:bottom w:val="single" w:sz="4" w:space="0" w:color="auto"/>
                    <w:right w:val="single" w:sz="4" w:space="0" w:color="auto"/>
                  </w:tcBorders>
                  <w:shd w:val="clear" w:color="auto" w:fill="B4C6E7" w:themeFill="accent5" w:themeFillTint="66"/>
                  <w:vAlign w:val="bottom"/>
                </w:tcPr>
                <w:p w14:paraId="3E9ABD3F" w14:textId="0C73DF24" w:rsidR="00281332" w:rsidRPr="004D407A" w:rsidRDefault="00AC4354" w:rsidP="00CA3BCB">
                  <w:pPr>
                    <w:shd w:val="clear" w:color="auto" w:fill="FFFFFF" w:themeFill="background1"/>
                    <w:spacing w:after="0" w:line="240" w:lineRule="auto"/>
                    <w:jc w:val="right"/>
                    <w:rPr>
                      <w:rFonts w:ascii="Calibri" w:hAnsi="Calibri"/>
                      <w:sz w:val="16"/>
                    </w:rPr>
                  </w:pPr>
                  <w:r w:rsidRPr="004D407A">
                    <w:rPr>
                      <w:rFonts w:ascii="Calibri" w:hAnsi="Calibri"/>
                      <w:sz w:val="16"/>
                    </w:rPr>
                    <w:t>14</w:t>
                  </w:r>
                  <w:r w:rsidR="00281332" w:rsidRPr="004D407A">
                    <w:rPr>
                      <w:rFonts w:ascii="Calibri" w:hAnsi="Calibri"/>
                      <w:sz w:val="16"/>
                    </w:rPr>
                    <w:t>%</w:t>
                  </w:r>
                </w:p>
              </w:tc>
            </w:tr>
          </w:tbl>
          <w:p w14:paraId="093E8239" w14:textId="77777777" w:rsidR="00172E8A" w:rsidRPr="004D407A" w:rsidRDefault="00172E8A" w:rsidP="005F5738"/>
        </w:tc>
      </w:tr>
    </w:tbl>
    <w:p w14:paraId="4F07FF97" w14:textId="7B01320C" w:rsidR="004B4051" w:rsidRPr="004D407A" w:rsidRDefault="004B4051" w:rsidP="00050401">
      <w:pPr>
        <w:sectPr w:rsidR="004B4051" w:rsidRPr="004D407A" w:rsidSect="00A822E3">
          <w:headerReference w:type="default" r:id="rId11"/>
          <w:headerReference w:type="first" r:id="rId12"/>
          <w:footerReference w:type="first" r:id="rId13"/>
          <w:pgSz w:w="11906" w:h="16838" w:code="9"/>
          <w:pgMar w:top="1440" w:right="1157" w:bottom="1440" w:left="1724" w:header="709" w:footer="709" w:gutter="0"/>
          <w:pgNumType w:fmt="lowerRoman" w:start="1"/>
          <w:cols w:space="708"/>
          <w:titlePg/>
          <w:docGrid w:linePitch="360"/>
        </w:sectPr>
      </w:pPr>
    </w:p>
    <w:p w14:paraId="5CBA78F5" w14:textId="4DC6EAD1" w:rsidR="00903395" w:rsidRPr="004D407A" w:rsidRDefault="00903395" w:rsidP="00D67D83">
      <w:pPr>
        <w:pStyle w:val="Heading1"/>
        <w:rPr>
          <w:color w:val="auto"/>
        </w:rPr>
      </w:pPr>
      <w:bookmarkStart w:id="2" w:name="_Toc111910215"/>
      <w:bookmarkStart w:id="3" w:name="_Toc489491466"/>
      <w:r w:rsidRPr="004D407A">
        <w:rPr>
          <w:color w:val="auto"/>
        </w:rPr>
        <w:lastRenderedPageBreak/>
        <w:t>Positioning of NIS in Changing Environment</w:t>
      </w:r>
      <w:bookmarkEnd w:id="2"/>
    </w:p>
    <w:p w14:paraId="4B5C8D49" w14:textId="77777777" w:rsidR="00903395" w:rsidRPr="004D407A" w:rsidRDefault="00903395" w:rsidP="00903395">
      <w:pPr>
        <w:pStyle w:val="Heading2"/>
        <w:tabs>
          <w:tab w:val="num" w:pos="360"/>
          <w:tab w:val="num" w:pos="454"/>
        </w:tabs>
        <w:rPr>
          <w:color w:val="auto"/>
          <w:lang w:val="en-GB"/>
        </w:rPr>
      </w:pPr>
      <w:bookmarkStart w:id="4" w:name="_Toc101825018"/>
      <w:bookmarkStart w:id="5" w:name="_Toc111910216"/>
      <w:r w:rsidRPr="004D407A">
        <w:rPr>
          <w:color w:val="auto"/>
        </w:rPr>
        <w:t>Immunization</w:t>
      </w:r>
      <w:r w:rsidRPr="004D407A">
        <w:rPr>
          <w:color w:val="auto"/>
          <w:lang w:val="en-GB"/>
        </w:rPr>
        <w:t xml:space="preserve"> Agenda 2030 and National Health Plan 2021-2025</w:t>
      </w:r>
      <w:bookmarkEnd w:id="4"/>
      <w:bookmarkEnd w:id="5"/>
    </w:p>
    <w:p w14:paraId="38A50E00" w14:textId="2F85B42F" w:rsidR="00903395" w:rsidRPr="004D407A" w:rsidRDefault="00903395" w:rsidP="00D00A3C">
      <w:pPr>
        <w:pStyle w:val="BodyText"/>
        <w:rPr>
          <w:rFonts w:ascii="Arial" w:hAnsi="Arial"/>
          <w:lang w:eastAsia="zh-CN"/>
        </w:rPr>
      </w:pPr>
      <w:r w:rsidRPr="004D407A">
        <w:rPr>
          <w:rFonts w:ascii="Arial" w:hAnsi="Arial"/>
          <w:lang w:eastAsia="zh-CN"/>
        </w:rPr>
        <w:t>The “immunization agenda 2030 – A global Strategy fo</w:t>
      </w:r>
      <w:r w:rsidR="00C4344B" w:rsidRPr="004D407A">
        <w:rPr>
          <w:rFonts w:ascii="Arial" w:hAnsi="Arial"/>
          <w:lang w:eastAsia="zh-CN"/>
        </w:rPr>
        <w:t>r</w:t>
      </w:r>
      <w:r w:rsidRPr="004D407A">
        <w:rPr>
          <w:rFonts w:ascii="Arial" w:hAnsi="Arial"/>
          <w:lang w:eastAsia="zh-CN"/>
        </w:rPr>
        <w:t xml:space="preserve"> Leave No One Behind” (IA2030) was developed with the purpose to address key challenges in immunization over the coming decade. In applying the strategic priorities of IA2030, immunization program of Bangladesh will address coverage and equity gaps by tracking zero-dose children and engaging representatives of local communities and health providers in designing interventions tailored to the needs of the immunization target groups. These innovative for Bangladesh aspects are reflected in the regional strategic frameworks (2021-2030) and are reflected in the present National Immunization Strategy developed by the country for the period 2023-2027.</w:t>
      </w:r>
    </w:p>
    <w:p w14:paraId="2F16DFBB" w14:textId="7F189D2B" w:rsidR="00903395" w:rsidRPr="004D407A" w:rsidRDefault="00903395" w:rsidP="00D055E3">
      <w:pPr>
        <w:pStyle w:val="BodyText"/>
        <w:rPr>
          <w:lang w:eastAsia="zh-CN"/>
        </w:rPr>
      </w:pPr>
      <w:r w:rsidRPr="004D407A">
        <w:rPr>
          <w:rFonts w:ascii="Arial" w:hAnsi="Arial"/>
          <w:lang w:eastAsia="zh-CN"/>
        </w:rPr>
        <w:t xml:space="preserve">Bangladesh developed the National Immunization Strategy following a renewed call for integrated primary health care system as the best and most affordable way to achieve Sustainable Development Goal (SDG) </w:t>
      </w:r>
      <w:r w:rsidR="000B11D4" w:rsidRPr="004D407A">
        <w:rPr>
          <w:rFonts w:ascii="Arial" w:hAnsi="Arial"/>
          <w:lang w:eastAsia="zh-CN"/>
        </w:rPr>
        <w:t xml:space="preserve">target </w:t>
      </w:r>
      <w:r w:rsidRPr="004D407A">
        <w:rPr>
          <w:rFonts w:ascii="Arial" w:hAnsi="Arial"/>
          <w:lang w:eastAsia="zh-CN"/>
        </w:rPr>
        <w:t xml:space="preserve">3.8 </w:t>
      </w:r>
      <w:r w:rsidR="000B11D4" w:rsidRPr="004D407A">
        <w:rPr>
          <w:rFonts w:ascii="Arial" w:hAnsi="Arial"/>
          <w:lang w:eastAsia="zh-CN"/>
        </w:rPr>
        <w:t>for</w:t>
      </w:r>
      <w:r w:rsidRPr="004D407A">
        <w:rPr>
          <w:rFonts w:ascii="Arial" w:hAnsi="Arial"/>
          <w:lang w:eastAsia="zh-CN"/>
        </w:rPr>
        <w:t xml:space="preserve"> achieving universal health coverage (UCH) by 2030. In the Immunization Agenda 2030, immunization has been emphasized as one of the possible entry points for strengthening primary health (PHC) by integrating immunization services with other health interventions in areas such as human resources, surveillance, supply chain, </w:t>
      </w:r>
      <w:proofErr w:type="gramStart"/>
      <w:r w:rsidRPr="004D407A">
        <w:rPr>
          <w:rFonts w:ascii="Arial" w:hAnsi="Arial"/>
          <w:lang w:eastAsia="zh-CN"/>
        </w:rPr>
        <w:t>data</w:t>
      </w:r>
      <w:proofErr w:type="gramEnd"/>
      <w:r w:rsidRPr="004D407A">
        <w:rPr>
          <w:rFonts w:ascii="Arial" w:hAnsi="Arial"/>
          <w:lang w:eastAsia="zh-CN"/>
        </w:rPr>
        <w:t xml:space="preserve"> and vaccine safety. Capitalizing on this, the WHO, together with health partners, advocates for strengthening the link</w:t>
      </w:r>
      <w:r w:rsidR="003925E3" w:rsidRPr="004D407A">
        <w:rPr>
          <w:rFonts w:ascii="Arial" w:hAnsi="Arial"/>
          <w:lang w:eastAsia="zh-CN"/>
        </w:rPr>
        <w:t>s</w:t>
      </w:r>
      <w:r w:rsidRPr="004D407A">
        <w:rPr>
          <w:rFonts w:ascii="Arial" w:hAnsi="Arial"/>
          <w:lang w:eastAsia="zh-CN"/>
        </w:rPr>
        <w:t xml:space="preserve"> between the NIS of Bangladesh and its national health sector development plans, in particular the </w:t>
      </w:r>
      <w:r w:rsidR="000B11D4" w:rsidRPr="004D407A">
        <w:rPr>
          <w:rFonts w:ascii="Arial" w:hAnsi="Arial"/>
          <w:i/>
          <w:iCs/>
          <w:lang w:eastAsia="zh-CN"/>
        </w:rPr>
        <w:t xml:space="preserve">Strategic Objective 7 “To improve equitable access to and utilization of quality health, nutrition and family planning services” in </w:t>
      </w:r>
      <w:r w:rsidRPr="004D407A">
        <w:rPr>
          <w:rFonts w:ascii="Arial" w:hAnsi="Arial"/>
          <w:i/>
          <w:iCs/>
          <w:lang w:eastAsia="zh-CN"/>
        </w:rPr>
        <w:t xml:space="preserve">4th Health, </w:t>
      </w:r>
      <w:r w:rsidR="00785F83" w:rsidRPr="004D407A">
        <w:rPr>
          <w:rFonts w:ascii="Arial" w:hAnsi="Arial"/>
          <w:i/>
          <w:iCs/>
          <w:lang w:eastAsia="zh-CN"/>
        </w:rPr>
        <w:t xml:space="preserve">Population and </w:t>
      </w:r>
      <w:proofErr w:type="gramStart"/>
      <w:r w:rsidRPr="004D407A">
        <w:rPr>
          <w:rFonts w:ascii="Arial" w:hAnsi="Arial"/>
          <w:i/>
          <w:iCs/>
          <w:lang w:eastAsia="zh-CN"/>
        </w:rPr>
        <w:t>Nutrition  Sector</w:t>
      </w:r>
      <w:proofErr w:type="gramEnd"/>
      <w:r w:rsidRPr="004D407A">
        <w:rPr>
          <w:rFonts w:ascii="Arial" w:hAnsi="Arial"/>
          <w:i/>
          <w:iCs/>
          <w:lang w:eastAsia="zh-CN"/>
        </w:rPr>
        <w:t xml:space="preserve"> Program </w:t>
      </w:r>
      <w:r w:rsidR="00785F83" w:rsidRPr="004D407A">
        <w:rPr>
          <w:rFonts w:ascii="Arial" w:hAnsi="Arial"/>
          <w:i/>
          <w:iCs/>
          <w:lang w:eastAsia="zh-CN"/>
        </w:rPr>
        <w:t xml:space="preserve">(HPNSP) </w:t>
      </w:r>
      <w:r w:rsidRPr="004D407A">
        <w:rPr>
          <w:rFonts w:ascii="Arial" w:hAnsi="Arial"/>
          <w:i/>
          <w:iCs/>
          <w:lang w:eastAsia="zh-CN"/>
        </w:rPr>
        <w:t>Component 3</w:t>
      </w:r>
      <w:r w:rsidR="000B11D4" w:rsidRPr="004D407A">
        <w:rPr>
          <w:rFonts w:ascii="Arial" w:hAnsi="Arial"/>
          <w:i/>
          <w:iCs/>
          <w:lang w:eastAsia="zh-CN"/>
        </w:rPr>
        <w:t xml:space="preserve">. </w:t>
      </w:r>
      <w:r w:rsidRPr="004D407A">
        <w:rPr>
          <w:rFonts w:ascii="Arial" w:hAnsi="Arial"/>
          <w:lang w:eastAsia="zh-CN"/>
        </w:rPr>
        <w:t xml:space="preserve">EPI services are explicitly defined in the Essential Service Package, and </w:t>
      </w:r>
      <w:r w:rsidR="00DF0D04" w:rsidRPr="004D407A">
        <w:rPr>
          <w:rFonts w:ascii="Arial" w:hAnsi="Arial"/>
          <w:lang w:eastAsia="zh-CN"/>
        </w:rPr>
        <w:t xml:space="preserve">the EPI is included </w:t>
      </w:r>
      <w:r w:rsidRPr="004D407A">
        <w:rPr>
          <w:rFonts w:ascii="Arial" w:hAnsi="Arial"/>
          <w:lang w:eastAsia="zh-CN"/>
        </w:rPr>
        <w:t xml:space="preserve">in the </w:t>
      </w:r>
      <w:r w:rsidR="00D055E3" w:rsidRPr="004D407A">
        <w:rPr>
          <w:rFonts w:ascii="Arial" w:hAnsi="Arial"/>
          <w:lang w:eastAsia="zh-CN"/>
        </w:rPr>
        <w:t>3</w:t>
      </w:r>
      <w:r w:rsidR="00D055E3" w:rsidRPr="004D407A">
        <w:rPr>
          <w:rFonts w:ascii="Arial" w:hAnsi="Arial"/>
          <w:vertAlign w:val="superscript"/>
          <w:lang w:eastAsia="zh-CN"/>
        </w:rPr>
        <w:t>rd</w:t>
      </w:r>
      <w:r w:rsidR="00D055E3" w:rsidRPr="004D407A">
        <w:rPr>
          <w:rFonts w:ascii="Arial" w:hAnsi="Arial"/>
          <w:lang w:eastAsia="zh-CN"/>
        </w:rPr>
        <w:t xml:space="preserve"> Revised </w:t>
      </w:r>
      <w:r w:rsidRPr="004D407A">
        <w:rPr>
          <w:rFonts w:ascii="Arial" w:hAnsi="Arial"/>
          <w:lang w:eastAsia="zh-CN"/>
        </w:rPr>
        <w:t xml:space="preserve">Operational Plan </w:t>
      </w:r>
      <w:r w:rsidR="000B11D4" w:rsidRPr="004D407A">
        <w:rPr>
          <w:rFonts w:ascii="Arial" w:hAnsi="Arial"/>
          <w:lang w:eastAsia="zh-CN"/>
        </w:rPr>
        <w:t xml:space="preserve">(ROP) </w:t>
      </w:r>
      <w:r w:rsidRPr="004D407A">
        <w:rPr>
          <w:rFonts w:ascii="Arial" w:hAnsi="Arial"/>
          <w:lang w:eastAsia="zh-CN"/>
        </w:rPr>
        <w:t xml:space="preserve">on Maternal, Neonatal Child and Adolescent Health </w:t>
      </w:r>
      <w:r w:rsidR="00D055E3" w:rsidRPr="004D407A">
        <w:rPr>
          <w:rFonts w:ascii="Arial" w:hAnsi="Arial"/>
          <w:lang w:eastAsia="zh-CN"/>
        </w:rPr>
        <w:t xml:space="preserve">January </w:t>
      </w:r>
      <w:r w:rsidRPr="004D407A">
        <w:rPr>
          <w:rFonts w:ascii="Arial" w:hAnsi="Arial"/>
          <w:lang w:eastAsia="zh-CN"/>
        </w:rPr>
        <w:t>2017</w:t>
      </w:r>
      <w:r w:rsidR="00D055E3" w:rsidRPr="004D407A">
        <w:rPr>
          <w:rFonts w:ascii="Arial" w:hAnsi="Arial"/>
          <w:lang w:eastAsia="zh-CN"/>
        </w:rPr>
        <w:t xml:space="preserve"> – July </w:t>
      </w:r>
      <w:r w:rsidRPr="004D407A">
        <w:rPr>
          <w:rFonts w:ascii="Arial" w:hAnsi="Arial"/>
          <w:lang w:eastAsia="zh-CN"/>
        </w:rPr>
        <w:t>202</w:t>
      </w:r>
      <w:r w:rsidR="00D055E3" w:rsidRPr="004D407A">
        <w:rPr>
          <w:rFonts w:ascii="Arial" w:hAnsi="Arial"/>
          <w:lang w:eastAsia="zh-CN"/>
        </w:rPr>
        <w:t>3</w:t>
      </w:r>
      <w:r w:rsidR="00DF0D04" w:rsidRPr="004D407A">
        <w:rPr>
          <w:rFonts w:ascii="Arial" w:hAnsi="Arial"/>
          <w:lang w:eastAsia="zh-CN"/>
        </w:rPr>
        <w:t xml:space="preserve"> as one of the priority areas of the ROP</w:t>
      </w:r>
      <w:r w:rsidR="00334EEF" w:rsidRPr="004D407A">
        <w:rPr>
          <w:rFonts w:ascii="Arial" w:hAnsi="Arial"/>
          <w:lang w:eastAsia="zh-CN"/>
        </w:rPr>
        <w:t xml:space="preserve"> (specific objectives IV, V and VI of the 3</w:t>
      </w:r>
      <w:r w:rsidR="00334EEF" w:rsidRPr="004D407A">
        <w:rPr>
          <w:rFonts w:ascii="Arial" w:hAnsi="Arial"/>
          <w:vertAlign w:val="superscript"/>
          <w:lang w:eastAsia="zh-CN"/>
        </w:rPr>
        <w:t>rd</w:t>
      </w:r>
      <w:r w:rsidR="00334EEF" w:rsidRPr="004D407A">
        <w:rPr>
          <w:rFonts w:ascii="Arial" w:hAnsi="Arial"/>
          <w:lang w:eastAsia="zh-CN"/>
        </w:rPr>
        <w:t xml:space="preserve"> ROP on MNC&amp;AH)</w:t>
      </w:r>
      <w:r w:rsidRPr="004D407A">
        <w:rPr>
          <w:rFonts w:ascii="Arial" w:hAnsi="Arial"/>
          <w:lang w:eastAsia="zh-CN"/>
        </w:rPr>
        <w:t>.</w:t>
      </w:r>
    </w:p>
    <w:p w14:paraId="1B91D896" w14:textId="77777777" w:rsidR="00903395" w:rsidRPr="004D407A" w:rsidRDefault="00903395" w:rsidP="00D00A3C">
      <w:pPr>
        <w:pStyle w:val="BodyText"/>
        <w:rPr>
          <w:rFonts w:ascii="Arial" w:hAnsi="Arial"/>
          <w:lang w:eastAsia="zh-CN"/>
        </w:rPr>
      </w:pPr>
      <w:r w:rsidRPr="004D407A">
        <w:rPr>
          <w:rFonts w:ascii="Arial" w:hAnsi="Arial"/>
          <w:lang w:eastAsia="zh-CN"/>
        </w:rPr>
        <w:t>This NIS was developed through the process of domestic budget negotiation, which was integrate in the NIS development process, and has been tailored to the expected resource envelope. All relevant government entities participated in the dialogue to ensure strong and sustained support for allocating sufficient budget for implementation of the National Immunization Strategy.</w:t>
      </w:r>
    </w:p>
    <w:p w14:paraId="452EA931" w14:textId="77777777" w:rsidR="00903395" w:rsidRPr="004D407A" w:rsidRDefault="00903395" w:rsidP="00903395">
      <w:pPr>
        <w:pStyle w:val="Heading2"/>
        <w:tabs>
          <w:tab w:val="num" w:pos="360"/>
          <w:tab w:val="num" w:pos="454"/>
        </w:tabs>
        <w:rPr>
          <w:color w:val="auto"/>
          <w:lang w:val="en-GB"/>
        </w:rPr>
      </w:pPr>
      <w:bookmarkStart w:id="6" w:name="_Toc101825019"/>
      <w:bookmarkStart w:id="7" w:name="_Toc111910217"/>
      <w:r w:rsidRPr="004D407A">
        <w:rPr>
          <w:color w:val="auto"/>
          <w:lang w:val="en-GB"/>
        </w:rPr>
        <w:t xml:space="preserve">From </w:t>
      </w:r>
      <w:proofErr w:type="spellStart"/>
      <w:r w:rsidRPr="004D407A">
        <w:rPr>
          <w:color w:val="auto"/>
          <w:lang w:val="en-GB"/>
        </w:rPr>
        <w:t>cMYP</w:t>
      </w:r>
      <w:proofErr w:type="spellEnd"/>
      <w:r w:rsidRPr="004D407A">
        <w:rPr>
          <w:color w:val="auto"/>
          <w:lang w:val="en-GB"/>
        </w:rPr>
        <w:t xml:space="preserve"> to NIS</w:t>
      </w:r>
      <w:bookmarkEnd w:id="6"/>
      <w:bookmarkEnd w:id="7"/>
    </w:p>
    <w:p w14:paraId="2929AF23" w14:textId="25DEA63E" w:rsidR="00903395" w:rsidRPr="004D407A" w:rsidRDefault="00903395" w:rsidP="00903395">
      <w:pPr>
        <w:pStyle w:val="BodyText"/>
        <w:rPr>
          <w:rFonts w:ascii="Arial" w:hAnsi="Arial"/>
          <w:lang w:eastAsia="zh-CN"/>
        </w:rPr>
      </w:pPr>
      <w:r w:rsidRPr="004D407A">
        <w:rPr>
          <w:rFonts w:ascii="Arial" w:hAnsi="Arial"/>
          <w:lang w:eastAsia="zh-CN"/>
        </w:rPr>
        <w:t xml:space="preserve">The National Immunization Strategy builds on the multi-year experience of Bangladesh in development of the comprehensive </w:t>
      </w:r>
      <w:proofErr w:type="gramStart"/>
      <w:r w:rsidRPr="004D407A">
        <w:rPr>
          <w:rFonts w:ascii="Arial" w:hAnsi="Arial"/>
          <w:lang w:eastAsia="zh-CN"/>
        </w:rPr>
        <w:t>Multi-Year</w:t>
      </w:r>
      <w:proofErr w:type="gramEnd"/>
      <w:r w:rsidRPr="004D407A">
        <w:rPr>
          <w:rFonts w:ascii="Arial" w:hAnsi="Arial"/>
          <w:lang w:eastAsia="zh-CN"/>
        </w:rPr>
        <w:t xml:space="preserve"> plans (</w:t>
      </w:r>
      <w:proofErr w:type="spellStart"/>
      <w:r w:rsidRPr="004D407A">
        <w:rPr>
          <w:rFonts w:ascii="Arial" w:hAnsi="Arial"/>
          <w:lang w:eastAsia="zh-CN"/>
        </w:rPr>
        <w:t>cMYP</w:t>
      </w:r>
      <w:proofErr w:type="spellEnd"/>
      <w:r w:rsidRPr="004D407A">
        <w:rPr>
          <w:rFonts w:ascii="Arial" w:hAnsi="Arial"/>
          <w:lang w:eastAsia="zh-CN"/>
        </w:rPr>
        <w:t xml:space="preserve">) for immunization for the several five-year cycles. Similar to the multi-year plans, the National Immunization Strategy translates the global and regional immunization agendas into </w:t>
      </w:r>
      <w:r w:rsidR="000B11D4" w:rsidRPr="004D407A">
        <w:rPr>
          <w:rFonts w:ascii="Arial" w:hAnsi="Arial"/>
          <w:lang w:eastAsia="zh-CN"/>
        </w:rPr>
        <w:t>an</w:t>
      </w:r>
      <w:r w:rsidR="00DC03E0" w:rsidRPr="004D407A">
        <w:rPr>
          <w:rFonts w:ascii="Arial" w:hAnsi="Arial"/>
          <w:lang w:eastAsia="zh-CN"/>
        </w:rPr>
        <w:t xml:space="preserve"> immunization </w:t>
      </w:r>
      <w:proofErr w:type="gramStart"/>
      <w:r w:rsidR="00DC03E0" w:rsidRPr="004D407A">
        <w:rPr>
          <w:rFonts w:ascii="Arial" w:hAnsi="Arial"/>
          <w:lang w:eastAsia="zh-CN"/>
        </w:rPr>
        <w:t>strategy  tailored</w:t>
      </w:r>
      <w:proofErr w:type="gramEnd"/>
      <w:r w:rsidR="00DC03E0" w:rsidRPr="004D407A">
        <w:rPr>
          <w:rFonts w:ascii="Arial" w:hAnsi="Arial"/>
          <w:lang w:eastAsia="zh-CN"/>
        </w:rPr>
        <w:t xml:space="preserve"> </w:t>
      </w:r>
      <w:r w:rsidRPr="004D407A">
        <w:rPr>
          <w:rFonts w:ascii="Arial" w:hAnsi="Arial"/>
          <w:lang w:eastAsia="zh-CN"/>
        </w:rPr>
        <w:t>to the existing context of the country. The NIS Bangladesh 2023-2027 provides direction to the actions of both national and international stakeholders and to investments in immunization system of the country.</w:t>
      </w:r>
    </w:p>
    <w:p w14:paraId="4CCD57CC" w14:textId="25DF914D" w:rsidR="00AD6218" w:rsidRPr="004D407A" w:rsidRDefault="00AD6218" w:rsidP="00AD6218">
      <w:pPr>
        <w:pStyle w:val="Heading2"/>
        <w:tabs>
          <w:tab w:val="num" w:pos="360"/>
          <w:tab w:val="num" w:pos="454"/>
        </w:tabs>
        <w:rPr>
          <w:color w:val="auto"/>
          <w:lang w:val="en-GB"/>
        </w:rPr>
      </w:pPr>
      <w:bookmarkStart w:id="8" w:name="_Toc111910218"/>
      <w:r w:rsidRPr="004D407A">
        <w:rPr>
          <w:color w:val="auto"/>
          <w:lang w:val="en-GB"/>
        </w:rPr>
        <w:t>The COVID-19 context</w:t>
      </w:r>
      <w:bookmarkEnd w:id="8"/>
    </w:p>
    <w:p w14:paraId="0CD6093F" w14:textId="2EAC42B0" w:rsidR="00AD6218" w:rsidRPr="004D407A" w:rsidRDefault="00AD6218" w:rsidP="00AD6218">
      <w:pPr>
        <w:pStyle w:val="BodyText"/>
        <w:rPr>
          <w:rFonts w:ascii="Arial" w:hAnsi="Arial"/>
          <w:lang w:eastAsia="zh-CN"/>
        </w:rPr>
      </w:pPr>
      <w:r w:rsidRPr="004D407A">
        <w:rPr>
          <w:rFonts w:ascii="Arial" w:hAnsi="Arial"/>
          <w:lang w:eastAsia="zh-CN"/>
        </w:rPr>
        <w:t xml:space="preserve">The COVID-19 pandemic has reminded the world of the power of vaccines to fight disease, save lives and create a healthier, </w:t>
      </w:r>
      <w:proofErr w:type="gramStart"/>
      <w:r w:rsidRPr="004D407A">
        <w:rPr>
          <w:rFonts w:ascii="Arial" w:hAnsi="Arial"/>
          <w:lang w:eastAsia="zh-CN"/>
        </w:rPr>
        <w:t>safer</w:t>
      </w:r>
      <w:proofErr w:type="gramEnd"/>
      <w:r w:rsidRPr="004D407A">
        <w:rPr>
          <w:rFonts w:ascii="Arial" w:hAnsi="Arial"/>
          <w:lang w:eastAsia="zh-CN"/>
        </w:rPr>
        <w:t xml:space="preserve"> and more prosperous future. An urgent priority is the rapid and equitable scale-up of COVID-19 vaccines in all countries, as well as collective action to catch up on missed vaccinations and</w:t>
      </w:r>
      <w:r w:rsidR="00946B20" w:rsidRPr="004D407A">
        <w:rPr>
          <w:rFonts w:ascii="Arial" w:hAnsi="Arial"/>
          <w:lang w:eastAsia="zh-CN"/>
        </w:rPr>
        <w:t xml:space="preserve"> improve</w:t>
      </w:r>
      <w:r w:rsidRPr="004D407A">
        <w:rPr>
          <w:rFonts w:ascii="Arial" w:hAnsi="Arial"/>
          <w:lang w:eastAsia="zh-CN"/>
        </w:rPr>
        <w:t xml:space="preserve"> essential services. </w:t>
      </w:r>
      <w:r w:rsidR="00946B20" w:rsidRPr="004D407A">
        <w:rPr>
          <w:rFonts w:ascii="Arial" w:hAnsi="Arial"/>
          <w:lang w:eastAsia="zh-CN"/>
        </w:rPr>
        <w:t xml:space="preserve">Improvement </w:t>
      </w:r>
      <w:r w:rsidRPr="004D407A">
        <w:rPr>
          <w:rFonts w:ascii="Arial" w:hAnsi="Arial"/>
          <w:lang w:eastAsia="zh-CN"/>
        </w:rPr>
        <w:t xml:space="preserve">of immunization program in </w:t>
      </w:r>
      <w:r w:rsidR="00AE3F88" w:rsidRPr="004D407A">
        <w:rPr>
          <w:rFonts w:ascii="Arial" w:hAnsi="Arial"/>
          <w:lang w:eastAsia="zh-CN"/>
        </w:rPr>
        <w:t>Bangladesh</w:t>
      </w:r>
      <w:r w:rsidRPr="004D407A">
        <w:rPr>
          <w:rFonts w:ascii="Arial" w:hAnsi="Arial"/>
          <w:lang w:eastAsia="zh-CN"/>
        </w:rPr>
        <w:t xml:space="preserve">, required major contribution for strengthening </w:t>
      </w:r>
      <w:r w:rsidR="00946B20" w:rsidRPr="004D407A">
        <w:rPr>
          <w:rFonts w:ascii="Arial" w:hAnsi="Arial"/>
          <w:lang w:eastAsia="zh-CN"/>
        </w:rPr>
        <w:t xml:space="preserve">various components of the immunization system of the country. </w:t>
      </w:r>
      <w:r w:rsidRPr="004D407A">
        <w:rPr>
          <w:rFonts w:ascii="Arial" w:hAnsi="Arial"/>
          <w:lang w:eastAsia="zh-CN"/>
        </w:rPr>
        <w:t xml:space="preserve">Effective childhood and adult </w:t>
      </w:r>
      <w:r w:rsidRPr="004D407A">
        <w:rPr>
          <w:rFonts w:ascii="Arial" w:hAnsi="Arial"/>
          <w:lang w:eastAsia="zh-CN"/>
        </w:rPr>
        <w:lastRenderedPageBreak/>
        <w:t xml:space="preserve">immunization </w:t>
      </w:r>
      <w:proofErr w:type="spellStart"/>
      <w:r w:rsidRPr="004D407A">
        <w:rPr>
          <w:rFonts w:ascii="Arial" w:hAnsi="Arial"/>
          <w:lang w:eastAsia="zh-CN"/>
        </w:rPr>
        <w:t>programmes</w:t>
      </w:r>
      <w:proofErr w:type="spellEnd"/>
      <w:r w:rsidRPr="004D407A">
        <w:rPr>
          <w:rFonts w:ascii="Arial" w:hAnsi="Arial"/>
          <w:lang w:eastAsia="zh-CN"/>
        </w:rPr>
        <w:t xml:space="preserve">, including the COVID-19, </w:t>
      </w:r>
      <w:r w:rsidR="00946B20" w:rsidRPr="004D407A">
        <w:rPr>
          <w:rFonts w:ascii="Arial" w:hAnsi="Arial"/>
          <w:lang w:eastAsia="zh-CN"/>
        </w:rPr>
        <w:t>have lied</w:t>
      </w:r>
      <w:r w:rsidRPr="004D407A">
        <w:rPr>
          <w:rFonts w:ascii="Arial" w:hAnsi="Arial"/>
          <w:lang w:eastAsia="zh-CN"/>
        </w:rPr>
        <w:t xml:space="preserve"> at the heart of resilient and sustainable PHC systems that</w:t>
      </w:r>
      <w:r w:rsidR="00946B20" w:rsidRPr="004D407A">
        <w:rPr>
          <w:rFonts w:ascii="Arial" w:hAnsi="Arial"/>
          <w:lang w:eastAsia="zh-CN"/>
        </w:rPr>
        <w:t xml:space="preserve"> were</w:t>
      </w:r>
      <w:r w:rsidRPr="004D407A">
        <w:rPr>
          <w:rFonts w:ascii="Arial" w:hAnsi="Arial"/>
          <w:lang w:eastAsia="zh-CN"/>
        </w:rPr>
        <w:t xml:space="preserve"> central to </w:t>
      </w:r>
      <w:r w:rsidR="00946B20" w:rsidRPr="004D407A">
        <w:rPr>
          <w:rFonts w:ascii="Arial" w:hAnsi="Arial"/>
          <w:lang w:eastAsia="zh-CN"/>
        </w:rPr>
        <w:t xml:space="preserve">ensuring </w:t>
      </w:r>
      <w:r w:rsidRPr="004D407A">
        <w:rPr>
          <w:rFonts w:ascii="Arial" w:hAnsi="Arial"/>
          <w:lang w:eastAsia="zh-CN"/>
        </w:rPr>
        <w:t>health security</w:t>
      </w:r>
      <w:r w:rsidR="00946B20" w:rsidRPr="004D407A">
        <w:rPr>
          <w:rFonts w:ascii="Arial" w:hAnsi="Arial"/>
          <w:lang w:eastAsia="zh-CN"/>
        </w:rPr>
        <w:t xml:space="preserve"> of the nation</w:t>
      </w:r>
      <w:r w:rsidRPr="004D407A">
        <w:rPr>
          <w:rFonts w:ascii="Arial" w:hAnsi="Arial"/>
          <w:lang w:eastAsia="zh-CN"/>
        </w:rPr>
        <w:t xml:space="preserve">. </w:t>
      </w:r>
      <w:r w:rsidR="00946B20" w:rsidRPr="004D407A">
        <w:rPr>
          <w:rFonts w:ascii="Arial" w:hAnsi="Arial"/>
          <w:lang w:eastAsia="zh-CN"/>
        </w:rPr>
        <w:t xml:space="preserve">Since the beginning of the COVID-19 pandemic, Bangladesh developed and revised the National Deployment and Vaccination Plan (NDVP). </w:t>
      </w:r>
      <w:r w:rsidR="00946B20" w:rsidRPr="004D407A">
        <w:rPr>
          <w:rFonts w:ascii="Arial" w:hAnsi="Arial" w:cs="Arial"/>
          <w:szCs w:val="21"/>
          <w:lang w:val="en-GB"/>
        </w:rPr>
        <w:t xml:space="preserve">The aim of this document was to present Bangladesh’s plans for the </w:t>
      </w:r>
      <w:r w:rsidR="00946B20" w:rsidRPr="004D407A">
        <w:rPr>
          <w:rFonts w:ascii="Arial" w:hAnsi="Arial" w:cs="Arial"/>
          <w:szCs w:val="21"/>
        </w:rPr>
        <w:t xml:space="preserve">deployment, planning, implementation, and monitoring of </w:t>
      </w:r>
      <w:r w:rsidR="00946B20" w:rsidRPr="004D407A">
        <w:rPr>
          <w:rFonts w:ascii="Arial" w:hAnsi="Arial" w:cs="Arial"/>
          <w:szCs w:val="21"/>
          <w:lang w:val="en-GB"/>
        </w:rPr>
        <w:t>potential</w:t>
      </w:r>
      <w:r w:rsidR="00946B20" w:rsidRPr="004D407A">
        <w:rPr>
          <w:rFonts w:ascii="Arial" w:hAnsi="Arial" w:cs="Arial"/>
          <w:szCs w:val="21"/>
        </w:rPr>
        <w:t xml:space="preserve"> COVID-19 vaccine(s)</w:t>
      </w:r>
      <w:r w:rsidR="00946B20" w:rsidRPr="004D407A">
        <w:rPr>
          <w:rFonts w:ascii="Arial" w:hAnsi="Arial" w:cs="Arial"/>
          <w:szCs w:val="21"/>
          <w:lang w:val="en-GB"/>
        </w:rPr>
        <w:t xml:space="preserve">. The revision of NDVP was undertaken due to </w:t>
      </w:r>
      <w:r w:rsidR="00946B20" w:rsidRPr="004D407A">
        <w:rPr>
          <w:rFonts w:ascii="Arial" w:hAnsi="Arial" w:cs="Arial"/>
          <w:szCs w:val="21"/>
        </w:rPr>
        <w:t xml:space="preserve">unprecedented progress in vaccine production against COVID-19 and its availability in the country through various sources within a short period of time, prioritization of target population and vaccination target set by the country. With the evolving evidence the interim guidance was provided for vaccination in pregnant women and lactating mothers. It was important to ensure that the plans were aligned to other national COVID-19 recovery and response and support plans. The implementation of the NDVP was fully integrated into national governance mechanisms. The details of the COIVD-19 vaccine deployment are provided in the attached NDVP for COVID-19 Vaccines in Bangladesh. </w:t>
      </w:r>
    </w:p>
    <w:p w14:paraId="00E51695" w14:textId="3F87EDCC" w:rsidR="000345D6" w:rsidRPr="004D407A" w:rsidRDefault="0021017C" w:rsidP="00D67D83">
      <w:pPr>
        <w:pStyle w:val="Heading1"/>
        <w:rPr>
          <w:color w:val="auto"/>
        </w:rPr>
      </w:pPr>
      <w:bookmarkStart w:id="9" w:name="_Toc111910219"/>
      <w:r w:rsidRPr="004D407A">
        <w:rPr>
          <w:color w:val="auto"/>
        </w:rPr>
        <w:t>Situation analysis</w:t>
      </w:r>
      <w:bookmarkEnd w:id="3"/>
      <w:bookmarkEnd w:id="9"/>
    </w:p>
    <w:p w14:paraId="6F9FF39F" w14:textId="77777777" w:rsidR="009B01C4" w:rsidRPr="004D407A" w:rsidRDefault="00BE79F3" w:rsidP="007810E6">
      <w:pPr>
        <w:pStyle w:val="Heading2"/>
        <w:rPr>
          <w:color w:val="auto"/>
        </w:rPr>
      </w:pPr>
      <w:bookmarkStart w:id="10" w:name="_Toc489491467"/>
      <w:bookmarkStart w:id="11" w:name="_Ref489491873"/>
      <w:bookmarkStart w:id="12" w:name="_Ref489491875"/>
      <w:bookmarkStart w:id="13" w:name="_Toc111910220"/>
      <w:r w:rsidRPr="004D407A">
        <w:rPr>
          <w:color w:val="auto"/>
        </w:rPr>
        <w:t>Country context</w:t>
      </w:r>
      <w:bookmarkEnd w:id="10"/>
      <w:bookmarkEnd w:id="11"/>
      <w:bookmarkEnd w:id="12"/>
      <w:bookmarkEnd w:id="13"/>
    </w:p>
    <w:p w14:paraId="7A62C1EA" w14:textId="77777777" w:rsidR="00BE79F3" w:rsidRPr="004D407A" w:rsidRDefault="00BE79F3" w:rsidP="00BE79F3">
      <w:pPr>
        <w:pStyle w:val="Heading3"/>
        <w:rPr>
          <w:color w:val="auto"/>
        </w:rPr>
      </w:pPr>
      <w:bookmarkStart w:id="14" w:name="_Toc489491469"/>
      <w:bookmarkStart w:id="15" w:name="_Toc111910221"/>
      <w:r w:rsidRPr="004D407A">
        <w:rPr>
          <w:color w:val="auto"/>
        </w:rPr>
        <w:t>Administrative and political structure</w:t>
      </w:r>
      <w:bookmarkEnd w:id="14"/>
      <w:bookmarkEnd w:id="15"/>
    </w:p>
    <w:p w14:paraId="74938AEB" w14:textId="25300493" w:rsidR="00957399" w:rsidRPr="004D407A" w:rsidRDefault="00957399" w:rsidP="00957399">
      <w:pPr>
        <w:pStyle w:val="BodyText"/>
        <w:rPr>
          <w:rFonts w:ascii="Arial" w:hAnsi="Arial"/>
          <w:lang w:eastAsia="zh-CN"/>
        </w:rPr>
      </w:pPr>
      <w:r w:rsidRPr="004D407A">
        <w:rPr>
          <w:rFonts w:ascii="Arial" w:hAnsi="Arial"/>
          <w:lang w:eastAsia="zh-CN"/>
        </w:rPr>
        <w:t xml:space="preserve">Bangladesh was divided into eight administrative divisions, each named after their respective divisional headquarters: </w:t>
      </w:r>
      <w:bookmarkStart w:id="16" w:name="_Hlk101776661"/>
      <w:r w:rsidRPr="004D407A">
        <w:rPr>
          <w:rFonts w:ascii="Arial" w:hAnsi="Arial"/>
          <w:lang w:eastAsia="zh-CN"/>
        </w:rPr>
        <w:t>Barisal, Ch</w:t>
      </w:r>
      <w:r w:rsidR="00785F83" w:rsidRPr="004D407A">
        <w:rPr>
          <w:rFonts w:ascii="Arial" w:hAnsi="Arial"/>
          <w:lang w:eastAsia="zh-CN"/>
        </w:rPr>
        <w:t>attogram</w:t>
      </w:r>
      <w:r w:rsidRPr="004D407A">
        <w:rPr>
          <w:rFonts w:ascii="Arial" w:hAnsi="Arial"/>
          <w:lang w:eastAsia="zh-CN"/>
        </w:rPr>
        <w:t xml:space="preserve">, Dhaka, Mymensingh, Khulna, Rajshahi, Sylhet and Rangpur. </w:t>
      </w:r>
      <w:bookmarkEnd w:id="16"/>
    </w:p>
    <w:p w14:paraId="5B4545CA" w14:textId="56B8C6D1" w:rsidR="00957399" w:rsidRPr="004D407A" w:rsidRDefault="00957399" w:rsidP="00957399">
      <w:pPr>
        <w:pStyle w:val="BodyText"/>
        <w:ind w:firstLine="0"/>
        <w:rPr>
          <w:rFonts w:ascii="Arial" w:hAnsi="Arial"/>
          <w:lang w:eastAsia="zh-CN"/>
        </w:rPr>
      </w:pPr>
      <w:r w:rsidRPr="004D407A">
        <w:rPr>
          <w:rFonts w:ascii="Arial" w:hAnsi="Arial"/>
          <w:lang w:eastAsia="zh-CN"/>
        </w:rPr>
        <w:t xml:space="preserve">The divisions in Bangladesh are subdivided into districts </w:t>
      </w:r>
      <w:r w:rsidRPr="004D407A">
        <w:rPr>
          <w:rFonts w:ascii="Arial" w:hAnsi="Arial"/>
          <w:i/>
          <w:lang w:eastAsia="zh-CN"/>
        </w:rPr>
        <w:t>(zila)</w:t>
      </w:r>
      <w:r w:rsidRPr="004D407A">
        <w:rPr>
          <w:rFonts w:ascii="Arial" w:hAnsi="Arial"/>
          <w:lang w:eastAsia="zh-CN"/>
        </w:rPr>
        <w:t>. In total there are 64 districts, each further subdivided into 4</w:t>
      </w:r>
      <w:r w:rsidR="00785F83" w:rsidRPr="004D407A">
        <w:rPr>
          <w:rFonts w:ascii="Arial" w:hAnsi="Arial"/>
          <w:lang w:eastAsia="zh-CN"/>
        </w:rPr>
        <w:t>95</w:t>
      </w:r>
      <w:r w:rsidRPr="004D407A">
        <w:rPr>
          <w:rFonts w:ascii="Arial" w:hAnsi="Arial"/>
          <w:i/>
          <w:lang w:eastAsia="zh-CN"/>
        </w:rPr>
        <w:t xml:space="preserve"> Upazilas</w:t>
      </w:r>
      <w:r w:rsidRPr="004D407A">
        <w:rPr>
          <w:rFonts w:ascii="Arial" w:hAnsi="Arial"/>
          <w:lang w:eastAsia="zh-CN"/>
        </w:rPr>
        <w:t xml:space="preserve"> (sub-districts). The area within each</w:t>
      </w:r>
      <w:r w:rsidR="00785F83" w:rsidRPr="004D407A">
        <w:rPr>
          <w:rFonts w:ascii="Arial" w:hAnsi="Arial"/>
          <w:lang w:eastAsia="zh-CN"/>
        </w:rPr>
        <w:t xml:space="preserve"> </w:t>
      </w:r>
      <w:proofErr w:type="spellStart"/>
      <w:r w:rsidR="00785F83" w:rsidRPr="004D407A">
        <w:rPr>
          <w:rFonts w:ascii="Arial" w:hAnsi="Arial"/>
          <w:lang w:eastAsia="zh-CN"/>
        </w:rPr>
        <w:t>upazila</w:t>
      </w:r>
      <w:proofErr w:type="spellEnd"/>
      <w:r w:rsidRPr="004D407A">
        <w:rPr>
          <w:rFonts w:ascii="Arial" w:hAnsi="Arial"/>
          <w:lang w:eastAsia="zh-CN"/>
        </w:rPr>
        <w:t xml:space="preserve">, except for those in </w:t>
      </w:r>
      <w:r w:rsidR="00785F83" w:rsidRPr="004D407A">
        <w:rPr>
          <w:rFonts w:ascii="Arial" w:hAnsi="Arial"/>
          <w:lang w:eastAsia="zh-CN"/>
        </w:rPr>
        <w:t>urban</w:t>
      </w:r>
      <w:r w:rsidRPr="004D407A">
        <w:rPr>
          <w:rFonts w:ascii="Arial" w:hAnsi="Arial"/>
          <w:lang w:eastAsia="zh-CN"/>
        </w:rPr>
        <w:t xml:space="preserve"> areas, is divided into several </w:t>
      </w:r>
      <w:r w:rsidRPr="004D407A">
        <w:rPr>
          <w:rFonts w:ascii="Arial" w:hAnsi="Arial"/>
          <w:i/>
          <w:lang w:eastAsia="zh-CN"/>
        </w:rPr>
        <w:t>unions</w:t>
      </w:r>
      <w:r w:rsidRPr="004D407A">
        <w:rPr>
          <w:rFonts w:ascii="Arial" w:hAnsi="Arial"/>
          <w:lang w:eastAsia="zh-CN"/>
        </w:rPr>
        <w:t xml:space="preserve"> (on average 10 unions: from </w:t>
      </w:r>
      <w:r w:rsidR="00785F83" w:rsidRPr="004D407A">
        <w:rPr>
          <w:rFonts w:ascii="Arial" w:hAnsi="Arial"/>
          <w:lang w:eastAsia="zh-CN"/>
        </w:rPr>
        <w:t>3</w:t>
      </w:r>
      <w:r w:rsidRPr="004D407A">
        <w:rPr>
          <w:rFonts w:ascii="Arial" w:hAnsi="Arial"/>
          <w:lang w:eastAsia="zh-CN"/>
        </w:rPr>
        <w:t xml:space="preserve"> to 2</w:t>
      </w:r>
      <w:r w:rsidR="00785F83" w:rsidRPr="004D407A">
        <w:rPr>
          <w:rFonts w:ascii="Arial" w:hAnsi="Arial"/>
          <w:lang w:eastAsia="zh-CN"/>
        </w:rPr>
        <w:t>4</w:t>
      </w:r>
      <w:r w:rsidRPr="004D407A">
        <w:rPr>
          <w:rFonts w:ascii="Arial" w:hAnsi="Arial"/>
          <w:lang w:eastAsia="zh-CN"/>
        </w:rPr>
        <w:t xml:space="preserve"> unions), with each union consisting of multiple villages. In contrast </w:t>
      </w:r>
      <w:r w:rsidR="001359A9" w:rsidRPr="004D407A">
        <w:rPr>
          <w:rFonts w:ascii="Arial" w:hAnsi="Arial"/>
          <w:lang w:eastAsia="zh-CN"/>
        </w:rPr>
        <w:t>with the rural areas, in the</w:t>
      </w:r>
      <w:r w:rsidR="00785F83" w:rsidRPr="004D407A">
        <w:rPr>
          <w:rFonts w:ascii="Arial" w:hAnsi="Arial"/>
          <w:lang w:eastAsia="zh-CN"/>
        </w:rPr>
        <w:t xml:space="preserve"> City Corporations and Municipalities</w:t>
      </w:r>
      <w:r w:rsidRPr="004D407A">
        <w:rPr>
          <w:rFonts w:ascii="Arial" w:hAnsi="Arial"/>
          <w:lang w:eastAsia="zh-CN"/>
        </w:rPr>
        <w:t xml:space="preserve"> are divided into wards, which are further divided into</w:t>
      </w:r>
      <w:r w:rsidRPr="004D407A">
        <w:rPr>
          <w:rFonts w:ascii="Arial" w:hAnsi="Arial"/>
          <w:i/>
          <w:lang w:eastAsia="zh-CN"/>
        </w:rPr>
        <w:t xml:space="preserve"> mahallas</w:t>
      </w:r>
      <w:r w:rsidRPr="004D407A">
        <w:rPr>
          <w:rFonts w:ascii="Arial" w:hAnsi="Arial"/>
          <w:lang w:eastAsia="zh-CN"/>
        </w:rPr>
        <w:t>.  The urban areas are administered by the 12 city corporations and major municipalities.</w:t>
      </w:r>
    </w:p>
    <w:p w14:paraId="4BFFBA3D" w14:textId="0B93504B" w:rsidR="00BE79F3" w:rsidRPr="004D407A" w:rsidRDefault="00957399" w:rsidP="00957399">
      <w:pPr>
        <w:pStyle w:val="BodyText"/>
        <w:rPr>
          <w:lang w:eastAsia="zh-CN"/>
        </w:rPr>
      </w:pPr>
      <w:r w:rsidRPr="004D407A">
        <w:rPr>
          <w:rFonts w:ascii="Arial" w:hAnsi="Arial"/>
          <w:lang w:eastAsia="zh-CN"/>
        </w:rPr>
        <w:t>The president of the country is indirectly elected by the National Parliament for a 5-years term and is eligible for second term. The president appoints Prime Minister the ruling party leader in the National Parliament. The Prime Minister, as the head of government, forms the cabinet and runs the day-to-day affairs of state</w:t>
      </w:r>
      <w:r w:rsidR="009C19B9" w:rsidRPr="004D407A">
        <w:rPr>
          <w:rFonts w:ascii="Arial" w:hAnsi="Arial"/>
          <w:lang w:eastAsia="zh-CN"/>
        </w:rPr>
        <w:t>.</w:t>
      </w:r>
    </w:p>
    <w:p w14:paraId="187D005F" w14:textId="77777777" w:rsidR="00CD3355" w:rsidRPr="004D407A" w:rsidRDefault="00CD3355" w:rsidP="00CD3355">
      <w:pPr>
        <w:pStyle w:val="Heading3"/>
        <w:rPr>
          <w:color w:val="auto"/>
        </w:rPr>
      </w:pPr>
      <w:bookmarkStart w:id="17" w:name="_Toc489491471"/>
      <w:bookmarkStart w:id="18" w:name="_Toc111910222"/>
      <w:r w:rsidRPr="004D407A">
        <w:rPr>
          <w:color w:val="auto"/>
        </w:rPr>
        <w:t>Demography</w:t>
      </w:r>
      <w:bookmarkEnd w:id="17"/>
      <w:bookmarkEnd w:id="18"/>
    </w:p>
    <w:p w14:paraId="0E83F430" w14:textId="77777777" w:rsidR="00CD3355" w:rsidRPr="004D407A" w:rsidRDefault="001C23E0" w:rsidP="001C23E0">
      <w:pPr>
        <w:pStyle w:val="Heading4"/>
        <w:rPr>
          <w:color w:val="auto"/>
        </w:rPr>
      </w:pPr>
      <w:bookmarkStart w:id="19" w:name="_Toc489491472"/>
      <w:bookmarkStart w:id="20" w:name="_Toc111910223"/>
      <w:r w:rsidRPr="004D407A">
        <w:rPr>
          <w:color w:val="auto"/>
        </w:rPr>
        <w:t>Population estimates</w:t>
      </w:r>
      <w:bookmarkEnd w:id="19"/>
      <w:bookmarkEnd w:id="20"/>
    </w:p>
    <w:p w14:paraId="265E42CE" w14:textId="77777777" w:rsidR="00957399" w:rsidRPr="004D407A" w:rsidRDefault="00957399" w:rsidP="00957399">
      <w:pPr>
        <w:pStyle w:val="BodyText"/>
        <w:rPr>
          <w:rFonts w:ascii="Arial" w:hAnsi="Arial"/>
        </w:rPr>
      </w:pPr>
      <w:r w:rsidRPr="004D407A">
        <w:rPr>
          <w:rFonts w:ascii="Arial" w:hAnsi="Arial"/>
        </w:rPr>
        <w:t xml:space="preserve">Bangladesh shows one of the most rapid demographic transitions in the world. According to the National Census 2011 data, the population of the country was </w:t>
      </w:r>
      <w:bookmarkStart w:id="21" w:name="OLE_LINK1"/>
      <w:r w:rsidRPr="004D407A">
        <w:rPr>
          <w:rFonts w:ascii="Arial" w:hAnsi="Arial"/>
        </w:rPr>
        <w:t>170.32</w:t>
      </w:r>
      <w:bookmarkEnd w:id="21"/>
      <w:r w:rsidRPr="004D407A">
        <w:rPr>
          <w:rFonts w:ascii="Arial" w:hAnsi="Arial"/>
        </w:rPr>
        <w:t xml:space="preserve"> million people in 2021, showing 14% increase over the last five years (total population in 2016: 149.77 million).</w:t>
      </w:r>
    </w:p>
    <w:p w14:paraId="0935AB43" w14:textId="77777777" w:rsidR="00957399" w:rsidRPr="004D407A" w:rsidRDefault="00957399" w:rsidP="00957399">
      <w:pPr>
        <w:pStyle w:val="BodyText"/>
        <w:rPr>
          <w:rFonts w:ascii="Arial" w:hAnsi="Arial"/>
        </w:rPr>
      </w:pPr>
      <w:r w:rsidRPr="004D407A">
        <w:rPr>
          <w:rFonts w:ascii="Arial" w:hAnsi="Arial"/>
        </w:rPr>
        <w:t>According to the UN estimates, population</w:t>
      </w:r>
      <w:r w:rsidRPr="004D407A">
        <w:rPr>
          <w:rStyle w:val="FootnoteReference"/>
          <w:rFonts w:ascii="Arial" w:hAnsi="Arial"/>
        </w:rPr>
        <w:footnoteReference w:id="2"/>
      </w:r>
      <w:r w:rsidRPr="004D407A">
        <w:rPr>
          <w:rFonts w:ascii="Arial" w:hAnsi="Arial"/>
        </w:rPr>
        <w:t xml:space="preserve"> of Bangladesh will peak at 192.8 million in 2052.</w:t>
      </w:r>
    </w:p>
    <w:p w14:paraId="5159FAE1" w14:textId="6AF7D552" w:rsidR="00E4311A" w:rsidRPr="004D407A" w:rsidRDefault="00957399" w:rsidP="00957399">
      <w:pPr>
        <w:pStyle w:val="BodyText"/>
      </w:pPr>
      <w:r w:rsidRPr="004D407A">
        <w:rPr>
          <w:rFonts w:ascii="Arial" w:hAnsi="Arial"/>
        </w:rPr>
        <w:t>Childbearing age women account for 0.28% of the total population in Bangladesh. The average household (HH) size in 2019 was 4.352 and remained constant from 2011</w:t>
      </w:r>
      <w:r w:rsidR="003854FD" w:rsidRPr="004D407A">
        <w:rPr>
          <w:rFonts w:ascii="Arial" w:hAnsi="Arial"/>
        </w:rPr>
        <w:t xml:space="preserve">. </w:t>
      </w:r>
    </w:p>
    <w:p w14:paraId="03FA60CF" w14:textId="5C6F4BBA" w:rsidR="00E4311A" w:rsidRPr="004D407A" w:rsidRDefault="00E4311A" w:rsidP="00E4311A">
      <w:pPr>
        <w:pStyle w:val="Caption"/>
        <w:rPr>
          <w:color w:val="auto"/>
        </w:rPr>
      </w:pPr>
      <w:bookmarkStart w:id="22" w:name="_Toc489355866"/>
      <w:bookmarkStart w:id="23" w:name="_Toc489491412"/>
      <w:bookmarkStart w:id="24" w:name="_Toc490750575"/>
      <w:bookmarkStart w:id="25" w:name="_Toc111912740"/>
      <w:r w:rsidRPr="004D407A">
        <w:rPr>
          <w:color w:val="auto"/>
        </w:rPr>
        <w:lastRenderedPageBreak/>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1</w:t>
      </w:r>
      <w:r w:rsidR="00E21383" w:rsidRPr="004D407A">
        <w:rPr>
          <w:noProof/>
          <w:color w:val="auto"/>
        </w:rPr>
        <w:fldChar w:fldCharType="end"/>
      </w:r>
      <w:r w:rsidRPr="004D407A">
        <w:rPr>
          <w:color w:val="auto"/>
        </w:rPr>
        <w:t>:</w:t>
      </w:r>
      <w:r w:rsidR="005B178F" w:rsidRPr="004D407A">
        <w:rPr>
          <w:color w:val="auto"/>
        </w:rPr>
        <w:t xml:space="preserve"> </w:t>
      </w:r>
      <w:r w:rsidRPr="004D407A">
        <w:rPr>
          <w:color w:val="auto"/>
        </w:rPr>
        <w:t xml:space="preserve">Demographic profile of </w:t>
      </w:r>
      <w:r w:rsidR="00075015" w:rsidRPr="004D407A">
        <w:rPr>
          <w:color w:val="auto"/>
        </w:rPr>
        <w:t>Bangladesh</w:t>
      </w:r>
      <w:r w:rsidRPr="004D407A">
        <w:rPr>
          <w:color w:val="auto"/>
        </w:rPr>
        <w:t xml:space="preserve"> (20</w:t>
      </w:r>
      <w:r w:rsidR="00D36FE2" w:rsidRPr="004D407A">
        <w:rPr>
          <w:color w:val="auto"/>
        </w:rPr>
        <w:t>21</w:t>
      </w:r>
      <w:r w:rsidRPr="004D407A">
        <w:rPr>
          <w:color w:val="auto"/>
        </w:rPr>
        <w:t>)</w:t>
      </w:r>
      <w:bookmarkEnd w:id="22"/>
      <w:bookmarkEnd w:id="23"/>
      <w:bookmarkEnd w:id="24"/>
      <w:bookmarkEnd w:id="25"/>
    </w:p>
    <w:tbl>
      <w:tblPr>
        <w:tblStyle w:val="GridTable1Light-Accent511"/>
        <w:tblW w:w="0" w:type="auto"/>
        <w:tblLook w:val="04A0" w:firstRow="1" w:lastRow="0" w:firstColumn="1" w:lastColumn="0" w:noHBand="0" w:noVBand="1"/>
      </w:tblPr>
      <w:tblGrid>
        <w:gridCol w:w="2271"/>
        <w:gridCol w:w="1036"/>
        <w:gridCol w:w="1127"/>
        <w:gridCol w:w="1127"/>
      </w:tblGrid>
      <w:tr w:rsidR="004D407A" w:rsidRPr="004D407A" w14:paraId="391B297C" w14:textId="77777777" w:rsidTr="00E43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609B39" w14:textId="77777777" w:rsidR="00E4311A" w:rsidRPr="004D407A" w:rsidRDefault="00E4311A" w:rsidP="00E4311A">
            <w:pPr>
              <w:pStyle w:val="BodyTextT"/>
              <w:rPr>
                <w:b w:val="0"/>
              </w:rPr>
            </w:pPr>
            <w:bookmarkStart w:id="26" w:name="_Hlk101731856"/>
            <w:r w:rsidRPr="004D407A">
              <w:t>Demographic Profile</w:t>
            </w:r>
          </w:p>
        </w:tc>
        <w:tc>
          <w:tcPr>
            <w:tcW w:w="0" w:type="auto"/>
          </w:tcPr>
          <w:p w14:paraId="102FB220" w14:textId="77777777" w:rsidR="00E4311A" w:rsidRPr="004D407A" w:rsidRDefault="00E4311A" w:rsidP="00E4311A">
            <w:pPr>
              <w:pStyle w:val="BodyTextT"/>
              <w:jc w:val="right"/>
              <w:cnfStyle w:val="100000000000" w:firstRow="1" w:lastRow="0" w:firstColumn="0" w:lastColumn="0" w:oddVBand="0" w:evenVBand="0" w:oddHBand="0" w:evenHBand="0" w:firstRowFirstColumn="0" w:firstRowLastColumn="0" w:lastRowFirstColumn="0" w:lastRowLastColumn="0"/>
              <w:rPr>
                <w:b w:val="0"/>
              </w:rPr>
            </w:pPr>
            <w:r w:rsidRPr="004D407A">
              <w:t>Urban</w:t>
            </w:r>
          </w:p>
        </w:tc>
        <w:tc>
          <w:tcPr>
            <w:tcW w:w="0" w:type="auto"/>
          </w:tcPr>
          <w:p w14:paraId="10D135FE" w14:textId="77777777" w:rsidR="00E4311A" w:rsidRPr="004D407A" w:rsidRDefault="00E4311A" w:rsidP="00E4311A">
            <w:pPr>
              <w:pStyle w:val="BodyTextT"/>
              <w:jc w:val="right"/>
              <w:cnfStyle w:val="100000000000" w:firstRow="1" w:lastRow="0" w:firstColumn="0" w:lastColumn="0" w:oddVBand="0" w:evenVBand="0" w:oddHBand="0" w:evenHBand="0" w:firstRowFirstColumn="0" w:firstRowLastColumn="0" w:lastRowFirstColumn="0" w:lastRowLastColumn="0"/>
              <w:rPr>
                <w:b w:val="0"/>
              </w:rPr>
            </w:pPr>
            <w:r w:rsidRPr="004D407A">
              <w:t>Rural</w:t>
            </w:r>
          </w:p>
        </w:tc>
        <w:tc>
          <w:tcPr>
            <w:tcW w:w="0" w:type="auto"/>
          </w:tcPr>
          <w:p w14:paraId="451105E0" w14:textId="77777777" w:rsidR="00E4311A" w:rsidRPr="004D407A" w:rsidRDefault="00E4311A" w:rsidP="00E4311A">
            <w:pPr>
              <w:pStyle w:val="BodyTextT"/>
              <w:jc w:val="right"/>
              <w:cnfStyle w:val="100000000000" w:firstRow="1" w:lastRow="0" w:firstColumn="0" w:lastColumn="0" w:oddVBand="0" w:evenVBand="0" w:oddHBand="0" w:evenHBand="0" w:firstRowFirstColumn="0" w:firstRowLastColumn="0" w:lastRowFirstColumn="0" w:lastRowLastColumn="0"/>
              <w:rPr>
                <w:b w:val="0"/>
              </w:rPr>
            </w:pPr>
            <w:r w:rsidRPr="004D407A">
              <w:t>Total</w:t>
            </w:r>
          </w:p>
        </w:tc>
      </w:tr>
      <w:tr w:rsidR="004D407A" w:rsidRPr="004D407A" w14:paraId="6C4FC14F" w14:textId="77777777" w:rsidTr="00E4311A">
        <w:tc>
          <w:tcPr>
            <w:cnfStyle w:val="001000000000" w:firstRow="0" w:lastRow="0" w:firstColumn="1" w:lastColumn="0" w:oddVBand="0" w:evenVBand="0" w:oddHBand="0" w:evenHBand="0" w:firstRowFirstColumn="0" w:firstRowLastColumn="0" w:lastRowFirstColumn="0" w:lastRowLastColumn="0"/>
            <w:tcW w:w="0" w:type="auto"/>
          </w:tcPr>
          <w:p w14:paraId="62133BFB" w14:textId="77777777" w:rsidR="00E4311A" w:rsidRPr="004D407A" w:rsidRDefault="00E4311A" w:rsidP="00E4311A">
            <w:pPr>
              <w:pStyle w:val="BodyTextT"/>
              <w:rPr>
                <w:b w:val="0"/>
              </w:rPr>
            </w:pPr>
            <w:r w:rsidRPr="004D407A">
              <w:rPr>
                <w:b w:val="0"/>
              </w:rPr>
              <w:t>Population</w:t>
            </w:r>
          </w:p>
        </w:tc>
        <w:tc>
          <w:tcPr>
            <w:tcW w:w="0" w:type="auto"/>
          </w:tcPr>
          <w:p w14:paraId="16F10665" w14:textId="5F8B4DDB" w:rsidR="00E4311A" w:rsidRPr="004D407A" w:rsidRDefault="001C15B3" w:rsidP="00E4311A">
            <w:pPr>
              <w:pStyle w:val="BodyTextT"/>
              <w:jc w:val="right"/>
              <w:cnfStyle w:val="000000000000" w:firstRow="0" w:lastRow="0" w:firstColumn="0" w:lastColumn="0" w:oddVBand="0" w:evenVBand="0" w:oddHBand="0" w:evenHBand="0" w:firstRowFirstColumn="0" w:firstRowLastColumn="0" w:lastRowFirstColumn="0" w:lastRowLastColumn="0"/>
            </w:pPr>
            <w:r w:rsidRPr="004D407A">
              <w:t>50,584,172</w:t>
            </w:r>
            <w:r w:rsidR="00E4311A" w:rsidRPr="004D407A">
              <w:t xml:space="preserve"> </w:t>
            </w:r>
            <w:r w:rsidR="00E4311A" w:rsidRPr="004D407A">
              <w:br/>
              <w:t>(</w:t>
            </w:r>
            <w:r w:rsidRPr="004D407A">
              <w:t>2</w:t>
            </w:r>
            <w:r w:rsidR="00E4311A" w:rsidRPr="004D407A">
              <w:t>9.</w:t>
            </w:r>
            <w:r w:rsidRPr="004D407A">
              <w:t>7</w:t>
            </w:r>
            <w:r w:rsidR="00E4311A" w:rsidRPr="004D407A">
              <w:t>%)</w:t>
            </w:r>
          </w:p>
        </w:tc>
        <w:tc>
          <w:tcPr>
            <w:tcW w:w="0" w:type="auto"/>
          </w:tcPr>
          <w:p w14:paraId="378F0DFC" w14:textId="174D5D99" w:rsidR="00E4311A" w:rsidRPr="004D407A" w:rsidRDefault="001C15B3" w:rsidP="00E4311A">
            <w:pPr>
              <w:pStyle w:val="BodyTextT"/>
              <w:jc w:val="right"/>
              <w:cnfStyle w:val="000000000000" w:firstRow="0" w:lastRow="0" w:firstColumn="0" w:lastColumn="0" w:oddVBand="0" w:evenVBand="0" w:oddHBand="0" w:evenHBand="0" w:firstRowFirstColumn="0" w:firstRowLastColumn="0" w:lastRowFirstColumn="0" w:lastRowLastColumn="0"/>
            </w:pPr>
            <w:r w:rsidRPr="004D407A">
              <w:t>119,732,905</w:t>
            </w:r>
            <w:r w:rsidR="00E4311A" w:rsidRPr="004D407A">
              <w:br/>
              <w:t>(</w:t>
            </w:r>
            <w:r w:rsidRPr="004D407A">
              <w:t>70</w:t>
            </w:r>
            <w:r w:rsidR="00E4311A" w:rsidRPr="004D407A">
              <w:t>.</w:t>
            </w:r>
            <w:r w:rsidRPr="004D407A">
              <w:t>3</w:t>
            </w:r>
            <w:r w:rsidR="00E4311A" w:rsidRPr="004D407A">
              <w:t>%)</w:t>
            </w:r>
          </w:p>
        </w:tc>
        <w:tc>
          <w:tcPr>
            <w:tcW w:w="0" w:type="auto"/>
          </w:tcPr>
          <w:p w14:paraId="0618465B" w14:textId="066EDB43" w:rsidR="00E4311A" w:rsidRPr="004D407A" w:rsidRDefault="001C15B3" w:rsidP="001C15B3">
            <w:pPr>
              <w:pStyle w:val="BodyTextT"/>
              <w:jc w:val="right"/>
              <w:cnfStyle w:val="000000000000" w:firstRow="0" w:lastRow="0" w:firstColumn="0" w:lastColumn="0" w:oddVBand="0" w:evenVBand="0" w:oddHBand="0" w:evenHBand="0" w:firstRowFirstColumn="0" w:firstRowLastColumn="0" w:lastRowFirstColumn="0" w:lastRowLastColumn="0"/>
            </w:pPr>
            <w:r w:rsidRPr="004D407A">
              <w:t>170,317,076</w:t>
            </w:r>
            <w:r w:rsidR="00E4311A" w:rsidRPr="004D407A">
              <w:br/>
              <w:t>(100%)</w:t>
            </w:r>
          </w:p>
        </w:tc>
      </w:tr>
      <w:tr w:rsidR="004D407A" w:rsidRPr="004D407A" w14:paraId="6FC6970F" w14:textId="77777777" w:rsidTr="00E4311A">
        <w:tc>
          <w:tcPr>
            <w:cnfStyle w:val="001000000000" w:firstRow="0" w:lastRow="0" w:firstColumn="1" w:lastColumn="0" w:oddVBand="0" w:evenVBand="0" w:oddHBand="0" w:evenHBand="0" w:firstRowFirstColumn="0" w:firstRowLastColumn="0" w:lastRowFirstColumn="0" w:lastRowLastColumn="0"/>
            <w:tcW w:w="0" w:type="auto"/>
          </w:tcPr>
          <w:p w14:paraId="4AB7F301" w14:textId="2A9E9ABD" w:rsidR="00E4311A" w:rsidRPr="004D407A" w:rsidRDefault="00E4311A" w:rsidP="00E4311A">
            <w:pPr>
              <w:pStyle w:val="BodyTextT"/>
              <w:rPr>
                <w:b w:val="0"/>
              </w:rPr>
            </w:pPr>
            <w:r w:rsidRPr="004D407A">
              <w:rPr>
                <w:b w:val="0"/>
              </w:rPr>
              <w:t xml:space="preserve">Women of </w:t>
            </w:r>
            <w:r w:rsidR="00785F83" w:rsidRPr="004D407A">
              <w:rPr>
                <w:b w:val="0"/>
              </w:rPr>
              <w:t>Childbearing</w:t>
            </w:r>
            <w:r w:rsidRPr="004D407A">
              <w:rPr>
                <w:b w:val="0"/>
              </w:rPr>
              <w:t xml:space="preserve"> Age</w:t>
            </w:r>
          </w:p>
        </w:tc>
        <w:tc>
          <w:tcPr>
            <w:tcW w:w="0" w:type="auto"/>
          </w:tcPr>
          <w:p w14:paraId="0DF23838" w14:textId="77777777" w:rsidR="00E4311A" w:rsidRPr="004D407A" w:rsidRDefault="00E4311A" w:rsidP="00E4311A">
            <w:pPr>
              <w:pStyle w:val="BodyTextT"/>
              <w:jc w:val="right"/>
              <w:cnfStyle w:val="000000000000" w:firstRow="0" w:lastRow="0" w:firstColumn="0" w:lastColumn="0" w:oddVBand="0" w:evenVBand="0" w:oddHBand="0" w:evenHBand="0" w:firstRowFirstColumn="0" w:firstRowLastColumn="0" w:lastRowFirstColumn="0" w:lastRowLastColumn="0"/>
            </w:pPr>
            <w:r w:rsidRPr="004D407A">
              <w:t>10,324,416</w:t>
            </w:r>
          </w:p>
        </w:tc>
        <w:tc>
          <w:tcPr>
            <w:tcW w:w="0" w:type="auto"/>
          </w:tcPr>
          <w:p w14:paraId="2063816E" w14:textId="77777777" w:rsidR="00E4311A" w:rsidRPr="004D407A" w:rsidRDefault="00E4311A" w:rsidP="00E4311A">
            <w:pPr>
              <w:pStyle w:val="BodyTextT"/>
              <w:jc w:val="right"/>
              <w:cnfStyle w:val="000000000000" w:firstRow="0" w:lastRow="0" w:firstColumn="0" w:lastColumn="0" w:oddVBand="0" w:evenVBand="0" w:oddHBand="0" w:evenHBand="0" w:firstRowFirstColumn="0" w:firstRowLastColumn="0" w:lastRowFirstColumn="0" w:lastRowLastColumn="0"/>
            </w:pPr>
            <w:r w:rsidRPr="004D407A">
              <w:t>33,986,381</w:t>
            </w:r>
          </w:p>
        </w:tc>
        <w:tc>
          <w:tcPr>
            <w:tcW w:w="0" w:type="auto"/>
          </w:tcPr>
          <w:p w14:paraId="24691E92" w14:textId="77777777" w:rsidR="00E4311A" w:rsidRPr="004D407A" w:rsidRDefault="00E4311A" w:rsidP="00E4311A">
            <w:pPr>
              <w:pStyle w:val="BodyTextT"/>
              <w:jc w:val="right"/>
              <w:cnfStyle w:val="000000000000" w:firstRow="0" w:lastRow="0" w:firstColumn="0" w:lastColumn="0" w:oddVBand="0" w:evenVBand="0" w:oddHBand="0" w:evenHBand="0" w:firstRowFirstColumn="0" w:firstRowLastColumn="0" w:lastRowFirstColumn="0" w:lastRowLastColumn="0"/>
            </w:pPr>
            <w:r w:rsidRPr="004D407A">
              <w:t>44,310,797</w:t>
            </w:r>
          </w:p>
        </w:tc>
      </w:tr>
    </w:tbl>
    <w:bookmarkEnd w:id="26"/>
    <w:p w14:paraId="309E1A5A" w14:textId="7AE72417" w:rsidR="00E4311A" w:rsidRPr="004D407A" w:rsidRDefault="00E4311A" w:rsidP="00E4311A">
      <w:pPr>
        <w:pStyle w:val="mySource"/>
        <w:rPr>
          <w:color w:val="auto"/>
        </w:rPr>
      </w:pPr>
      <w:r w:rsidRPr="004D407A">
        <w:rPr>
          <w:color w:val="auto"/>
        </w:rPr>
        <w:t>Source: EPI Bangladesh</w:t>
      </w:r>
      <w:r w:rsidR="00DB5DAF" w:rsidRPr="004D407A">
        <w:rPr>
          <w:color w:val="auto"/>
        </w:rPr>
        <w:t>,</w:t>
      </w:r>
      <w:r w:rsidRPr="004D407A">
        <w:rPr>
          <w:color w:val="auto"/>
        </w:rPr>
        <w:t xml:space="preserve"> National Census 2011</w:t>
      </w:r>
    </w:p>
    <w:p w14:paraId="3C65CAEF" w14:textId="507E25F0" w:rsidR="00066ECC" w:rsidRPr="004D407A" w:rsidRDefault="00106B8A" w:rsidP="001C23E0">
      <w:pPr>
        <w:pStyle w:val="BodyText"/>
        <w:rPr>
          <w:rFonts w:ascii="Arial" w:hAnsi="Arial"/>
        </w:rPr>
      </w:pPr>
      <w:r w:rsidRPr="004D407A">
        <w:rPr>
          <w:rFonts w:ascii="Arial" w:hAnsi="Arial"/>
        </w:rPr>
        <w:t>In the baseline year (20</w:t>
      </w:r>
      <w:r w:rsidR="00F930E5" w:rsidRPr="004D407A">
        <w:rPr>
          <w:rFonts w:ascii="Arial" w:hAnsi="Arial"/>
        </w:rPr>
        <w:t>21</w:t>
      </w:r>
      <w:r w:rsidRPr="004D407A">
        <w:rPr>
          <w:rFonts w:ascii="Arial" w:hAnsi="Arial"/>
        </w:rPr>
        <w:t>) the birth cohort was estimated at 3,</w:t>
      </w:r>
      <w:r w:rsidR="00F930E5" w:rsidRPr="004D407A">
        <w:rPr>
          <w:rFonts w:ascii="Arial" w:hAnsi="Arial"/>
        </w:rPr>
        <w:t>082</w:t>
      </w:r>
      <w:r w:rsidRPr="004D407A">
        <w:rPr>
          <w:rFonts w:ascii="Arial" w:hAnsi="Arial"/>
        </w:rPr>
        <w:t>,</w:t>
      </w:r>
      <w:r w:rsidR="00F930E5" w:rsidRPr="004D407A">
        <w:rPr>
          <w:rFonts w:ascii="Arial" w:hAnsi="Arial"/>
        </w:rPr>
        <w:t>739</w:t>
      </w:r>
      <w:r w:rsidRPr="004D407A">
        <w:rPr>
          <w:rFonts w:ascii="Arial" w:hAnsi="Arial"/>
        </w:rPr>
        <w:t xml:space="preserve"> million children and the annual population growth rate - at 1.3</w:t>
      </w:r>
      <w:r w:rsidR="00066ECC" w:rsidRPr="004D407A">
        <w:rPr>
          <w:rFonts w:ascii="Arial" w:hAnsi="Arial"/>
        </w:rPr>
        <w:t>.</w:t>
      </w:r>
    </w:p>
    <w:p w14:paraId="2826FD4E" w14:textId="5366DC3F" w:rsidR="00066ECC" w:rsidRPr="004D407A" w:rsidRDefault="00066ECC" w:rsidP="00E4311A">
      <w:pPr>
        <w:pStyle w:val="Heading4"/>
        <w:rPr>
          <w:color w:val="auto"/>
        </w:rPr>
      </w:pPr>
      <w:r w:rsidRPr="004D407A">
        <w:rPr>
          <w:color w:val="auto"/>
        </w:rPr>
        <w:t xml:space="preserve"> </w:t>
      </w:r>
      <w:bookmarkStart w:id="27" w:name="_Toc489491473"/>
      <w:bookmarkStart w:id="28" w:name="_Toc111910224"/>
      <w:r w:rsidR="00E4311A" w:rsidRPr="004D407A">
        <w:rPr>
          <w:color w:val="auto"/>
        </w:rPr>
        <w:t>Population distribution</w:t>
      </w:r>
      <w:r w:rsidR="00982593" w:rsidRPr="004D407A">
        <w:rPr>
          <w:color w:val="auto"/>
        </w:rPr>
        <w:t xml:space="preserve"> and ethnic composition</w:t>
      </w:r>
      <w:bookmarkEnd w:id="27"/>
      <w:bookmarkEnd w:id="28"/>
    </w:p>
    <w:p w14:paraId="7AD061F0" w14:textId="599339C7" w:rsidR="00E4311A" w:rsidRPr="004D407A" w:rsidRDefault="00957399" w:rsidP="00E4311A">
      <w:pPr>
        <w:pStyle w:val="BodyText"/>
        <w:rPr>
          <w:rFonts w:ascii="Arial" w:hAnsi="Arial"/>
        </w:rPr>
      </w:pPr>
      <w:r w:rsidRPr="004D407A">
        <w:rPr>
          <w:rFonts w:ascii="Arial" w:hAnsi="Arial"/>
        </w:rPr>
        <w:t>About 70.3% of the population of Bangladesh lives in the rural areas while the residents of urban areas account for only 29.7%. Out of the 8 divisions, Dhaka division alone contains almost 25.3% of the country’s total population, reporting a total population count of 43,091,941 individuals.</w:t>
      </w:r>
      <w:r w:rsidRPr="004D407A">
        <w:rPr>
          <w:rStyle w:val="FootnoteReference"/>
          <w:rFonts w:ascii="Arial" w:hAnsi="Arial"/>
        </w:rPr>
        <w:footnoteReference w:id="3"/>
      </w:r>
      <w:r w:rsidRPr="004D407A">
        <w:rPr>
          <w:rFonts w:ascii="Arial" w:hAnsi="Arial"/>
        </w:rPr>
        <w:t xml:space="preserve"> Ch</w:t>
      </w:r>
      <w:r w:rsidR="00785F83" w:rsidRPr="004D407A">
        <w:rPr>
          <w:rFonts w:ascii="Arial" w:hAnsi="Arial"/>
        </w:rPr>
        <w:t>attogram</w:t>
      </w:r>
      <w:r w:rsidRPr="004D407A">
        <w:rPr>
          <w:rFonts w:ascii="Arial" w:hAnsi="Arial"/>
        </w:rPr>
        <w:t xml:space="preserve">, Rajshahi, Rangpur and Khulna are the other four most populated divisions with housing more than 74 million people (see details in </w:t>
      </w:r>
      <w:r w:rsidRPr="004D407A">
        <w:rPr>
          <w:rFonts w:ascii="Arial" w:hAnsi="Arial"/>
        </w:rPr>
        <w:fldChar w:fldCharType="begin"/>
      </w:r>
      <w:r w:rsidRPr="004D407A">
        <w:rPr>
          <w:rFonts w:ascii="Arial" w:hAnsi="Arial"/>
        </w:rPr>
        <w:instrText xml:space="preserve"> REF _Ref104280394 \h </w:instrText>
      </w:r>
      <w:r w:rsidR="00DD759D"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2</w:t>
      </w:r>
      <w:r w:rsidRPr="004D407A">
        <w:rPr>
          <w:rFonts w:ascii="Arial" w:hAnsi="Arial"/>
        </w:rPr>
        <w:fldChar w:fldCharType="end"/>
      </w:r>
      <w:r w:rsidRPr="004D407A">
        <w:rPr>
          <w:rFonts w:ascii="Arial" w:hAnsi="Arial"/>
        </w:rPr>
        <w:t xml:space="preserve"> below)</w:t>
      </w:r>
      <w:r w:rsidR="00E4311A" w:rsidRPr="004D407A">
        <w:rPr>
          <w:rFonts w:ascii="Arial" w:hAnsi="Arial"/>
        </w:rPr>
        <w:t>.</w:t>
      </w:r>
    </w:p>
    <w:p w14:paraId="71E7B5F6" w14:textId="6E51991A" w:rsidR="00C76F55" w:rsidRDefault="00C76F55" w:rsidP="00C76F55">
      <w:pPr>
        <w:pStyle w:val="Caption"/>
        <w:rPr>
          <w:color w:val="auto"/>
        </w:rPr>
      </w:pPr>
      <w:bookmarkStart w:id="29" w:name="_Ref104280394"/>
      <w:bookmarkStart w:id="30" w:name="_Toc111912741"/>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w:t>
      </w:r>
      <w:r w:rsidR="00E21383" w:rsidRPr="004D407A">
        <w:rPr>
          <w:noProof/>
          <w:color w:val="auto"/>
        </w:rPr>
        <w:fldChar w:fldCharType="end"/>
      </w:r>
      <w:bookmarkEnd w:id="29"/>
      <w:r w:rsidRPr="004D407A">
        <w:rPr>
          <w:color w:val="auto"/>
        </w:rPr>
        <w:t>: Bangladesh population distribution per divisions</w:t>
      </w:r>
      <w:bookmarkEnd w:id="30"/>
    </w:p>
    <w:tbl>
      <w:tblPr>
        <w:tblW w:w="8494" w:type="dxa"/>
        <w:tblCellMar>
          <w:left w:w="0" w:type="dxa"/>
          <w:right w:w="0" w:type="dxa"/>
        </w:tblCellMar>
        <w:tblLook w:val="0420" w:firstRow="1" w:lastRow="0" w:firstColumn="0" w:lastColumn="0" w:noHBand="0" w:noVBand="1"/>
      </w:tblPr>
      <w:tblGrid>
        <w:gridCol w:w="651"/>
        <w:gridCol w:w="3548"/>
        <w:gridCol w:w="2232"/>
        <w:gridCol w:w="2063"/>
      </w:tblGrid>
      <w:tr w:rsidR="004D407A" w:rsidRPr="004D407A" w14:paraId="7B0DB564" w14:textId="77777777" w:rsidTr="004D407A">
        <w:trPr>
          <w:trHeight w:val="391"/>
        </w:trPr>
        <w:tc>
          <w:tcPr>
            <w:tcW w:w="65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hideMark/>
          </w:tcPr>
          <w:p w14:paraId="77752CAE" w14:textId="77777777" w:rsidR="004D407A" w:rsidRPr="004D407A" w:rsidRDefault="004D407A" w:rsidP="004D407A">
            <w:r w:rsidRPr="004D407A">
              <w:rPr>
                <w:b/>
                <w:bCs/>
              </w:rPr>
              <w:t>#</w:t>
            </w:r>
          </w:p>
        </w:tc>
        <w:tc>
          <w:tcPr>
            <w:tcW w:w="354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hideMark/>
          </w:tcPr>
          <w:p w14:paraId="654018A1" w14:textId="77777777" w:rsidR="004D407A" w:rsidRPr="004D407A" w:rsidRDefault="004D407A" w:rsidP="004D407A">
            <w:r w:rsidRPr="004D407A">
              <w:rPr>
                <w:b/>
                <w:bCs/>
              </w:rPr>
              <w:t>Division</w:t>
            </w:r>
          </w:p>
        </w:tc>
        <w:tc>
          <w:tcPr>
            <w:tcW w:w="223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hideMark/>
          </w:tcPr>
          <w:p w14:paraId="66FDB76C" w14:textId="77777777" w:rsidR="004D407A" w:rsidRPr="004D407A" w:rsidRDefault="004D407A" w:rsidP="004D407A">
            <w:r w:rsidRPr="004D407A">
              <w:rPr>
                <w:b/>
                <w:bCs/>
              </w:rPr>
              <w:t>Total Population</w:t>
            </w:r>
          </w:p>
        </w:tc>
        <w:tc>
          <w:tcPr>
            <w:tcW w:w="2063"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hideMark/>
          </w:tcPr>
          <w:p w14:paraId="2E728965" w14:textId="77777777" w:rsidR="004D407A" w:rsidRPr="004D407A" w:rsidRDefault="004D407A" w:rsidP="004D407A">
            <w:r w:rsidRPr="004D407A">
              <w:rPr>
                <w:b/>
                <w:bCs/>
              </w:rPr>
              <w:t xml:space="preserve">% </w:t>
            </w:r>
            <w:proofErr w:type="gramStart"/>
            <w:r w:rsidRPr="004D407A">
              <w:rPr>
                <w:b/>
                <w:bCs/>
              </w:rPr>
              <w:t>of</w:t>
            </w:r>
            <w:proofErr w:type="gramEnd"/>
            <w:r w:rsidRPr="004D407A">
              <w:rPr>
                <w:b/>
                <w:bCs/>
              </w:rPr>
              <w:t xml:space="preserve"> Total Population</w:t>
            </w:r>
          </w:p>
        </w:tc>
      </w:tr>
      <w:tr w:rsidR="004D407A" w:rsidRPr="004D407A" w14:paraId="24F1A912" w14:textId="77777777" w:rsidTr="004D407A">
        <w:trPr>
          <w:trHeight w:val="391"/>
        </w:trPr>
        <w:tc>
          <w:tcPr>
            <w:tcW w:w="65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57F4A507" w14:textId="77777777" w:rsidR="004D407A" w:rsidRPr="004D407A" w:rsidRDefault="004D407A" w:rsidP="004D407A">
            <w:r w:rsidRPr="004D407A">
              <w:t>1</w:t>
            </w:r>
          </w:p>
        </w:tc>
        <w:tc>
          <w:tcPr>
            <w:tcW w:w="354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5F6BE65E" w14:textId="77777777" w:rsidR="004D407A" w:rsidRPr="004D407A" w:rsidRDefault="004D407A" w:rsidP="004D407A">
            <w:r w:rsidRPr="004D407A">
              <w:t>Barishal</w:t>
            </w:r>
          </w:p>
        </w:tc>
        <w:tc>
          <w:tcPr>
            <w:tcW w:w="2232"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49718268" w14:textId="77777777" w:rsidR="004D407A" w:rsidRPr="004D407A" w:rsidRDefault="004D407A" w:rsidP="004D407A">
            <w:r w:rsidRPr="004D407A">
              <w:t>9,100,102</w:t>
            </w:r>
          </w:p>
        </w:tc>
        <w:tc>
          <w:tcPr>
            <w:tcW w:w="2063"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22A4BCF4" w14:textId="77777777" w:rsidR="004D407A" w:rsidRPr="004D407A" w:rsidRDefault="004D407A" w:rsidP="004D407A">
            <w:r w:rsidRPr="004D407A">
              <w:t>5.5%</w:t>
            </w:r>
          </w:p>
        </w:tc>
      </w:tr>
      <w:tr w:rsidR="004D407A" w:rsidRPr="004D407A" w14:paraId="363D70A0" w14:textId="77777777" w:rsidTr="004D407A">
        <w:trPr>
          <w:trHeight w:val="391"/>
        </w:trPr>
        <w:tc>
          <w:tcPr>
            <w:tcW w:w="65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5EFD581" w14:textId="77777777" w:rsidR="004D407A" w:rsidRPr="004D407A" w:rsidRDefault="004D407A" w:rsidP="004D407A">
            <w:r w:rsidRPr="004D407A">
              <w:t>2</w:t>
            </w:r>
          </w:p>
        </w:tc>
        <w:tc>
          <w:tcPr>
            <w:tcW w:w="35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CDE9805" w14:textId="77777777" w:rsidR="004D407A" w:rsidRPr="004D407A" w:rsidRDefault="004D407A" w:rsidP="004D407A">
            <w:r w:rsidRPr="004D407A">
              <w:t>Chattogram</w:t>
            </w:r>
          </w:p>
        </w:tc>
        <w:tc>
          <w:tcPr>
            <w:tcW w:w="223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27ACFB5" w14:textId="77777777" w:rsidR="004D407A" w:rsidRPr="004D407A" w:rsidRDefault="004D407A" w:rsidP="004D407A">
            <w:r w:rsidRPr="004D407A">
              <w:t>33,202,326</w:t>
            </w:r>
          </w:p>
        </w:tc>
        <w:tc>
          <w:tcPr>
            <w:tcW w:w="206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7C7F2F10" w14:textId="77777777" w:rsidR="004D407A" w:rsidRPr="004D407A" w:rsidRDefault="004D407A" w:rsidP="004D407A">
            <w:r w:rsidRPr="004D407A">
              <w:t>20.1%</w:t>
            </w:r>
          </w:p>
        </w:tc>
      </w:tr>
      <w:tr w:rsidR="004D407A" w:rsidRPr="004D407A" w14:paraId="344F3335" w14:textId="77777777" w:rsidTr="004D407A">
        <w:trPr>
          <w:trHeight w:val="391"/>
        </w:trPr>
        <w:tc>
          <w:tcPr>
            <w:tcW w:w="65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6E166EAF" w14:textId="77777777" w:rsidR="004D407A" w:rsidRPr="004D407A" w:rsidRDefault="004D407A" w:rsidP="004D407A">
            <w:r w:rsidRPr="004D407A">
              <w:t>3</w:t>
            </w:r>
          </w:p>
        </w:tc>
        <w:tc>
          <w:tcPr>
            <w:tcW w:w="354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6DA11121" w14:textId="77777777" w:rsidR="004D407A" w:rsidRPr="004D407A" w:rsidRDefault="004D407A" w:rsidP="004D407A">
            <w:r w:rsidRPr="004D407A">
              <w:t>Dhaka</w:t>
            </w:r>
          </w:p>
        </w:tc>
        <w:tc>
          <w:tcPr>
            <w:tcW w:w="223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571B0C02" w14:textId="77777777" w:rsidR="004D407A" w:rsidRPr="004D407A" w:rsidRDefault="004D407A" w:rsidP="004D407A">
            <w:r w:rsidRPr="004D407A">
              <w:t>44,215,107</w:t>
            </w:r>
          </w:p>
        </w:tc>
        <w:tc>
          <w:tcPr>
            <w:tcW w:w="206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43A88DA8" w14:textId="77777777" w:rsidR="004D407A" w:rsidRPr="004D407A" w:rsidRDefault="004D407A" w:rsidP="004D407A">
            <w:r w:rsidRPr="004D407A">
              <w:t>26.8%</w:t>
            </w:r>
          </w:p>
        </w:tc>
      </w:tr>
      <w:tr w:rsidR="004D407A" w:rsidRPr="004D407A" w14:paraId="3AB1AF44" w14:textId="77777777" w:rsidTr="004D407A">
        <w:trPr>
          <w:trHeight w:val="391"/>
        </w:trPr>
        <w:tc>
          <w:tcPr>
            <w:tcW w:w="65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D6C558A" w14:textId="77777777" w:rsidR="004D407A" w:rsidRPr="004D407A" w:rsidRDefault="004D407A" w:rsidP="004D407A">
            <w:r w:rsidRPr="004D407A">
              <w:t>4</w:t>
            </w:r>
          </w:p>
        </w:tc>
        <w:tc>
          <w:tcPr>
            <w:tcW w:w="35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01A6E72" w14:textId="77777777" w:rsidR="004D407A" w:rsidRPr="004D407A" w:rsidRDefault="004D407A" w:rsidP="004D407A">
            <w:r w:rsidRPr="004D407A">
              <w:t>Khulna</w:t>
            </w:r>
          </w:p>
        </w:tc>
        <w:tc>
          <w:tcPr>
            <w:tcW w:w="223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10BC0B0" w14:textId="77777777" w:rsidR="004D407A" w:rsidRPr="004D407A" w:rsidRDefault="004D407A" w:rsidP="004D407A">
            <w:r w:rsidRPr="004D407A">
              <w:t>17,416,645</w:t>
            </w:r>
          </w:p>
        </w:tc>
        <w:tc>
          <w:tcPr>
            <w:tcW w:w="206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AEBFF66" w14:textId="77777777" w:rsidR="004D407A" w:rsidRPr="004D407A" w:rsidRDefault="004D407A" w:rsidP="004D407A">
            <w:r w:rsidRPr="004D407A">
              <w:t>10.5%</w:t>
            </w:r>
          </w:p>
        </w:tc>
      </w:tr>
      <w:tr w:rsidR="004D407A" w:rsidRPr="004D407A" w14:paraId="7F476843" w14:textId="77777777" w:rsidTr="004D407A">
        <w:trPr>
          <w:trHeight w:val="391"/>
        </w:trPr>
        <w:tc>
          <w:tcPr>
            <w:tcW w:w="65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4D9D9AEB" w14:textId="77777777" w:rsidR="004D407A" w:rsidRPr="004D407A" w:rsidRDefault="004D407A" w:rsidP="004D407A">
            <w:r w:rsidRPr="004D407A">
              <w:t>5</w:t>
            </w:r>
          </w:p>
        </w:tc>
        <w:tc>
          <w:tcPr>
            <w:tcW w:w="354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324D13B2" w14:textId="77777777" w:rsidR="004D407A" w:rsidRPr="004D407A" w:rsidRDefault="004D407A" w:rsidP="004D407A">
            <w:r w:rsidRPr="004D407A">
              <w:t>Mymensingh</w:t>
            </w:r>
          </w:p>
        </w:tc>
        <w:tc>
          <w:tcPr>
            <w:tcW w:w="223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51F963D6" w14:textId="77777777" w:rsidR="004D407A" w:rsidRPr="004D407A" w:rsidRDefault="004D407A" w:rsidP="004D407A">
            <w:r w:rsidRPr="004D407A">
              <w:t>12,225,498</w:t>
            </w:r>
          </w:p>
        </w:tc>
        <w:tc>
          <w:tcPr>
            <w:tcW w:w="206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6777F037" w14:textId="77777777" w:rsidR="004D407A" w:rsidRPr="004D407A" w:rsidRDefault="004D407A" w:rsidP="004D407A">
            <w:r w:rsidRPr="004D407A">
              <w:t>7.4%</w:t>
            </w:r>
          </w:p>
        </w:tc>
      </w:tr>
      <w:tr w:rsidR="004D407A" w:rsidRPr="004D407A" w14:paraId="145D8F01" w14:textId="77777777" w:rsidTr="004D407A">
        <w:trPr>
          <w:trHeight w:val="391"/>
        </w:trPr>
        <w:tc>
          <w:tcPr>
            <w:tcW w:w="65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7177BCF6" w14:textId="77777777" w:rsidR="004D407A" w:rsidRPr="004D407A" w:rsidRDefault="004D407A" w:rsidP="004D407A">
            <w:r w:rsidRPr="004D407A">
              <w:t>6</w:t>
            </w:r>
          </w:p>
        </w:tc>
        <w:tc>
          <w:tcPr>
            <w:tcW w:w="35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999157E" w14:textId="77777777" w:rsidR="004D407A" w:rsidRPr="004D407A" w:rsidRDefault="004D407A" w:rsidP="004D407A">
            <w:r w:rsidRPr="004D407A">
              <w:t>Rajshahi</w:t>
            </w:r>
          </w:p>
        </w:tc>
        <w:tc>
          <w:tcPr>
            <w:tcW w:w="223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0DA3A73" w14:textId="77777777" w:rsidR="004D407A" w:rsidRPr="004D407A" w:rsidRDefault="004D407A" w:rsidP="004D407A">
            <w:r w:rsidRPr="004D407A">
              <w:t>20,353,119</w:t>
            </w:r>
          </w:p>
        </w:tc>
        <w:tc>
          <w:tcPr>
            <w:tcW w:w="206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F00FFAD" w14:textId="77777777" w:rsidR="004D407A" w:rsidRPr="004D407A" w:rsidRDefault="004D407A" w:rsidP="004D407A">
            <w:r w:rsidRPr="004D407A">
              <w:t>12.3%</w:t>
            </w:r>
          </w:p>
        </w:tc>
      </w:tr>
      <w:tr w:rsidR="004D407A" w:rsidRPr="004D407A" w14:paraId="34A30BDF" w14:textId="77777777" w:rsidTr="004D407A">
        <w:trPr>
          <w:trHeight w:val="391"/>
        </w:trPr>
        <w:tc>
          <w:tcPr>
            <w:tcW w:w="65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6443D647" w14:textId="77777777" w:rsidR="004D407A" w:rsidRPr="004D407A" w:rsidRDefault="004D407A" w:rsidP="004D407A">
            <w:r w:rsidRPr="004D407A">
              <w:t>7</w:t>
            </w:r>
          </w:p>
        </w:tc>
        <w:tc>
          <w:tcPr>
            <w:tcW w:w="354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1980557C" w14:textId="77777777" w:rsidR="004D407A" w:rsidRPr="004D407A" w:rsidRDefault="004D407A" w:rsidP="004D407A">
            <w:r w:rsidRPr="004D407A">
              <w:t>Rangpur</w:t>
            </w:r>
          </w:p>
        </w:tc>
        <w:tc>
          <w:tcPr>
            <w:tcW w:w="223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6B5C3AE7" w14:textId="77777777" w:rsidR="004D407A" w:rsidRPr="004D407A" w:rsidRDefault="004D407A" w:rsidP="004D407A">
            <w:r w:rsidRPr="004D407A">
              <w:t>17,610,956</w:t>
            </w:r>
          </w:p>
        </w:tc>
        <w:tc>
          <w:tcPr>
            <w:tcW w:w="206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4C4CAD59" w14:textId="77777777" w:rsidR="004D407A" w:rsidRPr="004D407A" w:rsidRDefault="004D407A" w:rsidP="004D407A">
            <w:r w:rsidRPr="004D407A">
              <w:t>10.7%</w:t>
            </w:r>
          </w:p>
        </w:tc>
      </w:tr>
      <w:tr w:rsidR="004D407A" w:rsidRPr="004D407A" w14:paraId="57979543" w14:textId="77777777" w:rsidTr="004D407A">
        <w:trPr>
          <w:trHeight w:val="391"/>
        </w:trPr>
        <w:tc>
          <w:tcPr>
            <w:tcW w:w="65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E0B29FF" w14:textId="77777777" w:rsidR="004D407A" w:rsidRPr="004D407A" w:rsidRDefault="004D407A" w:rsidP="004D407A">
            <w:r w:rsidRPr="004D407A">
              <w:t>8</w:t>
            </w:r>
          </w:p>
        </w:tc>
        <w:tc>
          <w:tcPr>
            <w:tcW w:w="35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D57207C" w14:textId="77777777" w:rsidR="004D407A" w:rsidRPr="004D407A" w:rsidRDefault="004D407A" w:rsidP="004D407A">
            <w:r w:rsidRPr="004D407A">
              <w:t>Sylhet</w:t>
            </w:r>
          </w:p>
        </w:tc>
        <w:tc>
          <w:tcPr>
            <w:tcW w:w="223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28610D5" w14:textId="77777777" w:rsidR="004D407A" w:rsidRPr="004D407A" w:rsidRDefault="004D407A" w:rsidP="004D407A">
            <w:r w:rsidRPr="004D407A">
              <w:t>11,034,863</w:t>
            </w:r>
          </w:p>
        </w:tc>
        <w:tc>
          <w:tcPr>
            <w:tcW w:w="206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7C40A8C5" w14:textId="77777777" w:rsidR="004D407A" w:rsidRPr="004D407A" w:rsidRDefault="004D407A" w:rsidP="004D407A">
            <w:r w:rsidRPr="004D407A">
              <w:t>6.7%</w:t>
            </w:r>
          </w:p>
        </w:tc>
      </w:tr>
      <w:tr w:rsidR="004D407A" w:rsidRPr="004D407A" w14:paraId="4CCCAE2D" w14:textId="77777777" w:rsidTr="004D407A">
        <w:trPr>
          <w:trHeight w:val="391"/>
        </w:trPr>
        <w:tc>
          <w:tcPr>
            <w:tcW w:w="65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6D460361" w14:textId="77777777" w:rsidR="004D407A" w:rsidRPr="004D407A" w:rsidRDefault="004D407A" w:rsidP="004D407A"/>
        </w:tc>
        <w:tc>
          <w:tcPr>
            <w:tcW w:w="354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31FC8A7D" w14:textId="77777777" w:rsidR="004D407A" w:rsidRPr="004D407A" w:rsidRDefault="004D407A" w:rsidP="004D407A">
            <w:r w:rsidRPr="004D407A">
              <w:rPr>
                <w:b/>
                <w:bCs/>
              </w:rPr>
              <w:t>Total</w:t>
            </w:r>
          </w:p>
        </w:tc>
        <w:tc>
          <w:tcPr>
            <w:tcW w:w="223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4059A6C4" w14:textId="77777777" w:rsidR="004D407A" w:rsidRPr="004D407A" w:rsidRDefault="004D407A" w:rsidP="004D407A">
            <w:r w:rsidRPr="004D407A">
              <w:rPr>
                <w:b/>
                <w:bCs/>
              </w:rPr>
              <w:t>165,158,616</w:t>
            </w:r>
          </w:p>
        </w:tc>
        <w:tc>
          <w:tcPr>
            <w:tcW w:w="206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bottom"/>
            <w:hideMark/>
          </w:tcPr>
          <w:p w14:paraId="4A5F8060" w14:textId="77777777" w:rsidR="004D407A" w:rsidRPr="004D407A" w:rsidRDefault="004D407A" w:rsidP="004D407A"/>
        </w:tc>
      </w:tr>
    </w:tbl>
    <w:p w14:paraId="6ECCEA4D" w14:textId="324350E3" w:rsidR="00C76F55" w:rsidRPr="004D407A" w:rsidRDefault="00563346" w:rsidP="00563346">
      <w:pPr>
        <w:pStyle w:val="mySource"/>
        <w:rPr>
          <w:color w:val="auto"/>
        </w:rPr>
      </w:pPr>
      <w:r w:rsidRPr="004D407A">
        <w:rPr>
          <w:color w:val="auto"/>
        </w:rPr>
        <w:t>Source: Bangladesh Bureau of Statistics</w:t>
      </w:r>
    </w:p>
    <w:p w14:paraId="64D7115A" w14:textId="37FD035D" w:rsidR="00982593" w:rsidRPr="004D407A" w:rsidRDefault="00982593" w:rsidP="00E4311A">
      <w:pPr>
        <w:pStyle w:val="BodyText"/>
        <w:rPr>
          <w:rFonts w:ascii="Arial" w:hAnsi="Arial"/>
        </w:rPr>
      </w:pPr>
      <w:r w:rsidRPr="004D407A">
        <w:rPr>
          <w:rFonts w:ascii="Arial" w:hAnsi="Arial"/>
        </w:rPr>
        <w:t>The population of Bangladesh is unevenly distributed across the country. The density of population varies from 97 individuals per Sq. Km. in the lowest populated areas to 9,178 people per Sq. Km. in the highest populated areas.</w:t>
      </w:r>
    </w:p>
    <w:p w14:paraId="0264015B" w14:textId="5C65DBA0" w:rsidR="00106B8A" w:rsidRPr="004D407A" w:rsidRDefault="00106B8A" w:rsidP="00106B8A">
      <w:pPr>
        <w:pStyle w:val="BodyText"/>
        <w:rPr>
          <w:rFonts w:ascii="Arial" w:hAnsi="Arial"/>
        </w:rPr>
      </w:pPr>
      <w:r w:rsidRPr="004D407A">
        <w:rPr>
          <w:rFonts w:ascii="Arial" w:hAnsi="Arial"/>
        </w:rPr>
        <w:t>The overwhelming majority of Bangladeshis are ethnic Bengali, comprising nearly 98% of the population. The remainde</w:t>
      </w:r>
      <w:r w:rsidR="00887016" w:rsidRPr="004D407A">
        <w:rPr>
          <w:rFonts w:ascii="Arial" w:hAnsi="Arial"/>
        </w:rPr>
        <w:t xml:space="preserve">r </w:t>
      </w:r>
      <w:r w:rsidRPr="004D407A">
        <w:rPr>
          <w:rFonts w:ascii="Arial" w:hAnsi="Arial"/>
        </w:rPr>
        <w:t xml:space="preserve">of the population are indigenous tribal groups. The indigenous tribal </w:t>
      </w:r>
      <w:r w:rsidR="00DA44E5" w:rsidRPr="004D407A">
        <w:rPr>
          <w:rFonts w:ascii="Arial" w:hAnsi="Arial"/>
        </w:rPr>
        <w:t>population groups</w:t>
      </w:r>
      <w:r w:rsidRPr="004D407A">
        <w:rPr>
          <w:rFonts w:ascii="Arial" w:hAnsi="Arial"/>
        </w:rPr>
        <w:t xml:space="preserve"> are concentrated in the Ch</w:t>
      </w:r>
      <w:r w:rsidR="00785F83" w:rsidRPr="004D407A">
        <w:rPr>
          <w:rFonts w:ascii="Arial" w:hAnsi="Arial"/>
        </w:rPr>
        <w:t>attogram</w:t>
      </w:r>
      <w:r w:rsidRPr="004D407A">
        <w:rPr>
          <w:rFonts w:ascii="Arial" w:hAnsi="Arial"/>
        </w:rPr>
        <w:t xml:space="preserve"> Hills </w:t>
      </w:r>
      <w:r w:rsidR="00A321DD" w:rsidRPr="004D407A">
        <w:rPr>
          <w:rFonts w:ascii="Arial" w:hAnsi="Arial"/>
        </w:rPr>
        <w:t xml:space="preserve">Districts </w:t>
      </w:r>
      <w:r w:rsidRPr="004D407A">
        <w:rPr>
          <w:rFonts w:ascii="Arial" w:hAnsi="Arial"/>
        </w:rPr>
        <w:t>in the southeast.</w:t>
      </w:r>
    </w:p>
    <w:p w14:paraId="4EA1852F" w14:textId="5194A692" w:rsidR="00CC1CA2" w:rsidRPr="004D407A" w:rsidRDefault="00106B8A" w:rsidP="00106B8A">
      <w:pPr>
        <w:pStyle w:val="BodyText"/>
      </w:pPr>
      <w:r w:rsidRPr="004D407A">
        <w:rPr>
          <w:rFonts w:ascii="Arial" w:hAnsi="Arial"/>
        </w:rPr>
        <w:t xml:space="preserve">Nearly all Bangladeshis speak Bangla as their mother tongue and the official language in the country. It is an Indo-Aryan language of Sanskrit origin with its own script. English is used as a second language </w:t>
      </w:r>
      <w:proofErr w:type="gramStart"/>
      <w:r w:rsidRPr="004D407A">
        <w:rPr>
          <w:rFonts w:ascii="Arial" w:hAnsi="Arial"/>
        </w:rPr>
        <w:t>and also</w:t>
      </w:r>
      <w:proofErr w:type="gramEnd"/>
      <w:r w:rsidRPr="004D407A">
        <w:rPr>
          <w:rFonts w:ascii="Arial" w:hAnsi="Arial"/>
        </w:rPr>
        <w:t xml:space="preserve"> widely used in higher education and the legal system</w:t>
      </w:r>
      <w:r w:rsidR="00CC1CA2" w:rsidRPr="004D407A">
        <w:rPr>
          <w:rFonts w:ascii="Arial" w:hAnsi="Arial"/>
        </w:rPr>
        <w:t>.</w:t>
      </w:r>
    </w:p>
    <w:p w14:paraId="27078775" w14:textId="06315819" w:rsidR="00BE79F3" w:rsidRPr="004D407A" w:rsidRDefault="00BE79F3" w:rsidP="00BE79F3">
      <w:pPr>
        <w:pStyle w:val="Heading2"/>
        <w:rPr>
          <w:color w:val="auto"/>
        </w:rPr>
      </w:pPr>
      <w:bookmarkStart w:id="31" w:name="_Toc489491478"/>
      <w:bookmarkStart w:id="32" w:name="_Ref489491886"/>
      <w:bookmarkStart w:id="33" w:name="_Ref489491888"/>
      <w:bookmarkStart w:id="34" w:name="_Toc111910225"/>
      <w:r w:rsidRPr="004D407A">
        <w:rPr>
          <w:color w:val="auto"/>
        </w:rPr>
        <w:lastRenderedPageBreak/>
        <w:t>Health system context</w:t>
      </w:r>
      <w:bookmarkEnd w:id="31"/>
      <w:bookmarkEnd w:id="32"/>
      <w:bookmarkEnd w:id="33"/>
      <w:bookmarkEnd w:id="34"/>
    </w:p>
    <w:p w14:paraId="528372A3" w14:textId="52A332DC" w:rsidR="00BE79F3" w:rsidRPr="004D407A" w:rsidRDefault="00BE79F3" w:rsidP="00BE79F3">
      <w:pPr>
        <w:pStyle w:val="Heading3"/>
        <w:rPr>
          <w:color w:val="auto"/>
        </w:rPr>
      </w:pPr>
      <w:bookmarkStart w:id="35" w:name="_Ref488941758"/>
      <w:bookmarkStart w:id="36" w:name="_Ref488941759"/>
      <w:bookmarkStart w:id="37" w:name="_Ref488941761"/>
      <w:bookmarkStart w:id="38" w:name="_Toc489491483"/>
      <w:bookmarkStart w:id="39" w:name="_Toc111910226"/>
      <w:bookmarkStart w:id="40" w:name="_Hlk102032499"/>
      <w:r w:rsidRPr="004D407A">
        <w:rPr>
          <w:color w:val="auto"/>
        </w:rPr>
        <w:t>Governance</w:t>
      </w:r>
      <w:bookmarkEnd w:id="35"/>
      <w:bookmarkEnd w:id="36"/>
      <w:bookmarkEnd w:id="37"/>
      <w:bookmarkEnd w:id="38"/>
      <w:bookmarkEnd w:id="39"/>
    </w:p>
    <w:p w14:paraId="17D1C3CA" w14:textId="2018E5F6" w:rsidR="00BE79F3" w:rsidRPr="004D407A" w:rsidRDefault="00BE79F3" w:rsidP="00BE79F3">
      <w:pPr>
        <w:pStyle w:val="Heading4"/>
        <w:rPr>
          <w:color w:val="auto"/>
        </w:rPr>
      </w:pPr>
      <w:bookmarkStart w:id="41" w:name="_Toc489491484"/>
      <w:bookmarkStart w:id="42" w:name="_Toc111910227"/>
      <w:r w:rsidRPr="004D407A">
        <w:rPr>
          <w:color w:val="auto"/>
        </w:rPr>
        <w:t>Policy framework</w:t>
      </w:r>
      <w:bookmarkEnd w:id="41"/>
      <w:bookmarkEnd w:id="42"/>
    </w:p>
    <w:p w14:paraId="2D57AC06" w14:textId="1AAE7DF5" w:rsidR="00B418AD" w:rsidRPr="004D407A" w:rsidRDefault="00B418AD" w:rsidP="00B418AD">
      <w:pPr>
        <w:pStyle w:val="BodyText"/>
        <w:rPr>
          <w:rFonts w:ascii="Arial" w:hAnsi="Arial"/>
          <w:i/>
          <w:iCs/>
        </w:rPr>
      </w:pPr>
      <w:r w:rsidRPr="004D407A">
        <w:rPr>
          <w:rFonts w:ascii="Arial" w:hAnsi="Arial"/>
        </w:rPr>
        <w:t xml:space="preserve">The following policy documents compose a conceptual and legislative platform for health system organization, guiding interaction between actors in public and private domains and determining health care development agenda, </w:t>
      </w:r>
      <w:proofErr w:type="gramStart"/>
      <w:r w:rsidRPr="004D407A">
        <w:rPr>
          <w:rFonts w:ascii="Arial" w:hAnsi="Arial"/>
        </w:rPr>
        <w:t>responsibilities</w:t>
      </w:r>
      <w:proofErr w:type="gramEnd"/>
      <w:r w:rsidRPr="004D407A">
        <w:rPr>
          <w:rFonts w:ascii="Arial" w:hAnsi="Arial"/>
        </w:rPr>
        <w:t xml:space="preserve"> and functions of key actors:</w:t>
      </w:r>
      <w:r w:rsidR="0037313F" w:rsidRPr="004D407A">
        <w:rPr>
          <w:rFonts w:ascii="Arial" w:hAnsi="Arial"/>
        </w:rPr>
        <w:t xml:space="preserve"> </w:t>
      </w:r>
      <w:r w:rsidR="0037313F" w:rsidRPr="004D407A">
        <w:rPr>
          <w:rFonts w:ascii="Arial" w:hAnsi="Arial"/>
          <w:i/>
          <w:iCs/>
        </w:rPr>
        <w:t>Perspective Plan of Bangladesh of 2021-2041 (Making vision 2041 a reality); 8</w:t>
      </w:r>
      <w:r w:rsidR="0037313F" w:rsidRPr="004D407A">
        <w:rPr>
          <w:rFonts w:ascii="Arial" w:hAnsi="Arial"/>
          <w:i/>
          <w:iCs/>
          <w:vertAlign w:val="superscript"/>
        </w:rPr>
        <w:t>th</w:t>
      </w:r>
      <w:r w:rsidR="0037313F" w:rsidRPr="004D407A">
        <w:rPr>
          <w:rFonts w:ascii="Arial" w:hAnsi="Arial"/>
          <w:i/>
          <w:iCs/>
        </w:rPr>
        <w:t xml:space="preserve"> Five-Year Plan for the Period of 2020-2025; National Health Policy 2011; National Population Policy 2012; and National Nutrition Policy 2015.</w:t>
      </w:r>
    </w:p>
    <w:p w14:paraId="40D42CDF" w14:textId="623F35F2" w:rsidR="00B418AD" w:rsidRPr="004D407A" w:rsidRDefault="00B418AD" w:rsidP="00B418AD">
      <w:pPr>
        <w:pStyle w:val="BodyText"/>
        <w:rPr>
          <w:rFonts w:ascii="Arial" w:hAnsi="Arial"/>
        </w:rPr>
      </w:pPr>
      <w:r w:rsidRPr="004D407A">
        <w:rPr>
          <w:rFonts w:ascii="Arial" w:hAnsi="Arial"/>
          <w:i/>
        </w:rPr>
        <w:t xml:space="preserve">Government Vision 2041 </w:t>
      </w:r>
      <w:r w:rsidRPr="004D407A">
        <w:rPr>
          <w:rFonts w:ascii="Arial" w:hAnsi="Arial"/>
        </w:rPr>
        <w:t xml:space="preserve">defines several economic and social outcomes for Bangladesh to achieve by 2041. </w:t>
      </w:r>
      <w:r w:rsidR="004A3351" w:rsidRPr="004D407A">
        <w:rPr>
          <w:rFonts w:ascii="Arial" w:hAnsi="Arial"/>
          <w:i/>
        </w:rPr>
        <w:t>“Perspective Plan of Bangladesh 2020-2025”</w:t>
      </w:r>
      <w:r w:rsidRPr="004D407A">
        <w:rPr>
          <w:rFonts w:ascii="Arial" w:hAnsi="Arial"/>
        </w:rPr>
        <w:t xml:space="preserve"> converts “Government Vision </w:t>
      </w:r>
      <w:r w:rsidR="004A3351" w:rsidRPr="004D407A">
        <w:rPr>
          <w:rFonts w:ascii="Arial" w:hAnsi="Arial"/>
        </w:rPr>
        <w:t>20</w:t>
      </w:r>
      <w:r w:rsidRPr="004D407A">
        <w:rPr>
          <w:rFonts w:ascii="Arial" w:hAnsi="Arial"/>
        </w:rPr>
        <w:t xml:space="preserve">41” into the long-term development targets and these targets, which are further realized through the implementation of the </w:t>
      </w:r>
      <w:r w:rsidRPr="004D407A">
        <w:rPr>
          <w:rFonts w:ascii="Arial" w:hAnsi="Arial"/>
          <w:i/>
        </w:rPr>
        <w:t>“8</w:t>
      </w:r>
      <w:r w:rsidRPr="004D407A">
        <w:rPr>
          <w:rFonts w:ascii="Arial" w:hAnsi="Arial"/>
          <w:i/>
          <w:vertAlign w:val="superscript"/>
        </w:rPr>
        <w:t>th</w:t>
      </w:r>
      <w:r w:rsidRPr="004D407A">
        <w:rPr>
          <w:rFonts w:ascii="Arial" w:hAnsi="Arial"/>
          <w:i/>
        </w:rPr>
        <w:t xml:space="preserve"> Five Year Plan (2020-2025)” (FYP)</w:t>
      </w:r>
      <w:r w:rsidR="006F2905" w:rsidRPr="004D407A">
        <w:rPr>
          <w:rFonts w:ascii="Arial" w:hAnsi="Arial"/>
          <w:i/>
        </w:rPr>
        <w:t xml:space="preserve">. </w:t>
      </w:r>
      <w:r w:rsidR="006F2905" w:rsidRPr="004D407A">
        <w:rPr>
          <w:rFonts w:ascii="Arial" w:hAnsi="Arial"/>
          <w:iCs/>
        </w:rPr>
        <w:t xml:space="preserve">This five-year plan </w:t>
      </w:r>
      <w:r w:rsidRPr="004D407A">
        <w:rPr>
          <w:rFonts w:ascii="Arial" w:hAnsi="Arial"/>
        </w:rPr>
        <w:t xml:space="preserve">outlines new strategies, </w:t>
      </w:r>
      <w:r w:rsidR="004A3351" w:rsidRPr="004D407A">
        <w:rPr>
          <w:rFonts w:ascii="Arial" w:hAnsi="Arial"/>
        </w:rPr>
        <w:t>institutions,</w:t>
      </w:r>
      <w:r w:rsidRPr="004D407A">
        <w:rPr>
          <w:rFonts w:ascii="Arial" w:hAnsi="Arial"/>
        </w:rPr>
        <w:t xml:space="preserve"> and policies to achieve the social and economic outcomes of the Vision 2041.</w:t>
      </w:r>
      <w:r w:rsidRPr="004D407A">
        <w:rPr>
          <w:rFonts w:ascii="Arial" w:hAnsi="Arial"/>
          <w:i/>
        </w:rPr>
        <w:t xml:space="preserve"> </w:t>
      </w:r>
    </w:p>
    <w:p w14:paraId="63751707" w14:textId="43DDCE09" w:rsidR="005F5738" w:rsidRPr="004D407A" w:rsidRDefault="00B418AD" w:rsidP="00B418AD">
      <w:pPr>
        <w:pStyle w:val="BodyText"/>
      </w:pPr>
      <w:r w:rsidRPr="004D407A">
        <w:rPr>
          <w:rFonts w:ascii="Arial" w:hAnsi="Arial"/>
          <w:i/>
        </w:rPr>
        <w:t>The National Health Policy 2011</w:t>
      </w:r>
      <w:r w:rsidRPr="004D407A">
        <w:rPr>
          <w:rFonts w:ascii="Arial" w:hAnsi="Arial"/>
        </w:rPr>
        <w:t xml:space="preserve"> acknowledges “health” as a right of the citizens and aims at strengthening primary health and emergency care for all</w:t>
      </w:r>
      <w:r w:rsidR="00A6342E" w:rsidRPr="004D407A">
        <w:rPr>
          <w:rFonts w:ascii="Arial" w:hAnsi="Arial"/>
        </w:rPr>
        <w:t xml:space="preserve">. </w:t>
      </w:r>
      <w:r w:rsidRPr="004D407A">
        <w:rPr>
          <w:rFonts w:ascii="Arial" w:hAnsi="Arial"/>
        </w:rPr>
        <w:t xml:space="preserve">In addition, there are two core guiding documents, the </w:t>
      </w:r>
      <w:r w:rsidRPr="004D407A">
        <w:rPr>
          <w:rFonts w:ascii="Arial" w:hAnsi="Arial"/>
          <w:i/>
        </w:rPr>
        <w:t xml:space="preserve">National Population Policy </w:t>
      </w:r>
      <w:proofErr w:type="gramStart"/>
      <w:r w:rsidRPr="004D407A">
        <w:rPr>
          <w:rFonts w:ascii="Arial" w:hAnsi="Arial"/>
          <w:i/>
        </w:rPr>
        <w:t>2012</w:t>
      </w:r>
      <w:proofErr w:type="gramEnd"/>
      <w:r w:rsidRPr="004D407A">
        <w:rPr>
          <w:rFonts w:ascii="Arial" w:hAnsi="Arial"/>
          <w:i/>
        </w:rPr>
        <w:t xml:space="preserve"> </w:t>
      </w:r>
      <w:r w:rsidRPr="004D407A">
        <w:rPr>
          <w:rFonts w:ascii="Arial" w:hAnsi="Arial"/>
        </w:rPr>
        <w:t xml:space="preserve">and </w:t>
      </w:r>
      <w:r w:rsidRPr="004D407A">
        <w:rPr>
          <w:rFonts w:ascii="Arial" w:hAnsi="Arial"/>
          <w:i/>
        </w:rPr>
        <w:t>National Nutrition Policy 2015</w:t>
      </w:r>
      <w:r w:rsidRPr="004D407A">
        <w:rPr>
          <w:rFonts w:ascii="Arial" w:hAnsi="Arial"/>
        </w:rPr>
        <w:t xml:space="preserve">, which have been taken into consideration while formulating health care sector development strategy and strategy implementation instrument – </w:t>
      </w:r>
      <w:r w:rsidRPr="004D407A">
        <w:rPr>
          <w:rFonts w:ascii="Arial" w:hAnsi="Arial"/>
          <w:i/>
          <w:iCs/>
        </w:rPr>
        <w:t>4</w:t>
      </w:r>
      <w:r w:rsidRPr="004D407A">
        <w:rPr>
          <w:rFonts w:ascii="Arial" w:hAnsi="Arial"/>
          <w:i/>
          <w:iCs/>
          <w:vertAlign w:val="superscript"/>
        </w:rPr>
        <w:t>th</w:t>
      </w:r>
      <w:r w:rsidRPr="004D407A">
        <w:rPr>
          <w:rFonts w:ascii="Arial" w:hAnsi="Arial"/>
          <w:i/>
        </w:rPr>
        <w:t xml:space="preserve"> Health, Nutrition and Population Sector Program (HNPSP) 2017-202</w:t>
      </w:r>
      <w:r w:rsidR="00A6342E" w:rsidRPr="004D407A">
        <w:rPr>
          <w:rFonts w:ascii="Arial" w:hAnsi="Arial"/>
          <w:i/>
        </w:rPr>
        <w:t>3</w:t>
      </w:r>
      <w:r w:rsidRPr="004D407A">
        <w:rPr>
          <w:rFonts w:ascii="Arial" w:hAnsi="Arial"/>
          <w:i/>
        </w:rPr>
        <w:t>.</w:t>
      </w:r>
    </w:p>
    <w:p w14:paraId="1E015E75" w14:textId="73161D8E" w:rsidR="0075413C" w:rsidRPr="004D407A" w:rsidRDefault="00D41389" w:rsidP="00526CCA">
      <w:pPr>
        <w:pStyle w:val="Heading4"/>
        <w:numPr>
          <w:ilvl w:val="3"/>
          <w:numId w:val="10"/>
        </w:numPr>
        <w:spacing w:after="160"/>
        <w:rPr>
          <w:color w:val="auto"/>
        </w:rPr>
      </w:pPr>
      <w:bookmarkStart w:id="43" w:name="_Toc489491485"/>
      <w:bookmarkStart w:id="44" w:name="_Toc111910228"/>
      <w:r w:rsidRPr="004D407A">
        <w:rPr>
          <w:color w:val="auto"/>
        </w:rPr>
        <w:t>Health policy implementation instruments</w:t>
      </w:r>
      <w:bookmarkEnd w:id="43"/>
      <w:bookmarkEnd w:id="44"/>
    </w:p>
    <w:p w14:paraId="5B31D789" w14:textId="00297BEC" w:rsidR="00E41C8C" w:rsidRPr="004D407A" w:rsidRDefault="00E41C8C" w:rsidP="00E41C8C">
      <w:pPr>
        <w:pStyle w:val="BodyText"/>
        <w:rPr>
          <w:rFonts w:ascii="Arial" w:hAnsi="Arial"/>
        </w:rPr>
      </w:pPr>
      <w:r w:rsidRPr="004D407A">
        <w:rPr>
          <w:rFonts w:ascii="Arial" w:hAnsi="Arial"/>
        </w:rPr>
        <w:t>In 20</w:t>
      </w:r>
      <w:r w:rsidR="00C24C25" w:rsidRPr="004D407A">
        <w:rPr>
          <w:rFonts w:ascii="Arial" w:hAnsi="Arial"/>
        </w:rPr>
        <w:t>22</w:t>
      </w:r>
      <w:r w:rsidRPr="004D407A">
        <w:rPr>
          <w:rFonts w:ascii="Arial" w:hAnsi="Arial"/>
        </w:rPr>
        <w:t xml:space="preserve">, GoB </w:t>
      </w:r>
      <w:r w:rsidR="00C24C25" w:rsidRPr="004D407A">
        <w:rPr>
          <w:rFonts w:ascii="Arial" w:hAnsi="Arial"/>
        </w:rPr>
        <w:t xml:space="preserve">revised </w:t>
      </w:r>
      <w:r w:rsidRPr="004D407A">
        <w:rPr>
          <w:rFonts w:ascii="Arial" w:hAnsi="Arial"/>
        </w:rPr>
        <w:t xml:space="preserve">the </w:t>
      </w:r>
      <w:r w:rsidRPr="004D407A">
        <w:rPr>
          <w:rFonts w:ascii="Arial" w:hAnsi="Arial"/>
          <w:i/>
        </w:rPr>
        <w:t>Fourth National Health, Nutrition and Population Sector Program (4</w:t>
      </w:r>
      <w:r w:rsidRPr="004D407A">
        <w:rPr>
          <w:rFonts w:ascii="Arial" w:hAnsi="Arial"/>
          <w:i/>
          <w:vertAlign w:val="superscript"/>
        </w:rPr>
        <w:t>th</w:t>
      </w:r>
      <w:r w:rsidRPr="004D407A">
        <w:rPr>
          <w:rFonts w:ascii="Arial" w:hAnsi="Arial"/>
          <w:i/>
        </w:rPr>
        <w:t xml:space="preserve"> HNPSP) 2017-202</w:t>
      </w:r>
      <w:r w:rsidR="00C24C25" w:rsidRPr="004D407A">
        <w:rPr>
          <w:rFonts w:ascii="Arial" w:hAnsi="Arial"/>
          <w:i/>
        </w:rPr>
        <w:t>3</w:t>
      </w:r>
      <w:r w:rsidRPr="004D407A">
        <w:rPr>
          <w:rFonts w:ascii="Arial" w:hAnsi="Arial"/>
        </w:rPr>
        <w:t>,</w:t>
      </w:r>
      <w:r w:rsidR="00C24C25" w:rsidRPr="004D407A">
        <w:rPr>
          <w:rStyle w:val="FootnoteReference"/>
          <w:rFonts w:ascii="Arial" w:hAnsi="Arial"/>
        </w:rPr>
        <w:footnoteReference w:id="4"/>
      </w:r>
      <w:r w:rsidRPr="004D407A">
        <w:rPr>
          <w:rFonts w:ascii="Arial" w:hAnsi="Arial"/>
        </w:rPr>
        <w:t xml:space="preserve"> which builds on a successful history and foundation created within the frameworks of the three previous sector programs, well-</w:t>
      </w:r>
      <w:r w:rsidRPr="004D407A">
        <w:rPr>
          <w:rFonts w:ascii="Arial" w:hAnsi="Arial"/>
          <w:lang w:eastAsia="zh-CN"/>
        </w:rPr>
        <w:t>established</w:t>
      </w:r>
      <w:r w:rsidRPr="004D407A">
        <w:rPr>
          <w:rFonts w:ascii="Arial" w:hAnsi="Arial"/>
        </w:rPr>
        <w:t xml:space="preserve"> planning and consultation processes and monitoring and coordination mechanisms. The </w:t>
      </w:r>
      <w:proofErr w:type="spellStart"/>
      <w:r w:rsidRPr="004D407A">
        <w:rPr>
          <w:rFonts w:ascii="Arial" w:hAnsi="Arial"/>
        </w:rPr>
        <w:t>programme</w:t>
      </w:r>
      <w:proofErr w:type="spellEnd"/>
      <w:r w:rsidRPr="004D407A">
        <w:rPr>
          <w:rFonts w:ascii="Arial" w:hAnsi="Arial"/>
        </w:rPr>
        <w:t xml:space="preserve"> encompasses the whole health sector and is relevant to all stakeholders working in health, nutrition, and population. At the same time, the 4</w:t>
      </w:r>
      <w:r w:rsidRPr="004D407A">
        <w:rPr>
          <w:rFonts w:ascii="Arial" w:hAnsi="Arial"/>
          <w:vertAlign w:val="superscript"/>
        </w:rPr>
        <w:t>th</w:t>
      </w:r>
      <w:r w:rsidRPr="004D407A">
        <w:rPr>
          <w:rFonts w:ascii="Arial" w:hAnsi="Arial"/>
        </w:rPr>
        <w:t xml:space="preserve"> HPNSP is the first and the foundation stone of the three successive Sector Programs for realizing the SDG health targets by 2030.</w:t>
      </w:r>
    </w:p>
    <w:p w14:paraId="0FE96B26" w14:textId="0A204CE3" w:rsidR="00574C91" w:rsidRPr="004D407A" w:rsidRDefault="00E41C8C" w:rsidP="00987091">
      <w:pPr>
        <w:pStyle w:val="BodyText"/>
      </w:pPr>
      <w:r w:rsidRPr="004D407A">
        <w:rPr>
          <w:rFonts w:ascii="Arial" w:hAnsi="Arial"/>
        </w:rPr>
        <w:t>The main goal of the 4</w:t>
      </w:r>
      <w:r w:rsidRPr="004D407A">
        <w:rPr>
          <w:rFonts w:ascii="Arial" w:hAnsi="Arial"/>
          <w:vertAlign w:val="superscript"/>
        </w:rPr>
        <w:t>th</w:t>
      </w:r>
      <w:r w:rsidRPr="004D407A">
        <w:rPr>
          <w:rFonts w:ascii="Arial" w:hAnsi="Arial"/>
        </w:rPr>
        <w:t xml:space="preserve"> Health, Population and Nutrition (HPN) Strategic Investment Plan (SIP) is to ensure equity and effectiveness in delivery of HPN services to all. The SIP identifies the key investment areas required for acceleration of the pace of development in the health, </w:t>
      </w:r>
      <w:proofErr w:type="gramStart"/>
      <w:r w:rsidRPr="004D407A">
        <w:rPr>
          <w:rFonts w:ascii="Arial" w:hAnsi="Arial"/>
        </w:rPr>
        <w:t>nutrition</w:t>
      </w:r>
      <w:proofErr w:type="gramEnd"/>
      <w:r w:rsidRPr="004D407A">
        <w:rPr>
          <w:rFonts w:ascii="Arial" w:hAnsi="Arial"/>
        </w:rPr>
        <w:t xml:space="preserve"> and population sector for achieving the targets of the strategies of Government’s 8th Five Year Plan (2020-25). In the long run, the SIP aims to move towards achieving universal health coverage (UHC) as targeted in SDGs</w:t>
      </w:r>
      <w:r w:rsidR="00574C91" w:rsidRPr="004D407A">
        <w:rPr>
          <w:rFonts w:ascii="Arial" w:hAnsi="Arial"/>
        </w:rPr>
        <w:t>.</w:t>
      </w:r>
    </w:p>
    <w:p w14:paraId="61E7C656" w14:textId="6B889CCF" w:rsidR="00BE79F3" w:rsidRPr="004D407A" w:rsidRDefault="00BE79F3" w:rsidP="00BE79F3">
      <w:pPr>
        <w:pStyle w:val="Heading4"/>
        <w:rPr>
          <w:color w:val="auto"/>
        </w:rPr>
      </w:pPr>
      <w:bookmarkStart w:id="45" w:name="_Toc489491487"/>
      <w:bookmarkStart w:id="46" w:name="_Toc111910229"/>
      <w:r w:rsidRPr="004D407A">
        <w:rPr>
          <w:color w:val="auto"/>
        </w:rPr>
        <w:t>Leadership and management</w:t>
      </w:r>
      <w:bookmarkEnd w:id="45"/>
      <w:bookmarkEnd w:id="46"/>
    </w:p>
    <w:p w14:paraId="553300AF" w14:textId="41F65068" w:rsidR="00A50A44" w:rsidRPr="004D407A" w:rsidRDefault="00A50A44" w:rsidP="00A50A44">
      <w:pPr>
        <w:pStyle w:val="BodyText"/>
        <w:rPr>
          <w:rFonts w:ascii="Arial" w:hAnsi="Arial"/>
        </w:rPr>
      </w:pPr>
      <w:r w:rsidRPr="004D407A">
        <w:rPr>
          <w:rFonts w:ascii="Arial" w:hAnsi="Arial"/>
          <w:lang w:eastAsia="zh-CN"/>
        </w:rPr>
        <w:t>The Ministry of Health and Family Welfare (MOHFW) of Bangladesh takes the lead in implementation of the 4</w:t>
      </w:r>
      <w:r w:rsidRPr="004D407A">
        <w:rPr>
          <w:rFonts w:ascii="Arial" w:hAnsi="Arial"/>
          <w:vertAlign w:val="superscript"/>
          <w:lang w:eastAsia="zh-CN"/>
        </w:rPr>
        <w:t>th</w:t>
      </w:r>
      <w:r w:rsidRPr="004D407A">
        <w:rPr>
          <w:rFonts w:ascii="Arial" w:hAnsi="Arial"/>
          <w:lang w:eastAsia="zh-CN"/>
        </w:rPr>
        <w:t xml:space="preserve"> Health, Nutrition and Population Sector Program (HPNSP)</w:t>
      </w:r>
      <w:r w:rsidRPr="004D407A">
        <w:rPr>
          <w:rFonts w:ascii="Arial" w:hAnsi="Arial"/>
        </w:rPr>
        <w:t xml:space="preserve">. The MOHFW is </w:t>
      </w:r>
      <w:r w:rsidRPr="004D407A">
        <w:rPr>
          <w:rFonts w:ascii="Arial" w:hAnsi="Arial"/>
          <w:lang w:eastAsia="zh-CN"/>
        </w:rPr>
        <w:t>responsible</w:t>
      </w:r>
      <w:r w:rsidRPr="004D407A">
        <w:rPr>
          <w:rFonts w:ascii="Arial" w:hAnsi="Arial"/>
        </w:rPr>
        <w:t xml:space="preserve"> for implementation, management, coordination and regulation of national health, family planning and nutrition related policies, </w:t>
      </w:r>
      <w:proofErr w:type="gramStart"/>
      <w:r w:rsidRPr="004D407A">
        <w:rPr>
          <w:rFonts w:ascii="Arial" w:hAnsi="Arial"/>
        </w:rPr>
        <w:t>programs</w:t>
      </w:r>
      <w:proofErr w:type="gramEnd"/>
      <w:r w:rsidRPr="004D407A">
        <w:rPr>
          <w:rFonts w:ascii="Arial" w:hAnsi="Arial"/>
        </w:rPr>
        <w:t xml:space="preserve"> and activities. </w:t>
      </w:r>
    </w:p>
    <w:p w14:paraId="20AE1B95" w14:textId="4BE28BB1" w:rsidR="00A50A44" w:rsidRPr="004D407A" w:rsidRDefault="00A50A44" w:rsidP="00A50A44">
      <w:pPr>
        <w:pStyle w:val="BodyText"/>
        <w:rPr>
          <w:rFonts w:ascii="Arial" w:hAnsi="Arial"/>
        </w:rPr>
      </w:pPr>
      <w:r w:rsidRPr="004D407A">
        <w:rPr>
          <w:rFonts w:ascii="Arial" w:hAnsi="Arial"/>
        </w:rPr>
        <w:t xml:space="preserve">The MOHFW </w:t>
      </w:r>
      <w:r w:rsidRPr="004D407A">
        <w:rPr>
          <w:rFonts w:ascii="Arial" w:hAnsi="Arial"/>
          <w:lang w:eastAsia="zh-CN"/>
        </w:rPr>
        <w:t>organizational</w:t>
      </w:r>
      <w:r w:rsidRPr="004D407A">
        <w:rPr>
          <w:rFonts w:ascii="Arial" w:hAnsi="Arial"/>
        </w:rPr>
        <w:t xml:space="preserve"> structure comprises 2 </w:t>
      </w:r>
      <w:r w:rsidR="00785F83" w:rsidRPr="004D407A">
        <w:rPr>
          <w:rFonts w:ascii="Arial" w:hAnsi="Arial"/>
        </w:rPr>
        <w:t>divisions</w:t>
      </w:r>
      <w:r w:rsidRPr="004D407A">
        <w:rPr>
          <w:rFonts w:ascii="Arial" w:hAnsi="Arial"/>
        </w:rPr>
        <w:t>: (</w:t>
      </w:r>
      <w:proofErr w:type="spellStart"/>
      <w:r w:rsidRPr="004D407A">
        <w:rPr>
          <w:rFonts w:ascii="Arial" w:hAnsi="Arial"/>
        </w:rPr>
        <w:t>i</w:t>
      </w:r>
      <w:proofErr w:type="spellEnd"/>
      <w:r w:rsidRPr="004D407A">
        <w:rPr>
          <w:rFonts w:ascii="Arial" w:hAnsi="Arial"/>
        </w:rPr>
        <w:t xml:space="preserve">) Health Services </w:t>
      </w:r>
      <w:r w:rsidR="00C916E8" w:rsidRPr="004D407A">
        <w:rPr>
          <w:rFonts w:ascii="Arial" w:hAnsi="Arial"/>
        </w:rPr>
        <w:t xml:space="preserve">Division </w:t>
      </w:r>
      <w:r w:rsidRPr="004D407A">
        <w:rPr>
          <w:rFonts w:ascii="Arial" w:hAnsi="Arial"/>
        </w:rPr>
        <w:t xml:space="preserve">responsible for management of nine functional wings/units and seven </w:t>
      </w:r>
      <w:r w:rsidRPr="004D407A">
        <w:rPr>
          <w:rFonts w:ascii="Arial" w:hAnsi="Arial"/>
        </w:rPr>
        <w:lastRenderedPageBreak/>
        <w:t xml:space="preserve">Directorates/Units/Institutes and (ii) Medical Education and Family Welfare Division responsible for management of NIPORT, Medical Education and Family Planning Directorate. Through these functional wings/units and executing agencies the </w:t>
      </w:r>
      <w:proofErr w:type="spellStart"/>
      <w:r w:rsidRPr="004D407A">
        <w:rPr>
          <w:rFonts w:ascii="Arial" w:hAnsi="Arial"/>
        </w:rPr>
        <w:t>MoHFW</w:t>
      </w:r>
      <w:proofErr w:type="spellEnd"/>
      <w:r w:rsidRPr="004D407A">
        <w:rPr>
          <w:rFonts w:ascii="Arial" w:hAnsi="Arial"/>
        </w:rPr>
        <w:t xml:space="preserve"> implements its policies all over the country. </w:t>
      </w:r>
    </w:p>
    <w:p w14:paraId="5264ED15" w14:textId="7E2E02F6" w:rsidR="00A50A44" w:rsidRPr="004D407A" w:rsidRDefault="00A50A44" w:rsidP="00A50A44">
      <w:pPr>
        <w:pStyle w:val="BodyText"/>
        <w:rPr>
          <w:rFonts w:ascii="Arial" w:hAnsi="Arial" w:cs="DIN"/>
        </w:rPr>
      </w:pPr>
      <w:r w:rsidRPr="004D407A">
        <w:rPr>
          <w:rFonts w:ascii="Arial" w:hAnsi="Arial" w:cs="DIN"/>
        </w:rPr>
        <w:t xml:space="preserve">MOHFW, Directorates General of Health Services (DGHS) and Family Planning (DGFP)), manage a dual system of general health and family planning service delivery through District Hospitals (DHs), Upazila Health Complexes (UHC) at sub-district level, Union Health and Family Welfare </w:t>
      </w:r>
      <w:r w:rsidR="00957399" w:rsidRPr="004D407A">
        <w:rPr>
          <w:rFonts w:ascii="Arial" w:hAnsi="Arial" w:cs="DIN"/>
        </w:rPr>
        <w:t>Centers</w:t>
      </w:r>
      <w:r w:rsidRPr="004D407A">
        <w:rPr>
          <w:rFonts w:ascii="Arial" w:hAnsi="Arial" w:cs="DIN"/>
        </w:rPr>
        <w:t xml:space="preserve"> (UH&amp;FWC) at union level, and Community Clinics (CCs) at ward level. </w:t>
      </w:r>
    </w:p>
    <w:p w14:paraId="04E82330" w14:textId="23DDC00C" w:rsidR="00A50A44" w:rsidRPr="004D407A" w:rsidRDefault="00A50A44" w:rsidP="00A50A44">
      <w:pPr>
        <w:pStyle w:val="BodyText"/>
        <w:rPr>
          <w:rFonts w:ascii="Arial" w:hAnsi="Arial" w:cs="DIN"/>
        </w:rPr>
      </w:pPr>
      <w:r w:rsidRPr="004D407A">
        <w:rPr>
          <w:rFonts w:ascii="Arial" w:eastAsia="Arial" w:hAnsi="Arial"/>
        </w:rPr>
        <w:t xml:space="preserve">The </w:t>
      </w:r>
      <w:r w:rsidRPr="004D407A">
        <w:rPr>
          <w:rFonts w:ascii="Arial" w:hAnsi="Arial"/>
        </w:rPr>
        <w:t>Ministry</w:t>
      </w:r>
      <w:r w:rsidRPr="004D407A">
        <w:rPr>
          <w:rFonts w:ascii="Arial" w:eastAsia="Arial" w:hAnsi="Arial"/>
        </w:rPr>
        <w:t xml:space="preserve"> of Local Government, Rural Development and Cooperatives (</w:t>
      </w:r>
      <w:r w:rsidRPr="004D407A">
        <w:rPr>
          <w:rFonts w:ascii="Arial" w:hAnsi="Arial" w:cs="DIN"/>
        </w:rPr>
        <w:t xml:space="preserve">MLGRDC) manages primary health care and family planning service delivery in the urban areas of the country </w:t>
      </w:r>
      <w:r w:rsidR="00785F83" w:rsidRPr="004D407A">
        <w:rPr>
          <w:rFonts w:ascii="Arial" w:hAnsi="Arial" w:cs="DIN"/>
        </w:rPr>
        <w:t xml:space="preserve">mostly </w:t>
      </w:r>
      <w:r w:rsidRPr="004D407A">
        <w:rPr>
          <w:rFonts w:ascii="Arial" w:hAnsi="Arial" w:cs="DIN"/>
        </w:rPr>
        <w:t>through NGOs</w:t>
      </w:r>
      <w:r w:rsidR="00785F83" w:rsidRPr="004D407A">
        <w:rPr>
          <w:rFonts w:ascii="Arial" w:hAnsi="Arial" w:cs="DIN"/>
        </w:rPr>
        <w:t xml:space="preserve"> beside their own staff</w:t>
      </w:r>
      <w:r w:rsidRPr="004D407A">
        <w:rPr>
          <w:rFonts w:ascii="Arial" w:hAnsi="Arial" w:cs="DIN"/>
        </w:rPr>
        <w:t>.</w:t>
      </w:r>
    </w:p>
    <w:p w14:paraId="589A92C5" w14:textId="5AE95B3C" w:rsidR="00A50A44" w:rsidRPr="004D407A" w:rsidRDefault="00A50A44" w:rsidP="00A50A44">
      <w:pPr>
        <w:pStyle w:val="BodyText"/>
        <w:rPr>
          <w:rFonts w:ascii="Arial" w:hAnsi="Arial" w:cs="DIN"/>
        </w:rPr>
      </w:pPr>
      <w:r w:rsidRPr="004D407A">
        <w:rPr>
          <w:rFonts w:ascii="Arial" w:hAnsi="Arial" w:cs="DIN"/>
        </w:rPr>
        <w:t>The Ministry of Health and Family Welfare implements its programs through different executing and regulatory authorities. The executing authorities include five Directorates of the Ministry and some other organizations: Directorate General of Health Services (DGHS); Directorate General of Family Planning (DGFP); Directorate General of Drug Administration (DGDA); Directorate for Nursing and Midwifery (DGNM); Health Economics Unit (HEU) and the Health Engineering Department (HED)</w:t>
      </w:r>
      <w:r w:rsidRPr="004D407A">
        <w:rPr>
          <w:rStyle w:val="FootnoteReference"/>
          <w:rFonts w:ascii="Arial" w:hAnsi="Arial" w:cs="DIN"/>
        </w:rPr>
        <w:footnoteReference w:id="5"/>
      </w:r>
      <w:r w:rsidRPr="004D407A">
        <w:rPr>
          <w:rFonts w:ascii="Arial" w:hAnsi="Arial" w:cs="DIN"/>
        </w:rPr>
        <w:t xml:space="preserve">. The and the DGDA are attached to the Health Services Division of the Ministry of Health and Family Welfare. The </w:t>
      </w:r>
      <w:r w:rsidR="00CA2F47" w:rsidRPr="004D407A">
        <w:rPr>
          <w:rFonts w:ascii="Arial" w:hAnsi="Arial" w:cs="DIN"/>
        </w:rPr>
        <w:t xml:space="preserve">DGNM </w:t>
      </w:r>
      <w:r w:rsidRPr="004D407A">
        <w:rPr>
          <w:rFonts w:ascii="Arial" w:hAnsi="Arial" w:cs="DIN"/>
        </w:rPr>
        <w:t>is responsible for nursing/midwifery education and services, while the DGDA implements drug regulations. Other executive organizations implementing other important activities of the Ministry include technical and implementing agencies and Specialized Entities of MOHFW responsible for maintenance of medical equipment and transport.</w:t>
      </w:r>
    </w:p>
    <w:p w14:paraId="3CFD8175" w14:textId="77777777" w:rsidR="00A50A44" w:rsidRPr="004D407A" w:rsidRDefault="00A50A44" w:rsidP="00A50A44">
      <w:pPr>
        <w:pStyle w:val="BodyText"/>
        <w:rPr>
          <w:rFonts w:ascii="Arial" w:hAnsi="Arial" w:cs="DIN"/>
        </w:rPr>
      </w:pPr>
      <w:r w:rsidRPr="004D407A">
        <w:rPr>
          <w:rFonts w:ascii="Arial" w:hAnsi="Arial"/>
        </w:rPr>
        <w:t>The Directorate General of Health Services (DGHS), Family Planning (DGFP) and Drug Administration (DGDA) have a separate presence at the divisional level, providing administrative and regulatory oversight. Technical agencies provide specialized services, including capacity development, disease surveillance and research and autonomous bodies are responsible for fulfilling specified governance and stewardship functions for different professional groups in the Health, Nutrition and Population Sector within the MOHFW structure, as envisaged by the existing legislation.</w:t>
      </w:r>
    </w:p>
    <w:p w14:paraId="64E21BB8" w14:textId="455DF6F8" w:rsidR="00A50A44" w:rsidRPr="004D407A" w:rsidRDefault="00A50A44" w:rsidP="00A50A44">
      <w:pPr>
        <w:pStyle w:val="BodyText"/>
        <w:rPr>
          <w:rFonts w:ascii="Arial" w:hAnsi="Arial"/>
          <w:lang w:eastAsia="zh-CN"/>
        </w:rPr>
      </w:pPr>
      <w:r w:rsidRPr="004D407A">
        <w:rPr>
          <w:rFonts w:ascii="Arial" w:hAnsi="Arial"/>
          <w:lang w:eastAsia="zh-CN"/>
        </w:rPr>
        <w:t xml:space="preserve">The Expanded </w:t>
      </w:r>
      <w:proofErr w:type="gramStart"/>
      <w:r w:rsidRPr="004D407A">
        <w:rPr>
          <w:rFonts w:ascii="Arial" w:hAnsi="Arial"/>
          <w:lang w:eastAsia="zh-CN"/>
        </w:rPr>
        <w:t xml:space="preserve">Program </w:t>
      </w:r>
      <w:r w:rsidR="00B83B81" w:rsidRPr="004D407A">
        <w:rPr>
          <w:rFonts w:ascii="Arial" w:hAnsi="Arial"/>
          <w:lang w:eastAsia="zh-CN"/>
        </w:rPr>
        <w:t xml:space="preserve"> on</w:t>
      </w:r>
      <w:proofErr w:type="gramEnd"/>
      <w:r w:rsidRPr="004D407A">
        <w:rPr>
          <w:rFonts w:ascii="Arial" w:hAnsi="Arial"/>
          <w:lang w:eastAsia="zh-CN"/>
        </w:rPr>
        <w:t xml:space="preserve"> Immunization (EPI), as the part of Maternal and Neonatal health is implemented within the framework of Operational Plan </w:t>
      </w:r>
      <w:r w:rsidR="00B83B81" w:rsidRPr="004D407A">
        <w:rPr>
          <w:rFonts w:ascii="Arial" w:hAnsi="Arial"/>
        </w:rPr>
        <w:t xml:space="preserve">(OP), </w:t>
      </w:r>
      <w:r w:rsidRPr="004D407A">
        <w:rPr>
          <w:rFonts w:ascii="Arial" w:hAnsi="Arial"/>
          <w:lang w:eastAsia="zh-CN"/>
        </w:rPr>
        <w:t xml:space="preserve">of Maternal Neonatal Child and Adolescent Health </w:t>
      </w:r>
      <w:r w:rsidR="004A3351" w:rsidRPr="004D407A">
        <w:rPr>
          <w:rFonts w:ascii="Arial" w:hAnsi="Arial"/>
          <w:lang w:eastAsia="zh-CN"/>
        </w:rPr>
        <w:t xml:space="preserve">(MNC&amp;AH) </w:t>
      </w:r>
      <w:r w:rsidRPr="004D407A">
        <w:rPr>
          <w:rFonts w:ascii="Arial" w:hAnsi="Arial"/>
          <w:lang w:eastAsia="zh-CN"/>
        </w:rPr>
        <w:t xml:space="preserve">services. </w:t>
      </w:r>
    </w:p>
    <w:p w14:paraId="42831B57" w14:textId="4298D036" w:rsidR="00C80D21" w:rsidRPr="004D407A" w:rsidRDefault="00A50A44" w:rsidP="00A50A44">
      <w:pPr>
        <w:pStyle w:val="BodyText"/>
      </w:pPr>
      <w:r w:rsidRPr="004D407A">
        <w:rPr>
          <w:rFonts w:ascii="Arial" w:hAnsi="Arial"/>
        </w:rPr>
        <w:t xml:space="preserve">Responsibility for implementation of EPI at the national and sub-national levels is assigned to the Directorate General of Health Services. The overall management of EPI is provided by the Line Director of the MNC&amp;AH </w:t>
      </w:r>
      <w:r w:rsidR="00BA25DD" w:rsidRPr="004D407A">
        <w:rPr>
          <w:rFonts w:ascii="Arial" w:hAnsi="Arial"/>
        </w:rPr>
        <w:t>operational plan (</w:t>
      </w:r>
      <w:r w:rsidRPr="004D407A">
        <w:rPr>
          <w:rFonts w:ascii="Arial" w:hAnsi="Arial"/>
        </w:rPr>
        <w:t>OP</w:t>
      </w:r>
      <w:r w:rsidR="00BA25DD" w:rsidRPr="004D407A">
        <w:rPr>
          <w:rFonts w:ascii="Arial" w:hAnsi="Arial"/>
        </w:rPr>
        <w:t>)</w:t>
      </w:r>
      <w:r w:rsidRPr="004D407A">
        <w:rPr>
          <w:rFonts w:ascii="Arial" w:hAnsi="Arial"/>
        </w:rPr>
        <w:t>, who is also responsible for overseeing implementation of other major components of the operational plan such as: Maternal health, National Newborn Health Program (NNHP), Integrated Management of Childhood Illness (IMCI), Adolescent Health and School Health. Responsibility for routine (day-to-day) management of EPI at the national and sub-national levels is assigned to the EPI Program Manager and four Deputy Program Managers (DPM-EPI): DPM- EPI and Surveillance, DPM- procurement and supplies, DPM- Field Services and DPM-IEC and SBC.</w:t>
      </w:r>
      <w:r w:rsidRPr="004D407A">
        <w:rPr>
          <w:rFonts w:ascii="Arial" w:hAnsi="Arial"/>
          <w:vertAlign w:val="superscript"/>
        </w:rPr>
        <w:footnoteReference w:id="6"/>
      </w:r>
      <w:r w:rsidR="00C80D21" w:rsidRPr="004D407A">
        <w:rPr>
          <w:rFonts w:ascii="Arial" w:hAnsi="Arial"/>
        </w:rPr>
        <w:t xml:space="preserve"> </w:t>
      </w:r>
    </w:p>
    <w:p w14:paraId="219D7542" w14:textId="0FB4902C" w:rsidR="006006C9" w:rsidRPr="004D407A" w:rsidRDefault="005A1188" w:rsidP="006006C9">
      <w:pPr>
        <w:pStyle w:val="Heading3"/>
        <w:rPr>
          <w:color w:val="auto"/>
        </w:rPr>
      </w:pPr>
      <w:bookmarkStart w:id="47" w:name="_Toc489491489"/>
      <w:bookmarkStart w:id="48" w:name="_Toc111910230"/>
      <w:bookmarkStart w:id="49" w:name="_Hlk102032109"/>
      <w:bookmarkEnd w:id="40"/>
      <w:r w:rsidRPr="004D407A">
        <w:rPr>
          <w:color w:val="auto"/>
        </w:rPr>
        <w:lastRenderedPageBreak/>
        <w:t xml:space="preserve">Health </w:t>
      </w:r>
      <w:r w:rsidR="006006C9" w:rsidRPr="004D407A">
        <w:rPr>
          <w:color w:val="auto"/>
        </w:rPr>
        <w:t>Service delivery</w:t>
      </w:r>
      <w:bookmarkEnd w:id="47"/>
      <w:bookmarkEnd w:id="48"/>
    </w:p>
    <w:p w14:paraId="2538FB3A" w14:textId="2B12F353" w:rsidR="002C0196" w:rsidRPr="004D407A" w:rsidRDefault="00AC752A" w:rsidP="002C0196">
      <w:pPr>
        <w:pStyle w:val="Heading4"/>
        <w:rPr>
          <w:color w:val="auto"/>
        </w:rPr>
      </w:pPr>
      <w:bookmarkStart w:id="50" w:name="_Toc489491490"/>
      <w:bookmarkStart w:id="51" w:name="_Toc111910231"/>
      <w:r w:rsidRPr="004D407A">
        <w:rPr>
          <w:color w:val="auto"/>
        </w:rPr>
        <w:t xml:space="preserve">Health Care </w:t>
      </w:r>
      <w:r w:rsidR="002C0196" w:rsidRPr="004D407A">
        <w:rPr>
          <w:color w:val="auto"/>
        </w:rPr>
        <w:t>Service delivery organization and capacity</w:t>
      </w:r>
      <w:bookmarkEnd w:id="50"/>
      <w:bookmarkEnd w:id="51"/>
    </w:p>
    <w:p w14:paraId="30A83394" w14:textId="77777777" w:rsidR="00477EB5" w:rsidRPr="004D407A" w:rsidRDefault="00477EB5" w:rsidP="00477EB5">
      <w:pPr>
        <w:pStyle w:val="BodyText"/>
        <w:rPr>
          <w:rFonts w:ascii="Arial" w:hAnsi="Arial" w:cs="DIN"/>
        </w:rPr>
      </w:pPr>
      <w:r w:rsidRPr="004D407A">
        <w:rPr>
          <w:rFonts w:ascii="Arial" w:hAnsi="Arial" w:cs="DIN"/>
        </w:rPr>
        <w:t xml:space="preserve">The Ministry of Health and Family Welfare (MOHFW) and the Ministry of Local Government, Rural Development and Cooperatives (MLGRDC) manage health service delivery in rural and urban areas of the country. </w:t>
      </w:r>
    </w:p>
    <w:p w14:paraId="15FB2060" w14:textId="1CA09537" w:rsidR="00477EB5" w:rsidRPr="004D407A" w:rsidRDefault="00477EB5" w:rsidP="00526CCA">
      <w:pPr>
        <w:pStyle w:val="BodyText"/>
        <w:numPr>
          <w:ilvl w:val="0"/>
          <w:numId w:val="15"/>
        </w:numPr>
        <w:spacing w:before="0" w:line="240" w:lineRule="auto"/>
        <w:rPr>
          <w:rFonts w:ascii="Arial" w:hAnsi="Arial"/>
        </w:rPr>
      </w:pPr>
      <w:r w:rsidRPr="004D407A">
        <w:rPr>
          <w:rFonts w:ascii="Arial" w:hAnsi="Arial"/>
        </w:rPr>
        <w:t xml:space="preserve">Directorate General </w:t>
      </w:r>
      <w:r w:rsidR="00CA2F47" w:rsidRPr="004D407A">
        <w:rPr>
          <w:rFonts w:ascii="Arial" w:hAnsi="Arial"/>
        </w:rPr>
        <w:t xml:space="preserve">of </w:t>
      </w:r>
      <w:r w:rsidRPr="004D407A">
        <w:rPr>
          <w:rFonts w:ascii="Arial" w:hAnsi="Arial"/>
        </w:rPr>
        <w:t xml:space="preserve">Family Planning is primarily responsible for managing and ensuring Family Planning service delivery in collaboration with other directorates and departments, particularly Directorate General for Health Services. </w:t>
      </w:r>
    </w:p>
    <w:p w14:paraId="5E15BF44" w14:textId="43BD9FD6" w:rsidR="00477EB5" w:rsidRPr="004D407A" w:rsidRDefault="00477EB5" w:rsidP="00526CCA">
      <w:pPr>
        <w:pStyle w:val="BodyText"/>
        <w:numPr>
          <w:ilvl w:val="0"/>
          <w:numId w:val="15"/>
        </w:numPr>
        <w:spacing w:before="0" w:line="240" w:lineRule="auto"/>
        <w:rPr>
          <w:rFonts w:ascii="Arial" w:hAnsi="Arial"/>
        </w:rPr>
      </w:pPr>
      <w:r w:rsidRPr="004D407A">
        <w:rPr>
          <w:rFonts w:ascii="Arial" w:hAnsi="Arial"/>
        </w:rPr>
        <w:t xml:space="preserve">Directorate General </w:t>
      </w:r>
      <w:r w:rsidR="00CA2F47" w:rsidRPr="004D407A">
        <w:rPr>
          <w:rFonts w:ascii="Arial" w:hAnsi="Arial"/>
        </w:rPr>
        <w:t xml:space="preserve">of </w:t>
      </w:r>
      <w:r w:rsidRPr="004D407A">
        <w:rPr>
          <w:rFonts w:ascii="Arial" w:hAnsi="Arial"/>
        </w:rPr>
        <w:t xml:space="preserve">Health Services is responsible for delivery of health care services in close collaboration with all directorates and departments of the MOHFW, particularly Directorate </w:t>
      </w:r>
      <w:proofErr w:type="spellStart"/>
      <w:r w:rsidRPr="004D407A">
        <w:rPr>
          <w:rFonts w:ascii="Arial" w:hAnsi="Arial"/>
        </w:rPr>
        <w:t>Genera</w:t>
      </w:r>
      <w:proofErr w:type="spellEnd"/>
      <w:r w:rsidR="00CA2F47" w:rsidRPr="004D407A">
        <w:rPr>
          <w:rFonts w:ascii="Arial" w:hAnsi="Arial"/>
        </w:rPr>
        <w:t xml:space="preserve"> of</w:t>
      </w:r>
      <w:r w:rsidRPr="004D407A">
        <w:rPr>
          <w:rFonts w:ascii="Arial" w:hAnsi="Arial"/>
        </w:rPr>
        <w:t xml:space="preserve"> Family Planning.</w:t>
      </w:r>
    </w:p>
    <w:p w14:paraId="03577CFB" w14:textId="7C72A183" w:rsidR="00477EB5" w:rsidRPr="004D407A" w:rsidRDefault="00477EB5" w:rsidP="00526CCA">
      <w:pPr>
        <w:pStyle w:val="BodyText"/>
        <w:numPr>
          <w:ilvl w:val="0"/>
          <w:numId w:val="15"/>
        </w:numPr>
        <w:spacing w:before="0" w:line="240" w:lineRule="auto"/>
        <w:rPr>
          <w:rFonts w:ascii="Arial" w:hAnsi="Arial"/>
          <w:lang w:eastAsia="zh-CN"/>
        </w:rPr>
      </w:pPr>
      <w:r w:rsidRPr="004D407A">
        <w:rPr>
          <w:rFonts w:ascii="Arial" w:hAnsi="Arial"/>
          <w:lang w:eastAsia="zh-CN"/>
        </w:rPr>
        <w:t>Provision of H</w:t>
      </w:r>
      <w:r w:rsidR="00AB63B8" w:rsidRPr="004D407A">
        <w:rPr>
          <w:rFonts w:ascii="Arial" w:hAnsi="Arial"/>
          <w:lang w:eastAsia="zh-CN"/>
        </w:rPr>
        <w:t>PN</w:t>
      </w:r>
      <w:r w:rsidRPr="004D407A">
        <w:rPr>
          <w:rFonts w:ascii="Arial" w:hAnsi="Arial"/>
          <w:lang w:eastAsia="zh-CN"/>
        </w:rPr>
        <w:t xml:space="preserve"> services in the urban areas is a prerogative of the Ministry of Local Government, Rural Development and Cooperatives (MLGRDC), while the MOHFW provides the technical oversight and logistics. </w:t>
      </w:r>
    </w:p>
    <w:p w14:paraId="2358853D" w14:textId="7ABC4E90" w:rsidR="0038466F" w:rsidRDefault="00477EB5" w:rsidP="00477EB5">
      <w:pPr>
        <w:pStyle w:val="BodyText"/>
        <w:rPr>
          <w:rFonts w:ascii="Arial" w:hAnsi="Arial" w:cs="DIN"/>
        </w:rPr>
      </w:pPr>
      <w:r w:rsidRPr="004D407A">
        <w:rPr>
          <w:rFonts w:ascii="Arial" w:hAnsi="Arial" w:cs="DIN"/>
        </w:rPr>
        <w:t xml:space="preserve">Details of health service delivery organization in Bangladesh are presented in </w:t>
      </w:r>
      <w:r w:rsidR="003D1559" w:rsidRPr="004D407A">
        <w:rPr>
          <w:rFonts w:ascii="Arial" w:hAnsi="Arial" w:cs="DIN"/>
        </w:rPr>
        <w:fldChar w:fldCharType="begin"/>
      </w:r>
      <w:r w:rsidR="003D1559" w:rsidRPr="004D407A">
        <w:rPr>
          <w:rFonts w:ascii="Arial" w:hAnsi="Arial" w:cs="DIN"/>
        </w:rPr>
        <w:instrText xml:space="preserve"> REF _Ref103084455 \h </w:instrText>
      </w:r>
      <w:r w:rsidR="001E3043" w:rsidRPr="004D407A">
        <w:rPr>
          <w:rFonts w:ascii="Arial" w:hAnsi="Arial" w:cs="DIN"/>
        </w:rPr>
        <w:instrText xml:space="preserve"> \* MERGEFORMAT </w:instrText>
      </w:r>
      <w:r w:rsidR="003D1559" w:rsidRPr="004D407A">
        <w:rPr>
          <w:rFonts w:ascii="Arial" w:hAnsi="Arial" w:cs="DIN"/>
        </w:rPr>
      </w:r>
      <w:r w:rsidR="003D1559" w:rsidRPr="004D407A">
        <w:rPr>
          <w:rFonts w:ascii="Arial" w:hAnsi="Arial" w:cs="DIN"/>
        </w:rPr>
        <w:fldChar w:fldCharType="separate"/>
      </w:r>
      <w:r w:rsidR="00D80429" w:rsidRPr="004D407A">
        <w:rPr>
          <w:rFonts w:ascii="Arial" w:hAnsi="Arial"/>
        </w:rPr>
        <w:t xml:space="preserve">Figure </w:t>
      </w:r>
      <w:r w:rsidR="00D80429" w:rsidRPr="004D407A">
        <w:rPr>
          <w:rFonts w:ascii="Arial" w:hAnsi="Arial"/>
          <w:noProof/>
        </w:rPr>
        <w:t>3</w:t>
      </w:r>
      <w:r w:rsidR="003D1559" w:rsidRPr="004D407A">
        <w:rPr>
          <w:rFonts w:ascii="Arial" w:hAnsi="Arial" w:cs="DIN"/>
        </w:rPr>
        <w:fldChar w:fldCharType="end"/>
      </w:r>
      <w:r w:rsidR="003D1559" w:rsidRPr="004D407A">
        <w:rPr>
          <w:rFonts w:ascii="Arial" w:hAnsi="Arial" w:cs="DIN"/>
        </w:rPr>
        <w:t xml:space="preserve"> below:</w:t>
      </w:r>
      <w:r w:rsidRPr="004D407A">
        <w:rPr>
          <w:rFonts w:ascii="Arial" w:hAnsi="Arial" w:cs="DIN"/>
        </w:rPr>
        <w:t xml:space="preserve"> </w:t>
      </w:r>
    </w:p>
    <w:p w14:paraId="251ED41D" w14:textId="7CFE54CB" w:rsidR="004D407A" w:rsidRDefault="003B63B7" w:rsidP="003B63B7">
      <w:pPr>
        <w:pStyle w:val="BodyText"/>
        <w:jc w:val="center"/>
        <w:rPr>
          <w:rFonts w:cs="DIN"/>
        </w:rPr>
      </w:pPr>
      <w:r>
        <w:rPr>
          <w:rFonts w:cs="DIN"/>
          <w:noProof/>
        </w:rPr>
        <w:drawing>
          <wp:inline distT="0" distB="0" distL="0" distR="0" wp14:anchorId="11030476" wp14:editId="0A7BD91E">
            <wp:extent cx="5720366" cy="3021721"/>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611" cy="3029246"/>
                    </a:xfrm>
                    <a:prstGeom prst="rect">
                      <a:avLst/>
                    </a:prstGeom>
                    <a:noFill/>
                  </pic:spPr>
                </pic:pic>
              </a:graphicData>
            </a:graphic>
          </wp:inline>
        </w:drawing>
      </w:r>
    </w:p>
    <w:p w14:paraId="44B35BE8" w14:textId="6B5A21C5" w:rsidR="004D407A" w:rsidRDefault="004D407A" w:rsidP="00477EB5">
      <w:pPr>
        <w:pStyle w:val="BodyText"/>
        <w:rPr>
          <w:rFonts w:cs="DIN"/>
        </w:rPr>
      </w:pPr>
    </w:p>
    <w:p w14:paraId="26095E28" w14:textId="7CFB7336" w:rsidR="0038466F" w:rsidRPr="004D407A" w:rsidRDefault="0038466F" w:rsidP="0038466F">
      <w:pPr>
        <w:pStyle w:val="Caption"/>
        <w:rPr>
          <w:rFonts w:cs="DIN"/>
          <w:color w:val="auto"/>
        </w:rPr>
      </w:pPr>
      <w:bookmarkStart w:id="52" w:name="_Ref103084455"/>
      <w:bookmarkStart w:id="53" w:name="_Toc111912742"/>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w:t>
      </w:r>
      <w:r w:rsidR="00E21383" w:rsidRPr="004D407A">
        <w:rPr>
          <w:noProof/>
          <w:color w:val="auto"/>
        </w:rPr>
        <w:fldChar w:fldCharType="end"/>
      </w:r>
      <w:bookmarkEnd w:id="52"/>
      <w:r w:rsidRPr="004D407A">
        <w:rPr>
          <w:color w:val="auto"/>
        </w:rPr>
        <w:t>: Health service delivery facilities and administrative arrangements</w:t>
      </w:r>
      <w:bookmarkEnd w:id="53"/>
    </w:p>
    <w:p w14:paraId="2FB7637D" w14:textId="0555D9E9" w:rsidR="00AC3674" w:rsidRPr="004D407A" w:rsidRDefault="00AC3674" w:rsidP="003D1559">
      <w:pPr>
        <w:pStyle w:val="BodyText"/>
        <w:rPr>
          <w:rFonts w:ascii="Arial" w:hAnsi="Arial"/>
          <w:lang w:eastAsia="zh-CN"/>
        </w:rPr>
      </w:pPr>
      <w:r w:rsidRPr="004D407A">
        <w:rPr>
          <w:rFonts w:ascii="Arial" w:hAnsi="Arial"/>
          <w:lang w:eastAsia="zh-CN"/>
        </w:rPr>
        <w:t xml:space="preserve">Management responsibility for public sector hospitals and rural health facilities within </w:t>
      </w:r>
      <w:r w:rsidR="00A321DD" w:rsidRPr="004D407A">
        <w:rPr>
          <w:rFonts w:ascii="Arial" w:hAnsi="Arial"/>
          <w:lang w:eastAsia="zh-CN"/>
        </w:rPr>
        <w:t xml:space="preserve">the </w:t>
      </w:r>
      <w:r w:rsidR="00CA2F47" w:rsidRPr="004D407A">
        <w:rPr>
          <w:rFonts w:ascii="Arial" w:hAnsi="Arial"/>
          <w:lang w:eastAsia="zh-CN"/>
        </w:rPr>
        <w:t xml:space="preserve">country </w:t>
      </w:r>
      <w:r w:rsidRPr="004D407A">
        <w:rPr>
          <w:rFonts w:ascii="Arial" w:hAnsi="Arial"/>
          <w:lang w:eastAsia="zh-CN"/>
        </w:rPr>
        <w:t xml:space="preserve">is divided between MOHFW and local governments of City Corporations.  </w:t>
      </w:r>
    </w:p>
    <w:p w14:paraId="29708116" w14:textId="2E53881E" w:rsidR="00477EB5" w:rsidRPr="004D407A" w:rsidRDefault="00477EB5" w:rsidP="00477EB5">
      <w:pPr>
        <w:pStyle w:val="Caption"/>
        <w:rPr>
          <w:color w:val="auto"/>
        </w:rPr>
      </w:pPr>
      <w:bookmarkStart w:id="54" w:name="_Ref488936210"/>
      <w:bookmarkStart w:id="55" w:name="_Ref488936215"/>
      <w:bookmarkStart w:id="56" w:name="_Toc489355875"/>
      <w:bookmarkStart w:id="57" w:name="_Toc489491421"/>
      <w:bookmarkStart w:id="58" w:name="_Toc490750586"/>
      <w:bookmarkStart w:id="59" w:name="_Toc111912743"/>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4</w:t>
      </w:r>
      <w:r w:rsidR="00E21383" w:rsidRPr="004D407A">
        <w:rPr>
          <w:noProof/>
          <w:color w:val="auto"/>
        </w:rPr>
        <w:fldChar w:fldCharType="end"/>
      </w:r>
      <w:bookmarkEnd w:id="54"/>
      <w:r w:rsidRPr="004D407A">
        <w:rPr>
          <w:color w:val="auto"/>
        </w:rPr>
        <w:t>:</w:t>
      </w:r>
      <w:r w:rsidR="00FC676B" w:rsidRPr="004D407A">
        <w:rPr>
          <w:color w:val="auto"/>
        </w:rPr>
        <w:t xml:space="preserve"> </w:t>
      </w:r>
      <w:r w:rsidRPr="004D407A">
        <w:rPr>
          <w:color w:val="auto"/>
        </w:rPr>
        <w:t xml:space="preserve">Public </w:t>
      </w:r>
      <w:r w:rsidR="00C56C39" w:rsidRPr="004D407A">
        <w:rPr>
          <w:color w:val="auto"/>
        </w:rPr>
        <w:t>health</w:t>
      </w:r>
      <w:r w:rsidRPr="004D407A">
        <w:rPr>
          <w:color w:val="auto"/>
        </w:rPr>
        <w:t xml:space="preserve"> </w:t>
      </w:r>
      <w:r w:rsidR="00C56C39" w:rsidRPr="004D407A">
        <w:rPr>
          <w:color w:val="auto"/>
        </w:rPr>
        <w:t>facilities</w:t>
      </w:r>
      <w:r w:rsidRPr="004D407A">
        <w:rPr>
          <w:color w:val="auto"/>
        </w:rPr>
        <w:t xml:space="preserve"> by levels and types of services</w:t>
      </w:r>
      <w:bookmarkEnd w:id="55"/>
      <w:bookmarkEnd w:id="56"/>
      <w:bookmarkEnd w:id="57"/>
      <w:bookmarkEnd w:id="58"/>
      <w:bookmarkEnd w:id="59"/>
    </w:p>
    <w:tbl>
      <w:tblPr>
        <w:tblStyle w:val="GridTable1Light-Accent11"/>
        <w:tblW w:w="8921" w:type="dxa"/>
        <w:tblLayout w:type="fixed"/>
        <w:tblLook w:val="04A0" w:firstRow="1" w:lastRow="0" w:firstColumn="1" w:lastColumn="0" w:noHBand="0" w:noVBand="1"/>
      </w:tblPr>
      <w:tblGrid>
        <w:gridCol w:w="3112"/>
        <w:gridCol w:w="2648"/>
        <w:gridCol w:w="846"/>
        <w:gridCol w:w="2315"/>
      </w:tblGrid>
      <w:tr w:rsidR="004D407A" w:rsidRPr="004D407A" w14:paraId="63F0E37B" w14:textId="77777777" w:rsidTr="00541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5C14F831" w14:textId="77777777" w:rsidR="00541DD5" w:rsidRPr="004D407A" w:rsidRDefault="00541DD5" w:rsidP="006178DD">
            <w:pPr>
              <w:pStyle w:val="BodyTextT"/>
            </w:pPr>
            <w:r w:rsidRPr="004D407A">
              <w:t>Facility</w:t>
            </w:r>
          </w:p>
        </w:tc>
        <w:tc>
          <w:tcPr>
            <w:tcW w:w="2648" w:type="dxa"/>
          </w:tcPr>
          <w:p w14:paraId="2B82496B" w14:textId="77777777" w:rsidR="00541DD5" w:rsidRPr="004D407A" w:rsidRDefault="00541DD5" w:rsidP="006178DD">
            <w:pPr>
              <w:pStyle w:val="BodyTextT"/>
              <w:cnfStyle w:val="100000000000" w:firstRow="1" w:lastRow="0" w:firstColumn="0" w:lastColumn="0" w:oddVBand="0" w:evenVBand="0" w:oddHBand="0" w:evenHBand="0" w:firstRowFirstColumn="0" w:firstRowLastColumn="0" w:lastRowFirstColumn="0" w:lastRowLastColumn="0"/>
            </w:pPr>
            <w:r w:rsidRPr="004D407A">
              <w:t>Location, Level</w:t>
            </w:r>
          </w:p>
        </w:tc>
        <w:tc>
          <w:tcPr>
            <w:tcW w:w="846" w:type="dxa"/>
          </w:tcPr>
          <w:p w14:paraId="40474AA3" w14:textId="77777777" w:rsidR="00541DD5" w:rsidRPr="004D407A" w:rsidRDefault="00541DD5" w:rsidP="006178DD">
            <w:pPr>
              <w:pStyle w:val="BodyTextT"/>
              <w:cnfStyle w:val="100000000000" w:firstRow="1" w:lastRow="0" w:firstColumn="0" w:lastColumn="0" w:oddVBand="0" w:evenVBand="0" w:oddHBand="0" w:evenHBand="0" w:firstRowFirstColumn="0" w:firstRowLastColumn="0" w:lastRowFirstColumn="0" w:lastRowLastColumn="0"/>
            </w:pPr>
            <w:r w:rsidRPr="004D407A">
              <w:t>Number</w:t>
            </w:r>
          </w:p>
        </w:tc>
        <w:tc>
          <w:tcPr>
            <w:tcW w:w="2315" w:type="dxa"/>
          </w:tcPr>
          <w:p w14:paraId="0A0734F9" w14:textId="77777777" w:rsidR="00541DD5" w:rsidRPr="004D407A" w:rsidRDefault="00541DD5" w:rsidP="006178DD">
            <w:pPr>
              <w:pStyle w:val="BodyTextT"/>
              <w:cnfStyle w:val="100000000000" w:firstRow="1" w:lastRow="0" w:firstColumn="0" w:lastColumn="0" w:oddVBand="0" w:evenVBand="0" w:oddHBand="0" w:evenHBand="0" w:firstRowFirstColumn="0" w:firstRowLastColumn="0" w:lastRowFirstColumn="0" w:lastRowLastColumn="0"/>
            </w:pPr>
            <w:r w:rsidRPr="004D407A">
              <w:t>Type of Services</w:t>
            </w:r>
          </w:p>
        </w:tc>
      </w:tr>
      <w:tr w:rsidR="004D407A" w:rsidRPr="004D407A" w14:paraId="459BB01A"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2B53C91D" w14:textId="77777777" w:rsidR="00541DD5" w:rsidRPr="004D407A" w:rsidRDefault="00541DD5" w:rsidP="006178DD">
            <w:pPr>
              <w:pStyle w:val="BodyTextT"/>
              <w:rPr>
                <w:b w:val="0"/>
              </w:rPr>
            </w:pPr>
            <w:r w:rsidRPr="004D407A">
              <w:rPr>
                <w:b w:val="0"/>
              </w:rPr>
              <w:t>Post-graduate Teaching Hospitals</w:t>
            </w:r>
            <w:r w:rsidRPr="004D407A">
              <w:rPr>
                <w:rStyle w:val="FootnoteReference"/>
                <w:rFonts w:ascii="Arial Narrow" w:hAnsi="Arial Narrow"/>
                <w:b w:val="0"/>
              </w:rPr>
              <w:footnoteReference w:id="7"/>
            </w:r>
          </w:p>
        </w:tc>
        <w:tc>
          <w:tcPr>
            <w:tcW w:w="2648" w:type="dxa"/>
          </w:tcPr>
          <w:p w14:paraId="552ACD17"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City Corporation/Municipalities</w:t>
            </w:r>
          </w:p>
        </w:tc>
        <w:tc>
          <w:tcPr>
            <w:tcW w:w="846" w:type="dxa"/>
          </w:tcPr>
          <w:p w14:paraId="660AC32B"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33</w:t>
            </w:r>
          </w:p>
        </w:tc>
        <w:tc>
          <w:tcPr>
            <w:tcW w:w="2315" w:type="dxa"/>
          </w:tcPr>
          <w:p w14:paraId="45EE4454"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Tertiary HC</w:t>
            </w:r>
          </w:p>
        </w:tc>
      </w:tr>
      <w:tr w:rsidR="004D407A" w:rsidRPr="004D407A" w14:paraId="1A1E2E34"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00BFB38F" w14:textId="77777777" w:rsidR="00541DD5" w:rsidRPr="004D407A" w:rsidRDefault="00541DD5" w:rsidP="006178DD">
            <w:pPr>
              <w:pStyle w:val="BodyTextT"/>
              <w:rPr>
                <w:b w:val="0"/>
              </w:rPr>
            </w:pPr>
            <w:r w:rsidRPr="004D407A">
              <w:rPr>
                <w:b w:val="0"/>
              </w:rPr>
              <w:t>Medical Colleges</w:t>
            </w:r>
            <w:r w:rsidRPr="004D407A">
              <w:rPr>
                <w:rStyle w:val="FootnoteReference"/>
                <w:rFonts w:ascii="Arial Narrow" w:hAnsi="Arial Narrow"/>
                <w:b w:val="0"/>
              </w:rPr>
              <w:footnoteReference w:id="8"/>
            </w:r>
          </w:p>
        </w:tc>
        <w:tc>
          <w:tcPr>
            <w:tcW w:w="2648" w:type="dxa"/>
          </w:tcPr>
          <w:p w14:paraId="32E2A5F6"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City Corporation/Municipalities</w:t>
            </w:r>
          </w:p>
        </w:tc>
        <w:tc>
          <w:tcPr>
            <w:tcW w:w="846" w:type="dxa"/>
          </w:tcPr>
          <w:p w14:paraId="3C05970C"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100</w:t>
            </w:r>
          </w:p>
        </w:tc>
        <w:tc>
          <w:tcPr>
            <w:tcW w:w="2315" w:type="dxa"/>
          </w:tcPr>
          <w:p w14:paraId="3D80888B"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Tertiary HC</w:t>
            </w:r>
          </w:p>
        </w:tc>
      </w:tr>
      <w:tr w:rsidR="004D407A" w:rsidRPr="004D407A" w14:paraId="0B2EB8EA"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12DF4D78" w14:textId="77777777" w:rsidR="00541DD5" w:rsidRPr="004D407A" w:rsidRDefault="00541DD5" w:rsidP="006178DD">
            <w:pPr>
              <w:pStyle w:val="BodyTextT"/>
              <w:rPr>
                <w:b w:val="0"/>
              </w:rPr>
            </w:pPr>
            <w:r w:rsidRPr="004D407A">
              <w:rPr>
                <w:b w:val="0"/>
              </w:rPr>
              <w:t>Specialized Hospitals</w:t>
            </w:r>
            <w:r w:rsidRPr="004D407A">
              <w:rPr>
                <w:rStyle w:val="FootnoteReference"/>
                <w:rFonts w:ascii="Arial Narrow" w:hAnsi="Arial Narrow"/>
                <w:b w:val="0"/>
              </w:rPr>
              <w:footnoteReference w:id="9"/>
            </w:r>
          </w:p>
        </w:tc>
        <w:tc>
          <w:tcPr>
            <w:tcW w:w="2648" w:type="dxa"/>
          </w:tcPr>
          <w:p w14:paraId="2704A20D"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Division</w:t>
            </w:r>
          </w:p>
        </w:tc>
        <w:tc>
          <w:tcPr>
            <w:tcW w:w="846" w:type="dxa"/>
          </w:tcPr>
          <w:p w14:paraId="77C9A55C"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30</w:t>
            </w:r>
          </w:p>
        </w:tc>
        <w:tc>
          <w:tcPr>
            <w:tcW w:w="2315" w:type="dxa"/>
          </w:tcPr>
          <w:p w14:paraId="0DD9B60F"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Tertiary HC</w:t>
            </w:r>
          </w:p>
        </w:tc>
      </w:tr>
      <w:tr w:rsidR="004D407A" w:rsidRPr="004D407A" w14:paraId="73D9410A"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1A78984A" w14:textId="03C97F93" w:rsidR="00541DD5" w:rsidRPr="004D407A" w:rsidRDefault="00541DD5" w:rsidP="006178DD">
            <w:pPr>
              <w:pStyle w:val="BodyTextT"/>
              <w:rPr>
                <w:b w:val="0"/>
              </w:rPr>
            </w:pPr>
            <w:r w:rsidRPr="004D407A">
              <w:rPr>
                <w:b w:val="0"/>
              </w:rPr>
              <w:lastRenderedPageBreak/>
              <w:t>Maternal and Child We</w:t>
            </w:r>
            <w:r w:rsidR="00785F83" w:rsidRPr="004D407A">
              <w:rPr>
                <w:b w:val="0"/>
              </w:rPr>
              <w:t>lfare</w:t>
            </w:r>
            <w:r w:rsidRPr="004D407A">
              <w:rPr>
                <w:b w:val="0"/>
              </w:rPr>
              <w:t xml:space="preserve"> Centre</w:t>
            </w:r>
            <w:r w:rsidR="00785F83" w:rsidRPr="004D407A">
              <w:rPr>
                <w:b w:val="0"/>
              </w:rPr>
              <w:t xml:space="preserve"> (MCWC)</w:t>
            </w:r>
          </w:p>
        </w:tc>
        <w:tc>
          <w:tcPr>
            <w:tcW w:w="2648" w:type="dxa"/>
          </w:tcPr>
          <w:p w14:paraId="1F7719F7"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District</w:t>
            </w:r>
          </w:p>
        </w:tc>
        <w:tc>
          <w:tcPr>
            <w:tcW w:w="846" w:type="dxa"/>
          </w:tcPr>
          <w:p w14:paraId="372BCC5B"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96</w:t>
            </w:r>
          </w:p>
        </w:tc>
        <w:tc>
          <w:tcPr>
            <w:tcW w:w="2315" w:type="dxa"/>
          </w:tcPr>
          <w:p w14:paraId="264B9EAB"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PHC/FP</w:t>
            </w:r>
          </w:p>
        </w:tc>
      </w:tr>
      <w:tr w:rsidR="004D407A" w:rsidRPr="004D407A" w14:paraId="1AB58CD8"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70A107B4" w14:textId="77777777" w:rsidR="00541DD5" w:rsidRPr="004D407A" w:rsidRDefault="00541DD5" w:rsidP="006178DD">
            <w:pPr>
              <w:pStyle w:val="BodyTextT"/>
              <w:rPr>
                <w:b w:val="0"/>
              </w:rPr>
            </w:pPr>
            <w:r w:rsidRPr="004D407A">
              <w:rPr>
                <w:b w:val="0"/>
              </w:rPr>
              <w:t>District General Hospital</w:t>
            </w:r>
          </w:p>
        </w:tc>
        <w:tc>
          <w:tcPr>
            <w:tcW w:w="2648" w:type="dxa"/>
          </w:tcPr>
          <w:p w14:paraId="6CB173F5"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District</w:t>
            </w:r>
          </w:p>
        </w:tc>
        <w:tc>
          <w:tcPr>
            <w:tcW w:w="846" w:type="dxa"/>
          </w:tcPr>
          <w:p w14:paraId="6EBA69AC"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64</w:t>
            </w:r>
          </w:p>
        </w:tc>
        <w:tc>
          <w:tcPr>
            <w:tcW w:w="2315" w:type="dxa"/>
          </w:tcPr>
          <w:p w14:paraId="0074EC71"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PHC &amp; Secondary HC</w:t>
            </w:r>
          </w:p>
        </w:tc>
      </w:tr>
      <w:tr w:rsidR="004D407A" w:rsidRPr="004D407A" w14:paraId="04FB320F"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41E8ED75" w14:textId="77777777" w:rsidR="00541DD5" w:rsidRPr="004D407A" w:rsidRDefault="00541DD5" w:rsidP="006178DD">
            <w:pPr>
              <w:pStyle w:val="BodyTextT"/>
              <w:rPr>
                <w:b w:val="0"/>
              </w:rPr>
            </w:pPr>
            <w:r w:rsidRPr="004D407A">
              <w:rPr>
                <w:b w:val="0"/>
              </w:rPr>
              <w:t>Hospital/Trauma Centre</w:t>
            </w:r>
          </w:p>
        </w:tc>
        <w:tc>
          <w:tcPr>
            <w:tcW w:w="2648" w:type="dxa"/>
          </w:tcPr>
          <w:p w14:paraId="1FEA7F6E"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Upazila</w:t>
            </w:r>
          </w:p>
        </w:tc>
        <w:tc>
          <w:tcPr>
            <w:tcW w:w="846" w:type="dxa"/>
          </w:tcPr>
          <w:p w14:paraId="0227598F"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10</w:t>
            </w:r>
          </w:p>
        </w:tc>
        <w:tc>
          <w:tcPr>
            <w:tcW w:w="2315" w:type="dxa"/>
          </w:tcPr>
          <w:p w14:paraId="3AA37813"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PHC &amp; Secondary HC</w:t>
            </w:r>
          </w:p>
        </w:tc>
      </w:tr>
      <w:tr w:rsidR="004D407A" w:rsidRPr="004D407A" w14:paraId="245ED1C1"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33BC107D" w14:textId="77777777" w:rsidR="00541DD5" w:rsidRPr="004D407A" w:rsidRDefault="00541DD5" w:rsidP="006178DD">
            <w:pPr>
              <w:pStyle w:val="BodyTextT"/>
              <w:rPr>
                <w:b w:val="0"/>
              </w:rPr>
            </w:pPr>
            <w:r w:rsidRPr="004D407A">
              <w:rPr>
                <w:b w:val="0"/>
              </w:rPr>
              <w:t>Upazila Health Office</w:t>
            </w:r>
            <w:r w:rsidRPr="004D407A">
              <w:rPr>
                <w:rStyle w:val="FootnoteReference"/>
                <w:rFonts w:ascii="Arial Narrow" w:hAnsi="Arial Narrow"/>
                <w:b w:val="0"/>
              </w:rPr>
              <w:footnoteReference w:id="10"/>
            </w:r>
          </w:p>
        </w:tc>
        <w:tc>
          <w:tcPr>
            <w:tcW w:w="2648" w:type="dxa"/>
          </w:tcPr>
          <w:p w14:paraId="0A0C921C"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Upazila</w:t>
            </w:r>
          </w:p>
        </w:tc>
        <w:tc>
          <w:tcPr>
            <w:tcW w:w="846" w:type="dxa"/>
          </w:tcPr>
          <w:p w14:paraId="1F4DF292"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60</w:t>
            </w:r>
          </w:p>
        </w:tc>
        <w:tc>
          <w:tcPr>
            <w:tcW w:w="2315" w:type="dxa"/>
          </w:tcPr>
          <w:p w14:paraId="0C5F9FF0"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PHC/FP</w:t>
            </w:r>
          </w:p>
        </w:tc>
      </w:tr>
      <w:tr w:rsidR="004D407A" w:rsidRPr="004D407A" w14:paraId="32950F46"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64A18E9C" w14:textId="77777777" w:rsidR="00541DD5" w:rsidRPr="004D407A" w:rsidRDefault="00541DD5" w:rsidP="006178DD">
            <w:pPr>
              <w:pStyle w:val="BodyTextT"/>
              <w:rPr>
                <w:b w:val="0"/>
              </w:rPr>
            </w:pPr>
            <w:r w:rsidRPr="004D407A">
              <w:rPr>
                <w:b w:val="0"/>
              </w:rPr>
              <w:t>Upazila Health Complex</w:t>
            </w:r>
          </w:p>
        </w:tc>
        <w:tc>
          <w:tcPr>
            <w:tcW w:w="2648" w:type="dxa"/>
          </w:tcPr>
          <w:p w14:paraId="24E8EB0A"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Upazila</w:t>
            </w:r>
          </w:p>
        </w:tc>
        <w:tc>
          <w:tcPr>
            <w:tcW w:w="846" w:type="dxa"/>
          </w:tcPr>
          <w:p w14:paraId="168D957C"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424</w:t>
            </w:r>
          </w:p>
        </w:tc>
        <w:tc>
          <w:tcPr>
            <w:tcW w:w="2315" w:type="dxa"/>
          </w:tcPr>
          <w:p w14:paraId="50AC6806"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PHC/FP</w:t>
            </w:r>
          </w:p>
        </w:tc>
      </w:tr>
      <w:tr w:rsidR="004D407A" w:rsidRPr="004D407A" w14:paraId="68242BEF"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1B77B72A" w14:textId="77777777" w:rsidR="00541DD5" w:rsidRPr="004D407A" w:rsidRDefault="00541DD5" w:rsidP="006178DD">
            <w:pPr>
              <w:pStyle w:val="BodyTextT"/>
              <w:rPr>
                <w:b w:val="0"/>
              </w:rPr>
            </w:pPr>
            <w:r w:rsidRPr="004D407A">
              <w:rPr>
                <w:b w:val="0"/>
              </w:rPr>
              <w:t>Union Health &amp; Family Welfare Centers</w:t>
            </w:r>
          </w:p>
        </w:tc>
        <w:tc>
          <w:tcPr>
            <w:tcW w:w="2648" w:type="dxa"/>
          </w:tcPr>
          <w:p w14:paraId="5ABA9737"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Union</w:t>
            </w:r>
          </w:p>
        </w:tc>
        <w:tc>
          <w:tcPr>
            <w:tcW w:w="846" w:type="dxa"/>
          </w:tcPr>
          <w:p w14:paraId="43481014"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3,975</w:t>
            </w:r>
          </w:p>
        </w:tc>
        <w:tc>
          <w:tcPr>
            <w:tcW w:w="2315" w:type="dxa"/>
          </w:tcPr>
          <w:p w14:paraId="3E9DB16C"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PHC/FP</w:t>
            </w:r>
          </w:p>
        </w:tc>
      </w:tr>
      <w:tr w:rsidR="004D407A" w:rsidRPr="004D407A" w14:paraId="758B89F6"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4EB667A2" w14:textId="77777777" w:rsidR="00541DD5" w:rsidRPr="004D407A" w:rsidRDefault="00541DD5" w:rsidP="006178DD">
            <w:pPr>
              <w:pStyle w:val="BodyTextT"/>
              <w:rPr>
                <w:b w:val="0"/>
              </w:rPr>
            </w:pPr>
            <w:r w:rsidRPr="004D407A">
              <w:rPr>
                <w:b w:val="0"/>
              </w:rPr>
              <w:t>Satellite Centers</w:t>
            </w:r>
          </w:p>
        </w:tc>
        <w:tc>
          <w:tcPr>
            <w:tcW w:w="2648" w:type="dxa"/>
          </w:tcPr>
          <w:p w14:paraId="46B29CB3"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Union</w:t>
            </w:r>
          </w:p>
        </w:tc>
        <w:tc>
          <w:tcPr>
            <w:tcW w:w="846" w:type="dxa"/>
          </w:tcPr>
          <w:p w14:paraId="4D32599D"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2,550</w:t>
            </w:r>
          </w:p>
        </w:tc>
        <w:tc>
          <w:tcPr>
            <w:tcW w:w="2315" w:type="dxa"/>
          </w:tcPr>
          <w:p w14:paraId="1FA4CD08"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PHC/FP</w:t>
            </w:r>
          </w:p>
        </w:tc>
      </w:tr>
      <w:tr w:rsidR="004D407A" w:rsidRPr="004D407A" w14:paraId="17B86B91" w14:textId="77777777" w:rsidTr="00541DD5">
        <w:tc>
          <w:tcPr>
            <w:cnfStyle w:val="001000000000" w:firstRow="0" w:lastRow="0" w:firstColumn="1" w:lastColumn="0" w:oddVBand="0" w:evenVBand="0" w:oddHBand="0" w:evenHBand="0" w:firstRowFirstColumn="0" w:firstRowLastColumn="0" w:lastRowFirstColumn="0" w:lastRowLastColumn="0"/>
            <w:tcW w:w="3112" w:type="dxa"/>
          </w:tcPr>
          <w:p w14:paraId="053897A2" w14:textId="77777777" w:rsidR="00541DD5" w:rsidRPr="004D407A" w:rsidRDefault="00541DD5" w:rsidP="006178DD">
            <w:pPr>
              <w:pStyle w:val="BodyTextT"/>
              <w:rPr>
                <w:b w:val="0"/>
              </w:rPr>
            </w:pPr>
            <w:r w:rsidRPr="004D407A">
              <w:rPr>
                <w:b w:val="0"/>
              </w:rPr>
              <w:t>Community clinics</w:t>
            </w:r>
          </w:p>
        </w:tc>
        <w:tc>
          <w:tcPr>
            <w:tcW w:w="2648" w:type="dxa"/>
          </w:tcPr>
          <w:p w14:paraId="671DDFAA"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Ward</w:t>
            </w:r>
          </w:p>
        </w:tc>
        <w:tc>
          <w:tcPr>
            <w:tcW w:w="846" w:type="dxa"/>
          </w:tcPr>
          <w:p w14:paraId="001A7758" w14:textId="77777777" w:rsidR="00541DD5" w:rsidRPr="004D407A" w:rsidRDefault="00541DD5" w:rsidP="00477EB5">
            <w:pPr>
              <w:pStyle w:val="BodyTextT"/>
              <w:jc w:val="right"/>
              <w:cnfStyle w:val="000000000000" w:firstRow="0" w:lastRow="0" w:firstColumn="0" w:lastColumn="0" w:oddVBand="0" w:evenVBand="0" w:oddHBand="0" w:evenHBand="0" w:firstRowFirstColumn="0" w:firstRowLastColumn="0" w:lastRowFirstColumn="0" w:lastRowLastColumn="0"/>
            </w:pPr>
            <w:r w:rsidRPr="004D407A">
              <w:t>13,094</w:t>
            </w:r>
          </w:p>
        </w:tc>
        <w:tc>
          <w:tcPr>
            <w:tcW w:w="2315" w:type="dxa"/>
          </w:tcPr>
          <w:p w14:paraId="126124BE" w14:textId="77777777" w:rsidR="00541DD5" w:rsidRPr="004D407A" w:rsidRDefault="00541DD5" w:rsidP="006178DD">
            <w:pPr>
              <w:pStyle w:val="BodyTextT"/>
              <w:cnfStyle w:val="000000000000" w:firstRow="0" w:lastRow="0" w:firstColumn="0" w:lastColumn="0" w:oddVBand="0" w:evenVBand="0" w:oddHBand="0" w:evenHBand="0" w:firstRowFirstColumn="0" w:firstRowLastColumn="0" w:lastRowFirstColumn="0" w:lastRowLastColumn="0"/>
            </w:pPr>
            <w:r w:rsidRPr="004D407A">
              <w:t>PHC/FP</w:t>
            </w:r>
          </w:p>
        </w:tc>
      </w:tr>
    </w:tbl>
    <w:p w14:paraId="19036415" w14:textId="28CA9F10" w:rsidR="00AC3674" w:rsidRPr="004D407A" w:rsidRDefault="00AC3674" w:rsidP="00AC3674">
      <w:pPr>
        <w:pStyle w:val="BodyText"/>
        <w:rPr>
          <w:rFonts w:ascii="Arial" w:hAnsi="Arial"/>
        </w:rPr>
      </w:pPr>
      <w:r w:rsidRPr="004D407A">
        <w:rPr>
          <w:rFonts w:ascii="Arial" w:hAnsi="Arial"/>
        </w:rPr>
        <w:t>The field level H</w:t>
      </w:r>
      <w:r w:rsidR="00480CA5" w:rsidRPr="004D407A">
        <w:rPr>
          <w:rFonts w:ascii="Arial" w:hAnsi="Arial"/>
        </w:rPr>
        <w:t>PN</w:t>
      </w:r>
      <w:r w:rsidRPr="004D407A">
        <w:rPr>
          <w:rFonts w:ascii="Arial" w:hAnsi="Arial"/>
        </w:rPr>
        <w:t xml:space="preserve"> service delivery has multiple layers of service provision entities corresponding to different administrative tiers. The grass-root level service point of MOHFW is the Community Clinic at ward level, serving approximately 6,000 people. At union level, there are Union Health &amp; Family Wellness </w:t>
      </w:r>
      <w:r w:rsidR="00785F83" w:rsidRPr="004D407A">
        <w:rPr>
          <w:rFonts w:ascii="Arial" w:hAnsi="Arial"/>
        </w:rPr>
        <w:t>Centers</w:t>
      </w:r>
      <w:r w:rsidRPr="004D407A">
        <w:rPr>
          <w:rFonts w:ascii="Arial" w:hAnsi="Arial"/>
        </w:rPr>
        <w:t>, Union Sub-</w:t>
      </w:r>
      <w:r w:rsidR="00785F83" w:rsidRPr="004D407A">
        <w:rPr>
          <w:rFonts w:ascii="Arial" w:hAnsi="Arial"/>
        </w:rPr>
        <w:t>Centers</w:t>
      </w:r>
      <w:r w:rsidRPr="004D407A">
        <w:rPr>
          <w:rFonts w:ascii="Arial" w:hAnsi="Arial"/>
        </w:rPr>
        <w:t xml:space="preserve">/RD with an average coverage of 30,000 people. Union Health </w:t>
      </w:r>
      <w:r w:rsidR="00956CBD" w:rsidRPr="004D407A">
        <w:rPr>
          <w:rFonts w:ascii="Arial" w:hAnsi="Arial"/>
        </w:rPr>
        <w:t>Centers</w:t>
      </w:r>
      <w:r w:rsidRPr="004D407A">
        <w:rPr>
          <w:rFonts w:ascii="Arial" w:hAnsi="Arial"/>
        </w:rPr>
        <w:t xml:space="preserve"> are located at the </w:t>
      </w:r>
      <w:r w:rsidR="00785F83" w:rsidRPr="004D407A">
        <w:rPr>
          <w:rFonts w:ascii="Arial" w:hAnsi="Arial"/>
        </w:rPr>
        <w:t xml:space="preserve">Union level of each </w:t>
      </w:r>
      <w:r w:rsidRPr="004D407A">
        <w:rPr>
          <w:rFonts w:ascii="Arial" w:hAnsi="Arial"/>
        </w:rPr>
        <w:t xml:space="preserve">Upazila. These three layers provide Primary Health Care and Maternal, Neonatal, Child and Adolescent Services. </w:t>
      </w:r>
    </w:p>
    <w:p w14:paraId="32233B44" w14:textId="726CF4D4" w:rsidR="006006C9" w:rsidRPr="004D407A" w:rsidRDefault="00AC3674" w:rsidP="00AC3674">
      <w:pPr>
        <w:rPr>
          <w:rFonts w:ascii="Arial" w:hAnsi="Arial"/>
        </w:rPr>
      </w:pPr>
      <w:r w:rsidRPr="004D407A">
        <w:rPr>
          <w:rFonts w:ascii="Arial" w:hAnsi="Arial"/>
        </w:rPr>
        <w:t xml:space="preserve">The secondary layer of service provision is delivered from the District Hospitals. These health care institutions also provide primary care and work as a referral site for the Union Health </w:t>
      </w:r>
      <w:r w:rsidR="00785F83" w:rsidRPr="004D407A">
        <w:rPr>
          <w:rFonts w:ascii="Arial" w:hAnsi="Arial"/>
        </w:rPr>
        <w:t>Centers</w:t>
      </w:r>
      <w:r w:rsidRPr="004D407A">
        <w:rPr>
          <w:rFonts w:ascii="Arial" w:hAnsi="Arial"/>
        </w:rPr>
        <w:t xml:space="preserve">. On top of these health care facilities, there are specialized hospitals and medical college hospitals, mostly located at divisional headquarters and in major cities and providing tertiary care services. </w:t>
      </w:r>
      <w:r w:rsidRPr="004D407A">
        <w:rPr>
          <w:rFonts w:ascii="Arial" w:hAnsi="Arial"/>
        </w:rPr>
        <w:fldChar w:fldCharType="begin"/>
      </w:r>
      <w:r w:rsidRPr="004D407A">
        <w:rPr>
          <w:rFonts w:ascii="Arial" w:hAnsi="Arial"/>
        </w:rPr>
        <w:instrText xml:space="preserve"> REF _Ref488936210 \h </w:instrText>
      </w:r>
      <w:r w:rsidR="001E3043"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4</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_Ref488936215 \p \h </w:instrText>
      </w:r>
      <w:r w:rsidR="001E3043"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above</w:t>
      </w:r>
      <w:r w:rsidRPr="004D407A">
        <w:rPr>
          <w:rFonts w:ascii="Arial" w:hAnsi="Arial"/>
        </w:rPr>
        <w:fldChar w:fldCharType="end"/>
      </w:r>
      <w:r w:rsidRPr="004D407A">
        <w:rPr>
          <w:rFonts w:ascii="Arial" w:hAnsi="Arial"/>
        </w:rPr>
        <w:t xml:space="preserve"> shows structure of health care provider facilities of the MOHFW.</w:t>
      </w:r>
    </w:p>
    <w:p w14:paraId="0CA57E0B" w14:textId="0442757E" w:rsidR="00AC3674" w:rsidRPr="004D407A" w:rsidRDefault="00AC3674" w:rsidP="00AC3674">
      <w:pPr>
        <w:pStyle w:val="BodyText"/>
        <w:rPr>
          <w:lang w:eastAsia="zh-CN"/>
        </w:rPr>
      </w:pPr>
      <w:r w:rsidRPr="004D407A">
        <w:rPr>
          <w:rFonts w:ascii="Arial" w:hAnsi="Arial"/>
          <w:lang w:eastAsia="zh-CN"/>
        </w:rPr>
        <w:t xml:space="preserve">Details of the types of </w:t>
      </w:r>
      <w:r w:rsidR="009B5F24" w:rsidRPr="004D407A">
        <w:rPr>
          <w:rFonts w:ascii="Arial" w:hAnsi="Arial"/>
          <w:lang w:eastAsia="zh-CN"/>
        </w:rPr>
        <w:t>HPN</w:t>
      </w:r>
      <w:r w:rsidRPr="004D407A">
        <w:rPr>
          <w:rFonts w:ascii="Arial" w:hAnsi="Arial"/>
          <w:lang w:eastAsia="zh-CN"/>
        </w:rPr>
        <w:t xml:space="preserve"> services provided at each tier of the health care system are presented in the </w:t>
      </w:r>
      <w:r w:rsidR="00431C5B" w:rsidRPr="004D407A">
        <w:rPr>
          <w:rFonts w:ascii="Arial" w:hAnsi="Arial"/>
          <w:lang w:eastAsia="zh-CN"/>
        </w:rPr>
        <w:fldChar w:fldCharType="begin"/>
      </w:r>
      <w:r w:rsidR="00431C5B" w:rsidRPr="004D407A">
        <w:rPr>
          <w:rFonts w:ascii="Arial" w:hAnsi="Arial"/>
          <w:lang w:eastAsia="zh-CN"/>
        </w:rPr>
        <w:instrText xml:space="preserve"> REF _Ref489428845 \h </w:instrText>
      </w:r>
      <w:r w:rsidR="001E3043" w:rsidRPr="004D407A">
        <w:rPr>
          <w:rFonts w:ascii="Arial" w:hAnsi="Arial"/>
          <w:lang w:eastAsia="zh-CN"/>
        </w:rPr>
        <w:instrText xml:space="preserve"> \* MERGEFORMAT </w:instrText>
      </w:r>
      <w:r w:rsidR="00431C5B" w:rsidRPr="004D407A">
        <w:rPr>
          <w:rFonts w:ascii="Arial" w:hAnsi="Arial"/>
          <w:lang w:eastAsia="zh-CN"/>
        </w:rPr>
      </w:r>
      <w:r w:rsidR="00431C5B" w:rsidRPr="004D407A">
        <w:rPr>
          <w:rFonts w:ascii="Arial" w:hAnsi="Arial"/>
          <w:lang w:eastAsia="zh-CN"/>
        </w:rPr>
        <w:fldChar w:fldCharType="separate"/>
      </w:r>
      <w:r w:rsidR="00D80429" w:rsidRPr="004D407A">
        <w:rPr>
          <w:rFonts w:ascii="Arial" w:hAnsi="Arial"/>
        </w:rPr>
        <w:t xml:space="preserve">Figure </w:t>
      </w:r>
      <w:r w:rsidR="00D80429" w:rsidRPr="004D407A">
        <w:rPr>
          <w:rFonts w:ascii="Arial" w:hAnsi="Arial"/>
          <w:noProof/>
        </w:rPr>
        <w:t>5</w:t>
      </w:r>
      <w:r w:rsidR="00431C5B" w:rsidRPr="004D407A">
        <w:rPr>
          <w:rFonts w:ascii="Arial" w:hAnsi="Arial"/>
          <w:lang w:eastAsia="zh-CN"/>
        </w:rPr>
        <w:fldChar w:fldCharType="end"/>
      </w:r>
      <w:r w:rsidR="00431C5B" w:rsidRPr="004D407A">
        <w:rPr>
          <w:rFonts w:ascii="Arial" w:hAnsi="Arial"/>
          <w:lang w:eastAsia="zh-CN"/>
        </w:rPr>
        <w:t xml:space="preserve"> </w:t>
      </w:r>
      <w:r w:rsidR="00431C5B" w:rsidRPr="004D407A">
        <w:rPr>
          <w:rFonts w:ascii="Arial" w:hAnsi="Arial"/>
          <w:lang w:eastAsia="zh-CN"/>
        </w:rPr>
        <w:fldChar w:fldCharType="begin"/>
      </w:r>
      <w:r w:rsidR="00431C5B" w:rsidRPr="004D407A">
        <w:rPr>
          <w:rFonts w:ascii="Arial" w:hAnsi="Arial"/>
          <w:lang w:eastAsia="zh-CN"/>
        </w:rPr>
        <w:instrText xml:space="preserve"> REF _Ref489428847 \p \h </w:instrText>
      </w:r>
      <w:r w:rsidR="001E3043" w:rsidRPr="004D407A">
        <w:rPr>
          <w:rFonts w:ascii="Arial" w:hAnsi="Arial"/>
          <w:lang w:eastAsia="zh-CN"/>
        </w:rPr>
        <w:instrText xml:space="preserve"> \* MERGEFORMAT </w:instrText>
      </w:r>
      <w:r w:rsidR="00431C5B" w:rsidRPr="004D407A">
        <w:rPr>
          <w:rFonts w:ascii="Arial" w:hAnsi="Arial"/>
          <w:lang w:eastAsia="zh-CN"/>
        </w:rPr>
      </w:r>
      <w:r w:rsidR="00431C5B" w:rsidRPr="004D407A">
        <w:rPr>
          <w:rFonts w:ascii="Arial" w:hAnsi="Arial"/>
          <w:lang w:eastAsia="zh-CN"/>
        </w:rPr>
        <w:fldChar w:fldCharType="separate"/>
      </w:r>
      <w:r w:rsidR="00D80429" w:rsidRPr="004D407A">
        <w:rPr>
          <w:rFonts w:ascii="Arial" w:hAnsi="Arial"/>
          <w:lang w:eastAsia="zh-CN"/>
        </w:rPr>
        <w:t>below</w:t>
      </w:r>
      <w:r w:rsidR="00431C5B" w:rsidRPr="004D407A">
        <w:rPr>
          <w:rFonts w:ascii="Arial" w:hAnsi="Arial"/>
          <w:lang w:eastAsia="zh-CN"/>
        </w:rPr>
        <w:fldChar w:fldCharType="end"/>
      </w:r>
      <w:r w:rsidRPr="004D407A">
        <w:rPr>
          <w:rFonts w:ascii="Arial" w:hAnsi="Arial"/>
          <w:lang w:eastAsia="zh-CN"/>
        </w:rPr>
        <w:t>:</w:t>
      </w:r>
    </w:p>
    <w:p w14:paraId="43E11369" w14:textId="694B35F0" w:rsidR="00AC3674" w:rsidRDefault="00AC3674" w:rsidP="00AC3674">
      <w:pPr>
        <w:pStyle w:val="Caption"/>
        <w:rPr>
          <w:color w:val="auto"/>
        </w:rPr>
      </w:pPr>
      <w:bookmarkStart w:id="60" w:name="_Ref489428845"/>
      <w:bookmarkStart w:id="61" w:name="_Toc489355876"/>
      <w:bookmarkStart w:id="62" w:name="_Ref489428847"/>
      <w:bookmarkStart w:id="63" w:name="_Toc489491422"/>
      <w:bookmarkStart w:id="64" w:name="_Toc490750587"/>
      <w:bookmarkStart w:id="65" w:name="_Toc111912744"/>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5</w:t>
      </w:r>
      <w:r w:rsidR="00E21383" w:rsidRPr="004D407A">
        <w:rPr>
          <w:noProof/>
          <w:color w:val="auto"/>
        </w:rPr>
        <w:fldChar w:fldCharType="end"/>
      </w:r>
      <w:bookmarkEnd w:id="60"/>
      <w:r w:rsidRPr="004D407A">
        <w:rPr>
          <w:color w:val="auto"/>
        </w:rPr>
        <w:t>:</w:t>
      </w:r>
      <w:r w:rsidR="00F81B45" w:rsidRPr="004D407A">
        <w:rPr>
          <w:color w:val="auto"/>
        </w:rPr>
        <w:t xml:space="preserve"> </w:t>
      </w:r>
      <w:r w:rsidRPr="004D407A">
        <w:rPr>
          <w:color w:val="auto"/>
        </w:rPr>
        <w:t>Provision of Essential Services in Bangladesh</w:t>
      </w:r>
      <w:bookmarkEnd w:id="61"/>
      <w:bookmarkEnd w:id="62"/>
      <w:bookmarkEnd w:id="63"/>
      <w:bookmarkEnd w:id="64"/>
      <w:bookmarkEnd w:id="65"/>
    </w:p>
    <w:p w14:paraId="05612FB4" w14:textId="39680F9F" w:rsidR="003B63B7" w:rsidRDefault="003B63B7" w:rsidP="003B63B7"/>
    <w:tbl>
      <w:tblPr>
        <w:tblW w:w="8478" w:type="dxa"/>
        <w:tblCellMar>
          <w:left w:w="0" w:type="dxa"/>
          <w:right w:w="0" w:type="dxa"/>
        </w:tblCellMar>
        <w:tblLook w:val="0420" w:firstRow="1" w:lastRow="0" w:firstColumn="0" w:lastColumn="0" w:noHBand="0" w:noVBand="1"/>
      </w:tblPr>
      <w:tblGrid>
        <w:gridCol w:w="2994"/>
        <w:gridCol w:w="5484"/>
      </w:tblGrid>
      <w:tr w:rsidR="003B63B7" w:rsidRPr="003B63B7" w14:paraId="26BCB973" w14:textId="77777777" w:rsidTr="003B63B7">
        <w:trPr>
          <w:trHeight w:val="444"/>
        </w:trPr>
        <w:tc>
          <w:tcPr>
            <w:tcW w:w="2994" w:type="dxa"/>
            <w:tcBorders>
              <w:top w:val="single" w:sz="8" w:space="0" w:color="4472C4"/>
              <w:left w:val="single" w:sz="8" w:space="0" w:color="4472C4"/>
              <w:bottom w:val="single" w:sz="8" w:space="0" w:color="4472C4"/>
              <w:right w:val="nil"/>
            </w:tcBorders>
            <w:shd w:val="clear" w:color="auto" w:fill="4472C4"/>
            <w:tcMar>
              <w:top w:w="15" w:type="dxa"/>
              <w:left w:w="15" w:type="dxa"/>
              <w:bottom w:w="0" w:type="dxa"/>
              <w:right w:w="15" w:type="dxa"/>
            </w:tcMar>
            <w:vAlign w:val="center"/>
            <w:hideMark/>
          </w:tcPr>
          <w:p w14:paraId="05514682" w14:textId="77777777" w:rsidR="003B63B7" w:rsidRPr="003B63B7" w:rsidRDefault="003B63B7" w:rsidP="003B63B7">
            <w:r w:rsidRPr="003B63B7">
              <w:rPr>
                <w:b/>
                <w:bCs/>
              </w:rPr>
              <w:t>Health Care System Tier</w:t>
            </w:r>
          </w:p>
        </w:tc>
        <w:tc>
          <w:tcPr>
            <w:tcW w:w="5484" w:type="dxa"/>
            <w:tcBorders>
              <w:top w:val="single" w:sz="8" w:space="0" w:color="4472C4"/>
              <w:left w:val="nil"/>
              <w:bottom w:val="single" w:sz="8" w:space="0" w:color="4472C4"/>
              <w:right w:val="single" w:sz="8" w:space="0" w:color="4472C4"/>
            </w:tcBorders>
            <w:shd w:val="clear" w:color="auto" w:fill="4472C4"/>
            <w:tcMar>
              <w:top w:w="15" w:type="dxa"/>
              <w:left w:w="15" w:type="dxa"/>
              <w:bottom w:w="0" w:type="dxa"/>
              <w:right w:w="15" w:type="dxa"/>
            </w:tcMar>
            <w:vAlign w:val="center"/>
            <w:hideMark/>
          </w:tcPr>
          <w:p w14:paraId="1A0AADDD" w14:textId="77777777" w:rsidR="003B63B7" w:rsidRPr="003B63B7" w:rsidRDefault="003B63B7" w:rsidP="003B63B7">
            <w:r w:rsidRPr="003B63B7">
              <w:rPr>
                <w:b/>
                <w:bCs/>
              </w:rPr>
              <w:t>Service Provider</w:t>
            </w:r>
          </w:p>
        </w:tc>
      </w:tr>
      <w:tr w:rsidR="003B63B7" w:rsidRPr="003B63B7" w14:paraId="666B5126" w14:textId="77777777" w:rsidTr="003B63B7">
        <w:trPr>
          <w:trHeight w:val="444"/>
        </w:trPr>
        <w:tc>
          <w:tcPr>
            <w:tcW w:w="2994" w:type="dxa"/>
            <w:tcBorders>
              <w:top w:val="single" w:sz="8" w:space="0" w:color="4472C4"/>
              <w:left w:val="single" w:sz="8" w:space="0" w:color="4472C4"/>
              <w:bottom w:val="single" w:sz="8" w:space="0" w:color="4472C4"/>
              <w:right w:val="nil"/>
            </w:tcBorders>
            <w:shd w:val="clear" w:color="auto" w:fill="E9EBF5"/>
            <w:tcMar>
              <w:top w:w="15" w:type="dxa"/>
              <w:left w:w="15" w:type="dxa"/>
              <w:bottom w:w="0" w:type="dxa"/>
              <w:right w:w="15" w:type="dxa"/>
            </w:tcMar>
            <w:vAlign w:val="center"/>
            <w:hideMark/>
          </w:tcPr>
          <w:p w14:paraId="3123332A" w14:textId="77777777" w:rsidR="003B63B7" w:rsidRPr="003B63B7" w:rsidRDefault="003B63B7" w:rsidP="003B63B7">
            <w:r w:rsidRPr="003B63B7">
              <w:rPr>
                <w:b/>
                <w:bCs/>
              </w:rPr>
              <w:t xml:space="preserve">Tier </w:t>
            </w:r>
            <w:proofErr w:type="gramStart"/>
            <w:r w:rsidRPr="003B63B7">
              <w:rPr>
                <w:b/>
                <w:bCs/>
              </w:rPr>
              <w:t>1 :</w:t>
            </w:r>
            <w:proofErr w:type="gramEnd"/>
            <w:r w:rsidRPr="003B63B7">
              <w:rPr>
                <w:b/>
                <w:bCs/>
              </w:rPr>
              <w:t xml:space="preserve"> Community Level</w:t>
            </w:r>
          </w:p>
        </w:tc>
        <w:tc>
          <w:tcPr>
            <w:tcW w:w="5484" w:type="dxa"/>
            <w:tcBorders>
              <w:top w:val="single" w:sz="8" w:space="0" w:color="4472C4"/>
              <w:left w:val="nil"/>
              <w:bottom w:val="single" w:sz="8" w:space="0" w:color="4472C4"/>
              <w:right w:val="single" w:sz="8" w:space="0" w:color="4472C4"/>
            </w:tcBorders>
            <w:shd w:val="clear" w:color="auto" w:fill="E9EBF5"/>
            <w:tcMar>
              <w:top w:w="15" w:type="dxa"/>
              <w:left w:w="15" w:type="dxa"/>
              <w:bottom w:w="0" w:type="dxa"/>
              <w:right w:w="15" w:type="dxa"/>
            </w:tcMar>
            <w:vAlign w:val="center"/>
            <w:hideMark/>
          </w:tcPr>
          <w:p w14:paraId="2E6EA98D" w14:textId="77777777" w:rsidR="003B63B7" w:rsidRPr="003B63B7" w:rsidRDefault="003B63B7" w:rsidP="003B63B7">
            <w:proofErr w:type="spellStart"/>
            <w:r w:rsidRPr="003B63B7">
              <w:t>Domicilary</w:t>
            </w:r>
            <w:proofErr w:type="spellEnd"/>
            <w:r w:rsidRPr="003B63B7">
              <w:t xml:space="preserve"> services</w:t>
            </w:r>
            <w:r w:rsidRPr="003B63B7">
              <w:br/>
              <w:t>Satellite clinics</w:t>
            </w:r>
            <w:r w:rsidRPr="003B63B7">
              <w:br/>
              <w:t>Outreach services</w:t>
            </w:r>
            <w:r w:rsidRPr="003B63B7">
              <w:br/>
              <w:t>Community Clinics</w:t>
            </w:r>
          </w:p>
        </w:tc>
      </w:tr>
      <w:tr w:rsidR="003B63B7" w:rsidRPr="003B63B7" w14:paraId="16304391" w14:textId="77777777" w:rsidTr="003B63B7">
        <w:trPr>
          <w:trHeight w:val="444"/>
        </w:trPr>
        <w:tc>
          <w:tcPr>
            <w:tcW w:w="2994" w:type="dxa"/>
            <w:tcBorders>
              <w:top w:val="single" w:sz="8" w:space="0" w:color="4472C4"/>
              <w:left w:val="single" w:sz="8" w:space="0" w:color="4472C4"/>
              <w:bottom w:val="single" w:sz="8" w:space="0" w:color="4472C4"/>
              <w:right w:val="nil"/>
            </w:tcBorders>
            <w:shd w:val="clear" w:color="auto" w:fill="FFFFFF"/>
            <w:tcMar>
              <w:top w:w="15" w:type="dxa"/>
              <w:left w:w="15" w:type="dxa"/>
              <w:bottom w:w="0" w:type="dxa"/>
              <w:right w:w="15" w:type="dxa"/>
            </w:tcMar>
            <w:vAlign w:val="center"/>
            <w:hideMark/>
          </w:tcPr>
          <w:p w14:paraId="3E151138" w14:textId="77777777" w:rsidR="003B63B7" w:rsidRPr="003B63B7" w:rsidRDefault="003B63B7" w:rsidP="003B63B7">
            <w:r w:rsidRPr="003B63B7">
              <w:rPr>
                <w:b/>
                <w:bCs/>
              </w:rPr>
              <w:t xml:space="preserve">Tier </w:t>
            </w:r>
            <w:proofErr w:type="gramStart"/>
            <w:r w:rsidRPr="003B63B7">
              <w:rPr>
                <w:b/>
                <w:bCs/>
              </w:rPr>
              <w:t>2 :</w:t>
            </w:r>
            <w:proofErr w:type="gramEnd"/>
            <w:r w:rsidRPr="003B63B7">
              <w:rPr>
                <w:b/>
                <w:bCs/>
              </w:rPr>
              <w:t xml:space="preserve"> Union Level</w:t>
            </w:r>
          </w:p>
        </w:tc>
        <w:tc>
          <w:tcPr>
            <w:tcW w:w="5484" w:type="dxa"/>
            <w:tcBorders>
              <w:top w:val="single" w:sz="8" w:space="0" w:color="4472C4"/>
              <w:left w:val="nil"/>
              <w:bottom w:val="single" w:sz="8" w:space="0" w:color="4472C4"/>
              <w:right w:val="single" w:sz="8" w:space="0" w:color="4472C4"/>
            </w:tcBorders>
            <w:shd w:val="clear" w:color="auto" w:fill="FFFFFF"/>
            <w:tcMar>
              <w:top w:w="15" w:type="dxa"/>
              <w:left w:w="15" w:type="dxa"/>
              <w:bottom w:w="0" w:type="dxa"/>
              <w:right w:w="15" w:type="dxa"/>
            </w:tcMar>
            <w:vAlign w:val="center"/>
            <w:hideMark/>
          </w:tcPr>
          <w:p w14:paraId="49427932" w14:textId="77777777" w:rsidR="003B63B7" w:rsidRPr="003B63B7" w:rsidRDefault="003B63B7" w:rsidP="003B63B7">
            <w:r w:rsidRPr="003B63B7">
              <w:t>Health and Family Welfare Centers (FCWC)</w:t>
            </w:r>
            <w:r w:rsidRPr="003B63B7">
              <w:br/>
              <w:t>Sub-centers;</w:t>
            </w:r>
            <w:r w:rsidRPr="003B63B7">
              <w:br/>
              <w:t>Maternal and Child Welfare Centers (MCWC)</w:t>
            </w:r>
          </w:p>
        </w:tc>
      </w:tr>
      <w:tr w:rsidR="003B63B7" w:rsidRPr="003B63B7" w14:paraId="658B0B12" w14:textId="77777777" w:rsidTr="003B63B7">
        <w:trPr>
          <w:trHeight w:val="444"/>
        </w:trPr>
        <w:tc>
          <w:tcPr>
            <w:tcW w:w="2994" w:type="dxa"/>
            <w:tcBorders>
              <w:top w:val="single" w:sz="8" w:space="0" w:color="4472C4"/>
              <w:left w:val="single" w:sz="8" w:space="0" w:color="4472C4"/>
              <w:bottom w:val="single" w:sz="8" w:space="0" w:color="4472C4"/>
              <w:right w:val="nil"/>
            </w:tcBorders>
            <w:shd w:val="clear" w:color="auto" w:fill="E9EBF5"/>
            <w:tcMar>
              <w:top w:w="15" w:type="dxa"/>
              <w:left w:w="15" w:type="dxa"/>
              <w:bottom w:w="0" w:type="dxa"/>
              <w:right w:w="15" w:type="dxa"/>
            </w:tcMar>
            <w:vAlign w:val="center"/>
            <w:hideMark/>
          </w:tcPr>
          <w:p w14:paraId="549CC154" w14:textId="77777777" w:rsidR="003B63B7" w:rsidRPr="003B63B7" w:rsidRDefault="003B63B7" w:rsidP="003B63B7">
            <w:r w:rsidRPr="003B63B7">
              <w:rPr>
                <w:b/>
                <w:bCs/>
              </w:rPr>
              <w:t xml:space="preserve">Tier </w:t>
            </w:r>
            <w:proofErr w:type="gramStart"/>
            <w:r w:rsidRPr="003B63B7">
              <w:rPr>
                <w:b/>
                <w:bCs/>
              </w:rPr>
              <w:t>3 :</w:t>
            </w:r>
            <w:proofErr w:type="gramEnd"/>
            <w:r w:rsidRPr="003B63B7">
              <w:rPr>
                <w:b/>
                <w:bCs/>
              </w:rPr>
              <w:t xml:space="preserve"> Upazila Level</w:t>
            </w:r>
          </w:p>
        </w:tc>
        <w:tc>
          <w:tcPr>
            <w:tcW w:w="5484" w:type="dxa"/>
            <w:tcBorders>
              <w:top w:val="single" w:sz="8" w:space="0" w:color="4472C4"/>
              <w:left w:val="nil"/>
              <w:bottom w:val="single" w:sz="8" w:space="0" w:color="4472C4"/>
              <w:right w:val="single" w:sz="8" w:space="0" w:color="4472C4"/>
            </w:tcBorders>
            <w:shd w:val="clear" w:color="auto" w:fill="E9EBF5"/>
            <w:tcMar>
              <w:top w:w="15" w:type="dxa"/>
              <w:left w:w="15" w:type="dxa"/>
              <w:bottom w:w="0" w:type="dxa"/>
              <w:right w:w="15" w:type="dxa"/>
            </w:tcMar>
            <w:vAlign w:val="center"/>
            <w:hideMark/>
          </w:tcPr>
          <w:p w14:paraId="1CB1A170" w14:textId="77777777" w:rsidR="003B63B7" w:rsidRPr="003B63B7" w:rsidRDefault="003B63B7" w:rsidP="003B63B7">
            <w:r w:rsidRPr="003B63B7">
              <w:t>Upazila health complex (UHC)</w:t>
            </w:r>
            <w:r w:rsidRPr="003B63B7">
              <w:br/>
              <w:t>Maternal and Child Welfare Centers (MCWC)</w:t>
            </w:r>
          </w:p>
        </w:tc>
      </w:tr>
      <w:tr w:rsidR="003B63B7" w:rsidRPr="003B63B7" w14:paraId="4E69C9E2" w14:textId="77777777" w:rsidTr="003B63B7">
        <w:trPr>
          <w:trHeight w:val="444"/>
        </w:trPr>
        <w:tc>
          <w:tcPr>
            <w:tcW w:w="2994" w:type="dxa"/>
            <w:tcBorders>
              <w:top w:val="single" w:sz="8" w:space="0" w:color="4472C4"/>
              <w:left w:val="single" w:sz="8" w:space="0" w:color="4472C4"/>
              <w:bottom w:val="single" w:sz="8" w:space="0" w:color="4472C4"/>
              <w:right w:val="nil"/>
            </w:tcBorders>
            <w:shd w:val="clear" w:color="auto" w:fill="FFFFFF"/>
            <w:tcMar>
              <w:top w:w="15" w:type="dxa"/>
              <w:left w:w="15" w:type="dxa"/>
              <w:bottom w:w="0" w:type="dxa"/>
              <w:right w:w="15" w:type="dxa"/>
            </w:tcMar>
            <w:vAlign w:val="center"/>
            <w:hideMark/>
          </w:tcPr>
          <w:p w14:paraId="22349306" w14:textId="77777777" w:rsidR="003B63B7" w:rsidRPr="003B63B7" w:rsidRDefault="003B63B7" w:rsidP="003B63B7">
            <w:r w:rsidRPr="003B63B7">
              <w:rPr>
                <w:b/>
                <w:bCs/>
              </w:rPr>
              <w:t xml:space="preserve">Tier </w:t>
            </w:r>
            <w:proofErr w:type="gramStart"/>
            <w:r w:rsidRPr="003B63B7">
              <w:rPr>
                <w:b/>
                <w:bCs/>
              </w:rPr>
              <w:t>4 :</w:t>
            </w:r>
            <w:proofErr w:type="gramEnd"/>
            <w:r w:rsidRPr="003B63B7">
              <w:rPr>
                <w:b/>
                <w:bCs/>
              </w:rPr>
              <w:t xml:space="preserve"> District Level</w:t>
            </w:r>
          </w:p>
        </w:tc>
        <w:tc>
          <w:tcPr>
            <w:tcW w:w="5484" w:type="dxa"/>
            <w:tcBorders>
              <w:top w:val="single" w:sz="8" w:space="0" w:color="4472C4"/>
              <w:left w:val="nil"/>
              <w:bottom w:val="single" w:sz="8" w:space="0" w:color="4472C4"/>
              <w:right w:val="single" w:sz="8" w:space="0" w:color="4472C4"/>
            </w:tcBorders>
            <w:shd w:val="clear" w:color="auto" w:fill="FFFFFF"/>
            <w:tcMar>
              <w:top w:w="15" w:type="dxa"/>
              <w:left w:w="15" w:type="dxa"/>
              <w:bottom w:w="0" w:type="dxa"/>
              <w:right w:w="15" w:type="dxa"/>
            </w:tcMar>
            <w:vAlign w:val="center"/>
            <w:hideMark/>
          </w:tcPr>
          <w:p w14:paraId="55F90CB8" w14:textId="77777777" w:rsidR="003B63B7" w:rsidRPr="003B63B7" w:rsidRDefault="003B63B7" w:rsidP="003B63B7">
            <w:r w:rsidRPr="003B63B7">
              <w:t>District hospitals (DH)</w:t>
            </w:r>
            <w:r w:rsidRPr="003B63B7">
              <w:br/>
              <w:t>Maternal and Child Welfare Centers (MCWC)</w:t>
            </w:r>
          </w:p>
        </w:tc>
      </w:tr>
    </w:tbl>
    <w:p w14:paraId="682C2817" w14:textId="77777777" w:rsidR="003B63B7" w:rsidRPr="003B63B7" w:rsidRDefault="003B63B7" w:rsidP="003B63B7"/>
    <w:p w14:paraId="45945AB3" w14:textId="77777777" w:rsidR="00AC3674" w:rsidRPr="004D407A" w:rsidRDefault="00AC3674" w:rsidP="00AC3674">
      <w:pPr>
        <w:pStyle w:val="BodyText"/>
        <w:rPr>
          <w:rFonts w:ascii="Arial" w:hAnsi="Arial"/>
        </w:rPr>
      </w:pPr>
      <w:r w:rsidRPr="004D407A">
        <w:rPr>
          <w:rFonts w:ascii="Arial" w:hAnsi="Arial"/>
        </w:rPr>
        <w:lastRenderedPageBreak/>
        <w:t xml:space="preserve">Family Planning services at the domiciliary level are provided by the Family Welfare Assistants (FWAs) through the household visits and include registration of eligible couples, providing counselling and distribution of contraceptives. Maternal and child services at the community level </w:t>
      </w:r>
      <w:proofErr w:type="gramStart"/>
      <w:r w:rsidRPr="004D407A">
        <w:rPr>
          <w:rFonts w:ascii="Arial" w:hAnsi="Arial"/>
        </w:rPr>
        <w:t>are</w:t>
      </w:r>
      <w:proofErr w:type="gramEnd"/>
      <w:r w:rsidRPr="004D407A">
        <w:rPr>
          <w:rFonts w:ascii="Arial" w:hAnsi="Arial"/>
        </w:rPr>
        <w:t xml:space="preserve"> also provided through the approximately 30,000 Satellite Clinics (SC), which are organized every month to cover rural population with the MCH services. </w:t>
      </w:r>
    </w:p>
    <w:p w14:paraId="67685D4A" w14:textId="77777777" w:rsidR="00AC3674" w:rsidRPr="004D407A" w:rsidRDefault="00AC3674" w:rsidP="00AC3674">
      <w:pPr>
        <w:pStyle w:val="myHeading1"/>
        <w:rPr>
          <w:color w:val="auto"/>
        </w:rPr>
      </w:pPr>
      <w:r w:rsidRPr="004D407A">
        <w:rPr>
          <w:color w:val="auto"/>
        </w:rPr>
        <w:t>Community Level Facilities</w:t>
      </w:r>
    </w:p>
    <w:p w14:paraId="29CFDF0A" w14:textId="27671DC7" w:rsidR="00AC3674" w:rsidRPr="004D407A" w:rsidRDefault="00AC3674" w:rsidP="00AC3674">
      <w:pPr>
        <w:pStyle w:val="BodyText"/>
      </w:pPr>
      <w:r w:rsidRPr="004D407A">
        <w:rPr>
          <w:rFonts w:ascii="Arial" w:hAnsi="Arial"/>
        </w:rPr>
        <w:t xml:space="preserve">At the community level domiciliary visits are provided through the Satellite clinics and outreach. The field staff both from DGHS and GHFP conduct house-to-house visits in the community for providing services to the patients in their respective geographic area. Satellite clinics (8 in each union per month) and EPI outreach services (24 per months in each union) are providing designated services through health and family planning field workers. Community Clinics cover 6,000 people to provide health care services to the </w:t>
      </w:r>
      <w:r w:rsidR="001339EE" w:rsidRPr="004D407A">
        <w:rPr>
          <w:rFonts w:ascii="Arial" w:hAnsi="Arial"/>
        </w:rPr>
        <w:t>doorstep</w:t>
      </w:r>
      <w:r w:rsidRPr="004D407A">
        <w:rPr>
          <w:rFonts w:ascii="Arial" w:hAnsi="Arial"/>
        </w:rPr>
        <w:t xml:space="preserve"> of the community. Each Community Clinic is served by Community Health Care Provider (CHCP0, a Health Assistant (HA) and a Family Welfare Assistants (FWAs).</w:t>
      </w:r>
    </w:p>
    <w:p w14:paraId="26AC3F7A" w14:textId="77777777" w:rsidR="00AC3674" w:rsidRPr="004D407A" w:rsidRDefault="00AC3674" w:rsidP="00AC3674">
      <w:pPr>
        <w:pStyle w:val="myHeading1"/>
        <w:rPr>
          <w:color w:val="auto"/>
        </w:rPr>
      </w:pPr>
      <w:r w:rsidRPr="004D407A">
        <w:rPr>
          <w:color w:val="auto"/>
        </w:rPr>
        <w:t>Union Level Facilities</w:t>
      </w:r>
    </w:p>
    <w:p w14:paraId="390BF1AE" w14:textId="74D5B61F" w:rsidR="00AC3674" w:rsidRPr="004D407A" w:rsidRDefault="00AC3674" w:rsidP="00AC3674">
      <w:pPr>
        <w:pStyle w:val="BodyText"/>
        <w:rPr>
          <w:rFonts w:ascii="Arial" w:hAnsi="Arial"/>
          <w:lang w:eastAsia="zh-CN"/>
        </w:rPr>
      </w:pPr>
      <w:r w:rsidRPr="004D407A">
        <w:rPr>
          <w:rFonts w:ascii="Arial" w:hAnsi="Arial"/>
          <w:lang w:eastAsia="zh-CN"/>
        </w:rPr>
        <w:t xml:space="preserve">Union level services are provided through the Union Health and Welfare </w:t>
      </w:r>
      <w:r w:rsidR="00E127E2" w:rsidRPr="004D407A">
        <w:rPr>
          <w:rFonts w:ascii="Arial" w:hAnsi="Arial"/>
          <w:lang w:eastAsia="zh-CN"/>
        </w:rPr>
        <w:t>Centers</w:t>
      </w:r>
      <w:r w:rsidRPr="004D407A">
        <w:rPr>
          <w:rFonts w:ascii="Arial" w:hAnsi="Arial"/>
          <w:lang w:eastAsia="zh-CN"/>
        </w:rPr>
        <w:t xml:space="preserve"> and Maternal and Child Welfare </w:t>
      </w:r>
      <w:r w:rsidR="00E127E2" w:rsidRPr="004D407A">
        <w:rPr>
          <w:rFonts w:ascii="Arial" w:hAnsi="Arial"/>
          <w:lang w:eastAsia="zh-CN"/>
        </w:rPr>
        <w:t>Centers</w:t>
      </w:r>
      <w:r w:rsidRPr="004D407A">
        <w:rPr>
          <w:rFonts w:ascii="Arial" w:hAnsi="Arial"/>
          <w:lang w:eastAsia="zh-CN"/>
        </w:rPr>
        <w:t xml:space="preserve"> These facilities are located at the union level and are staffed with a Doctor, a Family Welfare Visitor (FWV); a Sub-Assistant Community Medical Officer (SACMO) and a </w:t>
      </w:r>
      <w:proofErr w:type="gramStart"/>
      <w:r w:rsidRPr="004D407A">
        <w:rPr>
          <w:rFonts w:ascii="Arial" w:hAnsi="Arial"/>
          <w:lang w:eastAsia="zh-CN"/>
        </w:rPr>
        <w:t>Pharmacist</w:t>
      </w:r>
      <w:proofErr w:type="gramEnd"/>
      <w:r w:rsidRPr="004D407A">
        <w:rPr>
          <w:rFonts w:ascii="Arial" w:hAnsi="Arial"/>
          <w:lang w:eastAsia="zh-CN"/>
        </w:rPr>
        <w:t xml:space="preserve">. There is provision of residential accommodation for SACMO and FWVs and office space for the Family Planning Inspector (FPI) in the upgraded UHFWCs. </w:t>
      </w:r>
    </w:p>
    <w:p w14:paraId="1A436932" w14:textId="77777777" w:rsidR="00AC3674" w:rsidRPr="004D407A" w:rsidRDefault="00AC3674" w:rsidP="00304372">
      <w:pPr>
        <w:pStyle w:val="myHeading1"/>
        <w:rPr>
          <w:color w:val="auto"/>
        </w:rPr>
      </w:pPr>
      <w:r w:rsidRPr="004D407A">
        <w:rPr>
          <w:color w:val="auto"/>
        </w:rPr>
        <w:t>Upazila Leve Facilities</w:t>
      </w:r>
    </w:p>
    <w:p w14:paraId="2727537F" w14:textId="6F821434" w:rsidR="00AC3674" w:rsidRPr="004D407A" w:rsidRDefault="00AC3674" w:rsidP="00AC3674">
      <w:pPr>
        <w:pStyle w:val="BodyText"/>
        <w:rPr>
          <w:rFonts w:ascii="Arial" w:hAnsi="Arial"/>
          <w:lang w:eastAsia="zh-CN"/>
        </w:rPr>
      </w:pPr>
      <w:r w:rsidRPr="004D407A">
        <w:rPr>
          <w:rFonts w:ascii="Arial" w:hAnsi="Arial"/>
          <w:lang w:eastAsia="zh-CN"/>
        </w:rPr>
        <w:t xml:space="preserve">The </w:t>
      </w:r>
      <w:r w:rsidR="00D470F3" w:rsidRPr="004D407A">
        <w:rPr>
          <w:rFonts w:ascii="Arial" w:hAnsi="Arial"/>
          <w:lang w:eastAsia="zh-CN"/>
        </w:rPr>
        <w:t xml:space="preserve">health </w:t>
      </w:r>
      <w:r w:rsidRPr="004D407A">
        <w:rPr>
          <w:rFonts w:ascii="Arial" w:hAnsi="Arial"/>
          <w:lang w:eastAsia="zh-CN"/>
        </w:rPr>
        <w:t>services at the Upazila level are provided through the Upazila Health Complexes (UHC) and Maternal and Child Wel</w:t>
      </w:r>
      <w:r w:rsidR="00D470F3" w:rsidRPr="004D407A">
        <w:rPr>
          <w:rFonts w:ascii="Arial" w:hAnsi="Arial"/>
          <w:lang w:eastAsia="zh-CN"/>
        </w:rPr>
        <w:t>fare</w:t>
      </w:r>
      <w:r w:rsidRPr="004D407A">
        <w:rPr>
          <w:rFonts w:ascii="Arial" w:hAnsi="Arial"/>
          <w:lang w:eastAsia="zh-CN"/>
        </w:rPr>
        <w:t xml:space="preserve"> </w:t>
      </w:r>
      <w:r w:rsidR="00F34FF1" w:rsidRPr="004D407A">
        <w:rPr>
          <w:rFonts w:ascii="Arial" w:hAnsi="Arial"/>
          <w:lang w:eastAsia="zh-CN"/>
        </w:rPr>
        <w:t>Centers</w:t>
      </w:r>
      <w:r w:rsidRPr="004D407A">
        <w:rPr>
          <w:rFonts w:ascii="Arial" w:hAnsi="Arial"/>
          <w:lang w:eastAsia="zh-CN"/>
        </w:rPr>
        <w:t xml:space="preserve"> (MCWCs). The UHC is the first level referral center established at Upazila and providing both in- and out-patient services to the population. UHC</w:t>
      </w:r>
      <w:r w:rsidR="00D470F3" w:rsidRPr="004D407A">
        <w:rPr>
          <w:rFonts w:ascii="Arial" w:hAnsi="Arial"/>
          <w:lang w:eastAsia="zh-CN"/>
        </w:rPr>
        <w:t>s are mostly 50 to 100</w:t>
      </w:r>
      <w:r w:rsidRPr="004D407A">
        <w:rPr>
          <w:rFonts w:ascii="Arial" w:hAnsi="Arial"/>
          <w:lang w:eastAsia="zh-CN"/>
        </w:rPr>
        <w:t xml:space="preserve"> bedded facilities and are staffed with: Upazila Health and Family Planning Officers (UHFPO), Resident Medical Officers (RMO), Medical Officers (MOs), </w:t>
      </w:r>
      <w:r w:rsidR="00D470F3" w:rsidRPr="004D407A">
        <w:rPr>
          <w:rFonts w:ascii="Arial" w:hAnsi="Arial"/>
          <w:lang w:eastAsia="zh-CN"/>
        </w:rPr>
        <w:t xml:space="preserve">Medical Office Disease Control (MODC), </w:t>
      </w:r>
      <w:r w:rsidRPr="004D407A">
        <w:rPr>
          <w:rFonts w:ascii="Arial" w:hAnsi="Arial"/>
          <w:lang w:eastAsia="zh-CN"/>
        </w:rPr>
        <w:t xml:space="preserve">Medical Officer-MCHFP, Upazila Family Planning Officers (UFPO), Specialist Doctors (consultants), Staff Nurses, Lab. Technicians and </w:t>
      </w:r>
      <w:proofErr w:type="gramStart"/>
      <w:r w:rsidR="00D470F3" w:rsidRPr="004D407A">
        <w:rPr>
          <w:rFonts w:ascii="Arial" w:hAnsi="Arial"/>
          <w:lang w:eastAsia="zh-CN"/>
        </w:rPr>
        <w:t xml:space="preserve">designated </w:t>
      </w:r>
      <w:r w:rsidRPr="004D407A">
        <w:rPr>
          <w:rFonts w:ascii="Arial" w:hAnsi="Arial"/>
          <w:lang w:eastAsia="zh-CN"/>
        </w:rPr>
        <w:t xml:space="preserve"> field</w:t>
      </w:r>
      <w:proofErr w:type="gramEnd"/>
      <w:r w:rsidRPr="004D407A">
        <w:rPr>
          <w:rFonts w:ascii="Arial" w:hAnsi="Arial"/>
          <w:lang w:eastAsia="zh-CN"/>
        </w:rPr>
        <w:t xml:space="preserve"> staff. </w:t>
      </w:r>
    </w:p>
    <w:p w14:paraId="2ABAE8AF" w14:textId="77777777" w:rsidR="00AC3674" w:rsidRPr="004D407A" w:rsidRDefault="00AC3674" w:rsidP="00AC3674">
      <w:pPr>
        <w:pStyle w:val="myHeading1"/>
        <w:rPr>
          <w:color w:val="auto"/>
        </w:rPr>
      </w:pPr>
      <w:r w:rsidRPr="004D407A">
        <w:rPr>
          <w:color w:val="auto"/>
        </w:rPr>
        <w:t>District Level Facilities</w:t>
      </w:r>
    </w:p>
    <w:p w14:paraId="5F7D483B" w14:textId="6B63FAD4" w:rsidR="00AC3674" w:rsidRPr="004D407A" w:rsidRDefault="00AC3674" w:rsidP="00620E24">
      <w:pPr>
        <w:pStyle w:val="BodyText"/>
        <w:rPr>
          <w:rFonts w:ascii="Arial" w:hAnsi="Arial"/>
          <w:lang w:eastAsia="zh-CN"/>
        </w:rPr>
      </w:pPr>
      <w:r w:rsidRPr="004D407A">
        <w:rPr>
          <w:rFonts w:ascii="Arial" w:hAnsi="Arial"/>
          <w:lang w:eastAsia="zh-CN"/>
        </w:rPr>
        <w:t xml:space="preserve">Out of 64 districts 59 have District Hospitals and these are in the process of being upgraded from 100 to 200-250 bed hospitals in phases, with provision of trained manpower and necessary equipment. District hospitals are specialized health care facilities with consultants from relevant disciplines to provide services. The district hospitals will serve as the secondary referral </w:t>
      </w:r>
      <w:r w:rsidR="00620E24" w:rsidRPr="004D407A">
        <w:rPr>
          <w:rFonts w:ascii="Arial" w:hAnsi="Arial"/>
          <w:lang w:eastAsia="zh-CN"/>
        </w:rPr>
        <w:t>center</w:t>
      </w:r>
      <w:r w:rsidRPr="004D407A">
        <w:rPr>
          <w:rFonts w:ascii="Arial" w:hAnsi="Arial"/>
          <w:lang w:eastAsia="zh-CN"/>
        </w:rPr>
        <w:t xml:space="preserve">. Maternal and Child Welfare </w:t>
      </w:r>
      <w:r w:rsidR="00AA540A" w:rsidRPr="004D407A">
        <w:rPr>
          <w:rFonts w:ascii="Arial" w:hAnsi="Arial"/>
          <w:lang w:eastAsia="zh-CN"/>
        </w:rPr>
        <w:t>Centers</w:t>
      </w:r>
      <w:r w:rsidRPr="004D407A">
        <w:rPr>
          <w:rFonts w:ascii="Arial" w:hAnsi="Arial"/>
          <w:lang w:eastAsia="zh-CN"/>
        </w:rPr>
        <w:t xml:space="preserve"> (MCWCs) in the districts are providing maternal, neonatal, child and family planning services. These facilities are staffed with trained Medical Officers and Family Welfare Visitors (FWVs).</w:t>
      </w:r>
    </w:p>
    <w:p w14:paraId="522312C6" w14:textId="79DA0AB6" w:rsidR="00302AAA" w:rsidRPr="004D407A" w:rsidRDefault="00302AAA" w:rsidP="002C0196">
      <w:pPr>
        <w:pStyle w:val="Heading4"/>
        <w:rPr>
          <w:color w:val="auto"/>
        </w:rPr>
      </w:pPr>
      <w:bookmarkStart w:id="66" w:name="_Toc111910232"/>
      <w:bookmarkStart w:id="67" w:name="_Toc489491491"/>
      <w:r w:rsidRPr="004D407A">
        <w:rPr>
          <w:color w:val="auto"/>
        </w:rPr>
        <w:t>Private Sector</w:t>
      </w:r>
      <w:bookmarkEnd w:id="66"/>
    </w:p>
    <w:p w14:paraId="55F8CECA" w14:textId="1EB87BC8" w:rsidR="006D51B1" w:rsidRPr="004D407A" w:rsidRDefault="00302AAA" w:rsidP="00302AAA">
      <w:pPr>
        <w:pStyle w:val="BodyText"/>
      </w:pPr>
      <w:r w:rsidRPr="004D407A">
        <w:t>Health service delivery of the country is significantly contributed by the private</w:t>
      </w:r>
      <w:r w:rsidR="00316E44" w:rsidRPr="004D407A">
        <w:t xml:space="preserve"> </w:t>
      </w:r>
      <w:r w:rsidR="00CC52C1" w:rsidRPr="004D407A">
        <w:t>health service providers</w:t>
      </w:r>
      <w:r w:rsidRPr="004D407A">
        <w:t xml:space="preserve">, </w:t>
      </w:r>
      <w:proofErr w:type="gramStart"/>
      <w:r w:rsidRPr="004D407A">
        <w:t>associations</w:t>
      </w:r>
      <w:proofErr w:type="gramEnd"/>
      <w:r w:rsidRPr="004D407A">
        <w:t xml:space="preserve"> and other non-government organizations. </w:t>
      </w:r>
      <w:bookmarkStart w:id="68" w:name="_Hlk103950615"/>
      <w:r w:rsidR="006D51B1" w:rsidRPr="004D407A">
        <w:t xml:space="preserve">The number of private hospitals and clinics and diagnostic centers registered at DGHS has significantly increased over the lats several years (see </w:t>
      </w:r>
      <w:r w:rsidR="006D51B1" w:rsidRPr="004D407A">
        <w:fldChar w:fldCharType="begin"/>
      </w:r>
      <w:r w:rsidR="006D51B1" w:rsidRPr="004D407A">
        <w:instrText xml:space="preserve"> REF _Ref104104310 \h </w:instrText>
      </w:r>
      <w:r w:rsidR="004D407A">
        <w:instrText xml:space="preserve"> \* MERGEFORMAT </w:instrText>
      </w:r>
      <w:r w:rsidR="006D51B1" w:rsidRPr="004D407A">
        <w:fldChar w:fldCharType="separate"/>
      </w:r>
      <w:r w:rsidR="00D80429" w:rsidRPr="004D407A">
        <w:t xml:space="preserve">Figure </w:t>
      </w:r>
      <w:r w:rsidR="00D80429" w:rsidRPr="004D407A">
        <w:rPr>
          <w:noProof/>
        </w:rPr>
        <w:t>6</w:t>
      </w:r>
      <w:r w:rsidR="006D51B1" w:rsidRPr="004D407A">
        <w:fldChar w:fldCharType="end"/>
      </w:r>
      <w:r w:rsidR="006D51B1" w:rsidRPr="004D407A">
        <w:t>)</w:t>
      </w:r>
    </w:p>
    <w:p w14:paraId="76344402" w14:textId="39CE27A5" w:rsidR="006D51B1" w:rsidRPr="004D407A" w:rsidRDefault="006D51B1" w:rsidP="006D51B1">
      <w:pPr>
        <w:pStyle w:val="Caption"/>
        <w:rPr>
          <w:color w:val="auto"/>
        </w:rPr>
      </w:pPr>
      <w:bookmarkStart w:id="69" w:name="_Ref104104310"/>
      <w:bookmarkStart w:id="70" w:name="_Toc111912745"/>
      <w:r w:rsidRPr="004D407A">
        <w:rPr>
          <w:color w:val="auto"/>
        </w:rPr>
        <w:lastRenderedPageBreak/>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6</w:t>
      </w:r>
      <w:r w:rsidR="00E21383" w:rsidRPr="004D407A">
        <w:rPr>
          <w:noProof/>
          <w:color w:val="auto"/>
        </w:rPr>
        <w:fldChar w:fldCharType="end"/>
      </w:r>
      <w:bookmarkEnd w:id="69"/>
      <w:r w:rsidRPr="004D407A">
        <w:rPr>
          <w:color w:val="auto"/>
        </w:rPr>
        <w:t xml:space="preserve">: Number of private hospitals, </w:t>
      </w:r>
      <w:proofErr w:type="gramStart"/>
      <w:r w:rsidRPr="004D407A">
        <w:rPr>
          <w:color w:val="auto"/>
        </w:rPr>
        <w:t>clinics</w:t>
      </w:r>
      <w:proofErr w:type="gramEnd"/>
      <w:r w:rsidRPr="004D407A">
        <w:rPr>
          <w:color w:val="auto"/>
        </w:rPr>
        <w:t xml:space="preserve"> and diagnostic centers in 2013 and 2021</w:t>
      </w:r>
      <w:bookmarkEnd w:id="70"/>
    </w:p>
    <w:p w14:paraId="0E2F9B1B" w14:textId="7D20C246" w:rsidR="00F16B39" w:rsidRPr="004D407A" w:rsidRDefault="00F16B39" w:rsidP="00F16B39">
      <w:pPr>
        <w:spacing w:after="0" w:line="240" w:lineRule="auto"/>
      </w:pPr>
      <w:r w:rsidRPr="004D407A">
        <w:rPr>
          <w:noProof/>
        </w:rPr>
        <w:drawing>
          <wp:inline distT="0" distB="0" distL="0" distR="0" wp14:anchorId="6CC9E8F2" wp14:editId="18FA6CF3">
            <wp:extent cx="5400714" cy="561979"/>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714" cy="561979"/>
                    </a:xfrm>
                    <a:prstGeom prst="rect">
                      <a:avLst/>
                    </a:prstGeom>
                  </pic:spPr>
                </pic:pic>
              </a:graphicData>
            </a:graphic>
          </wp:inline>
        </w:drawing>
      </w:r>
    </w:p>
    <w:p w14:paraId="2F1CC12F" w14:textId="593CEDE0" w:rsidR="00302AAA" w:rsidRPr="004D407A" w:rsidRDefault="006D51B1" w:rsidP="006D51B1">
      <w:pPr>
        <w:pStyle w:val="BodyText"/>
        <w:rPr>
          <w:rFonts w:ascii="Arial" w:hAnsi="Arial"/>
          <w:lang w:eastAsia="zh-CN"/>
        </w:rPr>
      </w:pPr>
      <w:r w:rsidRPr="004D407A">
        <w:rPr>
          <w:rFonts w:ascii="Arial" w:hAnsi="Arial"/>
          <w:lang w:eastAsia="zh-CN"/>
        </w:rPr>
        <w:t xml:space="preserve">During the last eight </w:t>
      </w:r>
      <w:r w:rsidR="00D470F3" w:rsidRPr="004D407A">
        <w:rPr>
          <w:rFonts w:ascii="Arial" w:hAnsi="Arial"/>
          <w:lang w:eastAsia="zh-CN"/>
        </w:rPr>
        <w:t>y</w:t>
      </w:r>
      <w:r w:rsidRPr="004D407A">
        <w:rPr>
          <w:rFonts w:ascii="Arial" w:hAnsi="Arial"/>
          <w:lang w:eastAsia="zh-CN"/>
        </w:rPr>
        <w:t>ears</w:t>
      </w:r>
      <w:r w:rsidR="00CA2F47" w:rsidRPr="004D407A">
        <w:rPr>
          <w:rFonts w:ascii="Arial" w:hAnsi="Arial"/>
          <w:lang w:eastAsia="zh-CN"/>
        </w:rPr>
        <w:t>,</w:t>
      </w:r>
      <w:r w:rsidRPr="004D407A">
        <w:rPr>
          <w:rFonts w:ascii="Arial" w:hAnsi="Arial"/>
          <w:lang w:eastAsia="zh-CN"/>
        </w:rPr>
        <w:t xml:space="preserve"> the number of hospitals and clinics registered at DGHS increased by 60% (from 3,487 in 2013 to 6,422 in 2021) and the number of private diagnostic clinics increased by 48% during the same </w:t>
      </w:r>
      <w:r w:rsidR="00723041" w:rsidRPr="004D407A">
        <w:rPr>
          <w:rFonts w:ascii="Arial" w:hAnsi="Arial"/>
          <w:lang w:eastAsia="zh-CN"/>
        </w:rPr>
        <w:t>period</w:t>
      </w:r>
      <w:r w:rsidRPr="004D407A">
        <w:rPr>
          <w:rFonts w:ascii="Arial" w:hAnsi="Arial"/>
          <w:lang w:eastAsia="zh-CN"/>
        </w:rPr>
        <w:t xml:space="preserve"> (from 6,422 to 9,529).</w:t>
      </w:r>
      <w:bookmarkEnd w:id="68"/>
      <w:r w:rsidRPr="004D407A">
        <w:rPr>
          <w:rFonts w:ascii="Arial" w:hAnsi="Arial"/>
          <w:lang w:eastAsia="zh-CN"/>
        </w:rPr>
        <w:t xml:space="preserve"> </w:t>
      </w:r>
    </w:p>
    <w:p w14:paraId="3CD9DEBB" w14:textId="2F552333" w:rsidR="00302AAA" w:rsidRPr="004D407A" w:rsidRDefault="00302AAA" w:rsidP="00302AAA">
      <w:pPr>
        <w:pStyle w:val="BodyText"/>
      </w:pPr>
      <w:r w:rsidRPr="004D407A">
        <w:rPr>
          <w:rFonts w:ascii="Arial" w:hAnsi="Arial"/>
          <w:lang w:eastAsia="zh-CN"/>
        </w:rPr>
        <w:t>About 75% of rural and 84% in urban population depend on private, small, informal health-care service providers who are mostly semi-skilled with no professional training</w:t>
      </w:r>
      <w:r w:rsidRPr="004D407A">
        <w:rPr>
          <w:vertAlign w:val="superscript"/>
        </w:rPr>
        <w:footnoteReference w:id="11"/>
      </w:r>
      <w:r w:rsidRPr="004D407A">
        <w:t xml:space="preserve">. </w:t>
      </w:r>
      <w:r w:rsidRPr="004D407A">
        <w:rPr>
          <w:rFonts w:ascii="Arial" w:hAnsi="Arial"/>
          <w:lang w:eastAsia="zh-CN"/>
        </w:rPr>
        <w:t>In Bangladesh, 13% of treatment-seekers use government services, 27% use private/ NGO services, and 60% use unqualified services</w:t>
      </w:r>
      <w:r w:rsidRPr="004D407A">
        <w:t>.</w:t>
      </w:r>
      <w:r w:rsidRPr="004D407A">
        <w:rPr>
          <w:vertAlign w:val="superscript"/>
        </w:rPr>
        <w:footnoteReference w:id="12"/>
      </w:r>
      <w:r w:rsidRPr="004D407A">
        <w:t xml:space="preserve"> </w:t>
      </w:r>
    </w:p>
    <w:p w14:paraId="6448E449" w14:textId="001713B8" w:rsidR="006006C9" w:rsidRPr="004D407A" w:rsidRDefault="006006C9" w:rsidP="006006C9">
      <w:pPr>
        <w:pStyle w:val="Heading3"/>
        <w:rPr>
          <w:color w:val="auto"/>
        </w:rPr>
      </w:pPr>
      <w:bookmarkStart w:id="71" w:name="_Toc489491492"/>
      <w:bookmarkStart w:id="72" w:name="_Toc111910233"/>
      <w:bookmarkStart w:id="73" w:name="_Hlk102032169"/>
      <w:bookmarkEnd w:id="49"/>
      <w:bookmarkEnd w:id="67"/>
      <w:r w:rsidRPr="004D407A">
        <w:rPr>
          <w:color w:val="auto"/>
        </w:rPr>
        <w:t>Health workforce</w:t>
      </w:r>
      <w:bookmarkEnd w:id="71"/>
      <w:bookmarkEnd w:id="72"/>
    </w:p>
    <w:p w14:paraId="1AE86B13" w14:textId="5A7316A7" w:rsidR="00B32C5F" w:rsidRPr="004D407A" w:rsidRDefault="00B32C5F" w:rsidP="00B32C5F">
      <w:pPr>
        <w:pStyle w:val="Heading4"/>
        <w:rPr>
          <w:color w:val="auto"/>
        </w:rPr>
      </w:pPr>
      <w:bookmarkStart w:id="74" w:name="_Toc489491493"/>
      <w:bookmarkStart w:id="75" w:name="_Toc111910234"/>
      <w:r w:rsidRPr="004D407A">
        <w:rPr>
          <w:color w:val="auto"/>
        </w:rPr>
        <w:t>Overview</w:t>
      </w:r>
      <w:bookmarkEnd w:id="74"/>
      <w:bookmarkEnd w:id="75"/>
    </w:p>
    <w:p w14:paraId="57F58DA3" w14:textId="117E8C76" w:rsidR="00F81B45" w:rsidRPr="004D407A" w:rsidRDefault="00F81B45" w:rsidP="00F81B45">
      <w:pPr>
        <w:pStyle w:val="BodyText"/>
        <w:rPr>
          <w:rFonts w:ascii="Arial" w:hAnsi="Arial"/>
        </w:rPr>
      </w:pPr>
      <w:r w:rsidRPr="004D407A">
        <w:rPr>
          <w:rFonts w:ascii="Arial" w:hAnsi="Arial"/>
        </w:rPr>
        <w:t>In 2015</w:t>
      </w:r>
      <w:r w:rsidR="00CA2F47" w:rsidRPr="004D407A">
        <w:rPr>
          <w:rFonts w:ascii="Arial" w:hAnsi="Arial"/>
        </w:rPr>
        <w:t>,</w:t>
      </w:r>
      <w:r w:rsidRPr="004D407A">
        <w:rPr>
          <w:rFonts w:ascii="Arial" w:hAnsi="Arial"/>
        </w:rPr>
        <w:t xml:space="preserve"> the Government of Bangladesh elaborated “Bangladesh Health Workforce Strategy” to support the health sector in achievement its strategic objectives. </w:t>
      </w:r>
    </w:p>
    <w:p w14:paraId="02479D21" w14:textId="7372EDCF" w:rsidR="00F81B45" w:rsidRPr="004D407A" w:rsidRDefault="00F81B45" w:rsidP="00F81B45">
      <w:pPr>
        <w:pStyle w:val="BodyText"/>
        <w:rPr>
          <w:rFonts w:ascii="Arial" w:hAnsi="Arial"/>
        </w:rPr>
      </w:pPr>
      <w:r w:rsidRPr="004D407A">
        <w:rPr>
          <w:rFonts w:ascii="Arial" w:hAnsi="Arial"/>
        </w:rPr>
        <w:t>Administration Wing of the MOHFW Secretariat is primarily responsible for most of the personnel management functions such as post creation, recruitment, selection, deployment (</w:t>
      </w:r>
      <w:r w:rsidR="00D470F3" w:rsidRPr="004D407A">
        <w:rPr>
          <w:rFonts w:ascii="Arial" w:hAnsi="Arial"/>
        </w:rPr>
        <w:t>e.g.,</w:t>
      </w:r>
      <w:r w:rsidRPr="004D407A">
        <w:rPr>
          <w:rFonts w:ascii="Arial" w:hAnsi="Arial"/>
        </w:rPr>
        <w:t xml:space="preserve"> transfer, posting, and deputation), leave and promotions. The </w:t>
      </w:r>
      <w:r w:rsidR="00D470F3" w:rsidRPr="004D407A">
        <w:rPr>
          <w:rFonts w:ascii="Arial" w:hAnsi="Arial"/>
        </w:rPr>
        <w:t xml:space="preserve">HRM </w:t>
      </w:r>
      <w:r w:rsidRPr="004D407A">
        <w:rPr>
          <w:rFonts w:ascii="Arial" w:hAnsi="Arial"/>
        </w:rPr>
        <w:t xml:space="preserve">Unit </w:t>
      </w:r>
      <w:r w:rsidR="00D470F3" w:rsidRPr="004D407A">
        <w:rPr>
          <w:rFonts w:ascii="Arial" w:hAnsi="Arial"/>
        </w:rPr>
        <w:t xml:space="preserve">of the </w:t>
      </w:r>
      <w:proofErr w:type="spellStart"/>
      <w:r w:rsidR="00D470F3" w:rsidRPr="004D407A">
        <w:rPr>
          <w:rFonts w:ascii="Arial" w:hAnsi="Arial"/>
        </w:rPr>
        <w:t>MoHFW</w:t>
      </w:r>
      <w:proofErr w:type="spellEnd"/>
      <w:r w:rsidR="00D470F3" w:rsidRPr="004D407A">
        <w:rPr>
          <w:rFonts w:ascii="Arial" w:hAnsi="Arial"/>
        </w:rPr>
        <w:t xml:space="preserve"> </w:t>
      </w:r>
      <w:r w:rsidRPr="004D407A">
        <w:rPr>
          <w:rFonts w:ascii="Arial" w:hAnsi="Arial"/>
        </w:rPr>
        <w:t xml:space="preserve">provides health workforce policy, plan and strategy formulation support to the Ministry including HW data and information generation. </w:t>
      </w:r>
    </w:p>
    <w:p w14:paraId="76DC37C5" w14:textId="1063B895" w:rsidR="00304372" w:rsidRPr="004D407A" w:rsidRDefault="00F81B45" w:rsidP="00F81B45">
      <w:pPr>
        <w:pStyle w:val="BodyText"/>
      </w:pPr>
      <w:r w:rsidRPr="004D407A">
        <w:rPr>
          <w:rFonts w:ascii="Arial" w:hAnsi="Arial"/>
        </w:rPr>
        <w:t>Healthcare services in Bangladesh are provided by different categories of workforce who can be divided under different sectors such as public, private (both profit and non-profit), NGOs, associations and informal sectors (</w:t>
      </w:r>
      <w:proofErr w:type="gramStart"/>
      <w:r w:rsidRPr="004D407A">
        <w:rPr>
          <w:rFonts w:ascii="Arial" w:hAnsi="Arial"/>
        </w:rPr>
        <w:t>e.g.</w:t>
      </w:r>
      <w:proofErr w:type="gramEnd"/>
      <w:r w:rsidRPr="004D407A">
        <w:rPr>
          <w:rFonts w:ascii="Arial" w:hAnsi="Arial"/>
        </w:rPr>
        <w:t xml:space="preserve"> ‘</w:t>
      </w:r>
      <w:proofErr w:type="spellStart"/>
      <w:r w:rsidRPr="004D407A">
        <w:rPr>
          <w:rFonts w:ascii="Arial" w:hAnsi="Arial"/>
        </w:rPr>
        <w:t>kobiraj</w:t>
      </w:r>
      <w:proofErr w:type="spellEnd"/>
      <w:r w:rsidRPr="004D407A">
        <w:rPr>
          <w:rFonts w:ascii="Arial" w:hAnsi="Arial"/>
        </w:rPr>
        <w:t>’, ‘village doctor’, ‘drug-sellers’, herbalists, ‘</w:t>
      </w:r>
      <w:proofErr w:type="spellStart"/>
      <w:r w:rsidRPr="004D407A">
        <w:rPr>
          <w:rFonts w:ascii="Arial" w:hAnsi="Arial"/>
        </w:rPr>
        <w:t>totka</w:t>
      </w:r>
      <w:proofErr w:type="spellEnd"/>
      <w:r w:rsidRPr="004D407A">
        <w:rPr>
          <w:rFonts w:ascii="Arial" w:hAnsi="Arial"/>
        </w:rPr>
        <w:t>’, faith healer’ and others who do not have any formal education). Major formally trained health workforce can be denoted as physicians, dentists, nurses, midwives, medical assistants, health technologists, trained domiciliary workforce, alternative medical care professionals and other allied health professionals attached with management, finance, and administration functions.</w:t>
      </w:r>
      <w:r w:rsidRPr="004D407A">
        <w:rPr>
          <w:rFonts w:ascii="Arial" w:hAnsi="Arial"/>
          <w:vertAlign w:val="superscript"/>
        </w:rPr>
        <w:footnoteReference w:id="13"/>
      </w:r>
    </w:p>
    <w:p w14:paraId="7F677814" w14:textId="667D9541" w:rsidR="00B32C5F" w:rsidRPr="004D407A" w:rsidRDefault="00454DD5" w:rsidP="00B32C5F">
      <w:pPr>
        <w:pStyle w:val="Heading4"/>
        <w:rPr>
          <w:color w:val="auto"/>
        </w:rPr>
      </w:pPr>
      <w:bookmarkStart w:id="76" w:name="_Toc489491494"/>
      <w:bookmarkStart w:id="77" w:name="_Toc111910235"/>
      <w:r w:rsidRPr="004D407A">
        <w:rPr>
          <w:color w:val="auto"/>
        </w:rPr>
        <w:t xml:space="preserve">Health workforce </w:t>
      </w:r>
      <w:r w:rsidR="00F448CE" w:rsidRPr="004D407A">
        <w:rPr>
          <w:color w:val="auto"/>
        </w:rPr>
        <w:t xml:space="preserve">supply </w:t>
      </w:r>
      <w:r w:rsidRPr="004D407A">
        <w:rPr>
          <w:color w:val="auto"/>
        </w:rPr>
        <w:t xml:space="preserve">and </w:t>
      </w:r>
      <w:r w:rsidR="00EC3889" w:rsidRPr="004D407A">
        <w:rPr>
          <w:color w:val="auto"/>
        </w:rPr>
        <w:t>distribution</w:t>
      </w:r>
      <w:bookmarkEnd w:id="76"/>
      <w:bookmarkEnd w:id="77"/>
    </w:p>
    <w:p w14:paraId="0D4AFF35" w14:textId="77777777" w:rsidR="00F81B45" w:rsidRPr="004D407A" w:rsidRDefault="00F81B45" w:rsidP="00F81B45">
      <w:pPr>
        <w:pStyle w:val="BodyText"/>
        <w:rPr>
          <w:rFonts w:ascii="Arial" w:hAnsi="Arial"/>
          <w:sz w:val="24"/>
          <w:szCs w:val="24"/>
        </w:rPr>
      </w:pPr>
      <w:r w:rsidRPr="004D407A">
        <w:rPr>
          <w:rFonts w:ascii="Arial" w:hAnsi="Arial"/>
        </w:rPr>
        <w:t>A rapid growth of the private sector in terms of the health workforce production is observed during the last decade. The number of MBBS</w:t>
      </w:r>
      <w:r w:rsidRPr="004D407A">
        <w:rPr>
          <w:rStyle w:val="FootnoteReference"/>
          <w:rFonts w:ascii="Arial" w:hAnsi="Arial"/>
        </w:rPr>
        <w:footnoteReference w:id="14"/>
      </w:r>
      <w:r w:rsidRPr="004D407A">
        <w:rPr>
          <w:rFonts w:ascii="Arial" w:hAnsi="Arial"/>
        </w:rPr>
        <w:t xml:space="preserve"> seats in public sector in 2021 was 4,350 and the number of MBBS in private sector amounted to 6,289.</w:t>
      </w:r>
      <w:r w:rsidRPr="004D407A">
        <w:rPr>
          <w:rStyle w:val="FootnoteReference"/>
          <w:rFonts w:ascii="Arial" w:hAnsi="Arial"/>
          <w:sz w:val="24"/>
          <w:szCs w:val="24"/>
        </w:rPr>
        <w:footnoteReference w:id="15"/>
      </w:r>
      <w:r w:rsidRPr="004D407A">
        <w:rPr>
          <w:rFonts w:ascii="Arial" w:hAnsi="Arial"/>
          <w:sz w:val="24"/>
          <w:szCs w:val="24"/>
        </w:rPr>
        <w:t xml:space="preserve"> </w:t>
      </w:r>
      <w:r w:rsidRPr="004D407A">
        <w:rPr>
          <w:rFonts w:ascii="Arial" w:hAnsi="Arial"/>
        </w:rPr>
        <w:t>For</w:t>
      </w:r>
      <w:r w:rsidRPr="004D407A">
        <w:rPr>
          <w:rFonts w:ascii="Arial" w:hAnsi="Arial"/>
          <w:sz w:val="24"/>
          <w:szCs w:val="24"/>
        </w:rPr>
        <w:t xml:space="preserve"> </w:t>
      </w:r>
      <w:r w:rsidRPr="004D407A">
        <w:rPr>
          <w:rFonts w:ascii="Arial" w:hAnsi="Arial"/>
        </w:rPr>
        <w:t>Diploma</w:t>
      </w:r>
      <w:r w:rsidRPr="004D407A">
        <w:rPr>
          <w:rFonts w:ascii="Arial" w:hAnsi="Arial"/>
          <w:sz w:val="24"/>
          <w:szCs w:val="24"/>
        </w:rPr>
        <w:t xml:space="preserve"> </w:t>
      </w:r>
      <w:r w:rsidRPr="004D407A">
        <w:rPr>
          <w:rFonts w:ascii="Arial" w:hAnsi="Arial"/>
        </w:rPr>
        <w:t>Nurses the increase was 408% in the private sector and 128% in the public sector</w:t>
      </w:r>
      <w:r w:rsidRPr="004D407A">
        <w:rPr>
          <w:rFonts w:ascii="Arial" w:hAnsi="Arial"/>
          <w:sz w:val="24"/>
          <w:szCs w:val="24"/>
        </w:rPr>
        <w:t>.</w:t>
      </w:r>
      <w:r w:rsidRPr="004D407A">
        <w:rPr>
          <w:rStyle w:val="FootnoteReference"/>
          <w:rFonts w:ascii="Arial" w:hAnsi="Arial"/>
          <w:sz w:val="24"/>
          <w:szCs w:val="24"/>
        </w:rPr>
        <w:footnoteReference w:id="16"/>
      </w:r>
      <w:r w:rsidRPr="004D407A">
        <w:rPr>
          <w:rFonts w:ascii="Arial" w:hAnsi="Arial"/>
          <w:sz w:val="24"/>
          <w:szCs w:val="24"/>
        </w:rPr>
        <w:t xml:space="preserve"> </w:t>
      </w:r>
    </w:p>
    <w:p w14:paraId="112D5AFD" w14:textId="77777777" w:rsidR="00F81B45" w:rsidRPr="004D407A" w:rsidRDefault="00F81B45" w:rsidP="00F81B45">
      <w:pPr>
        <w:pStyle w:val="BodyText"/>
      </w:pPr>
      <w:r w:rsidRPr="004D407A">
        <w:rPr>
          <w:rFonts w:ascii="Arial" w:hAnsi="Arial"/>
        </w:rPr>
        <w:t>By 2021, the total health workforce</w:t>
      </w:r>
      <w:r w:rsidRPr="004D407A">
        <w:rPr>
          <w:rStyle w:val="FootnoteReference"/>
          <w:rFonts w:ascii="Arial" w:hAnsi="Arial"/>
          <w:sz w:val="24"/>
          <w:szCs w:val="24"/>
        </w:rPr>
        <w:footnoteReference w:id="17"/>
      </w:r>
      <w:r w:rsidRPr="004D407A">
        <w:rPr>
          <w:rFonts w:ascii="Arial" w:hAnsi="Arial"/>
          <w:sz w:val="24"/>
          <w:szCs w:val="24"/>
        </w:rPr>
        <w:t xml:space="preserve"> </w:t>
      </w:r>
      <w:r w:rsidRPr="004D407A">
        <w:rPr>
          <w:rFonts w:ascii="Arial" w:hAnsi="Arial"/>
        </w:rPr>
        <w:t xml:space="preserve">in the formal sub-sector approached 531,454 (estimate for all categories), which accounts for about 52% increase from the 2015 estimate (350,000 health workers). Over the same period, Bangladesh’s population increased by nearly 9% and reached more than 170 million individuals. </w:t>
      </w:r>
    </w:p>
    <w:p w14:paraId="1408615F" w14:textId="3399B7E0" w:rsidR="00F81B45" w:rsidRPr="004D407A" w:rsidRDefault="00F81B45" w:rsidP="00F81B45">
      <w:pPr>
        <w:pStyle w:val="BodyText"/>
        <w:rPr>
          <w:rFonts w:ascii="Arial" w:hAnsi="Arial"/>
          <w:sz w:val="24"/>
          <w:szCs w:val="24"/>
        </w:rPr>
      </w:pPr>
      <w:r w:rsidRPr="004D407A">
        <w:rPr>
          <w:rFonts w:ascii="Arial" w:hAnsi="Arial"/>
        </w:rPr>
        <w:lastRenderedPageBreak/>
        <w:t xml:space="preserve">The number of doctors registered with Bangladesh </w:t>
      </w:r>
      <w:r w:rsidRPr="004D407A">
        <w:rPr>
          <w:rFonts w:ascii="Arial" w:hAnsi="Arial"/>
          <w:sz w:val="24"/>
          <w:szCs w:val="24"/>
        </w:rPr>
        <w:t xml:space="preserve">Medical and Dental Council (BMDC) increased by 54.5 thousand in 9 years as shown in </w:t>
      </w:r>
      <w:r w:rsidRPr="004D407A">
        <w:rPr>
          <w:rFonts w:ascii="Arial" w:hAnsi="Arial"/>
          <w:sz w:val="24"/>
          <w:szCs w:val="24"/>
        </w:rPr>
        <w:fldChar w:fldCharType="begin"/>
      </w:r>
      <w:r w:rsidRPr="004D407A">
        <w:rPr>
          <w:rFonts w:ascii="Arial" w:hAnsi="Arial"/>
          <w:sz w:val="24"/>
          <w:szCs w:val="24"/>
        </w:rPr>
        <w:instrText xml:space="preserve"> REF _Ref489481951 \h  \* MERGEFORMAT </w:instrText>
      </w:r>
      <w:r w:rsidRPr="004D407A">
        <w:rPr>
          <w:rFonts w:ascii="Arial" w:hAnsi="Arial"/>
          <w:sz w:val="24"/>
          <w:szCs w:val="24"/>
        </w:rPr>
      </w:r>
      <w:r w:rsidRPr="004D407A">
        <w:rPr>
          <w:rFonts w:ascii="Arial" w:hAnsi="Arial"/>
          <w:sz w:val="24"/>
          <w:szCs w:val="24"/>
        </w:rPr>
        <w:fldChar w:fldCharType="separate"/>
      </w:r>
      <w:r w:rsidR="00D80429" w:rsidRPr="004D407A">
        <w:rPr>
          <w:rFonts w:ascii="Arial" w:hAnsi="Arial"/>
        </w:rPr>
        <w:t xml:space="preserve">Figure </w:t>
      </w:r>
      <w:r w:rsidR="00D80429" w:rsidRPr="004D407A">
        <w:rPr>
          <w:rFonts w:ascii="Arial" w:hAnsi="Arial"/>
          <w:noProof/>
        </w:rPr>
        <w:t>7</w:t>
      </w:r>
      <w:r w:rsidRPr="004D407A">
        <w:rPr>
          <w:rFonts w:ascii="Arial" w:hAnsi="Arial"/>
          <w:sz w:val="24"/>
          <w:szCs w:val="24"/>
        </w:rPr>
        <w:fldChar w:fldCharType="end"/>
      </w:r>
      <w:r w:rsidRPr="004D407A">
        <w:rPr>
          <w:rFonts w:ascii="Arial" w:hAnsi="Arial"/>
          <w:sz w:val="24"/>
          <w:szCs w:val="24"/>
        </w:rPr>
        <w:t xml:space="preserve"> </w:t>
      </w:r>
      <w:r w:rsidRPr="004D407A">
        <w:rPr>
          <w:rFonts w:ascii="Arial" w:hAnsi="Arial"/>
          <w:sz w:val="24"/>
          <w:szCs w:val="24"/>
        </w:rPr>
        <w:fldChar w:fldCharType="begin"/>
      </w:r>
      <w:r w:rsidRPr="004D407A">
        <w:rPr>
          <w:rFonts w:ascii="Arial" w:hAnsi="Arial"/>
          <w:sz w:val="24"/>
          <w:szCs w:val="24"/>
        </w:rPr>
        <w:instrText xml:space="preserve"> PAGEREF _Ref489481953 \p \h </w:instrText>
      </w:r>
      <w:r w:rsidRPr="004D407A">
        <w:rPr>
          <w:rFonts w:ascii="Arial" w:hAnsi="Arial"/>
          <w:sz w:val="24"/>
          <w:szCs w:val="24"/>
        </w:rPr>
      </w:r>
      <w:r w:rsidRPr="004D407A">
        <w:rPr>
          <w:rFonts w:ascii="Arial" w:hAnsi="Arial"/>
          <w:sz w:val="24"/>
          <w:szCs w:val="24"/>
        </w:rPr>
        <w:fldChar w:fldCharType="separate"/>
      </w:r>
      <w:r w:rsidR="00D80429" w:rsidRPr="004D407A">
        <w:rPr>
          <w:rFonts w:ascii="Arial" w:hAnsi="Arial"/>
          <w:noProof/>
          <w:sz w:val="24"/>
          <w:szCs w:val="24"/>
        </w:rPr>
        <w:t>below</w:t>
      </w:r>
      <w:r w:rsidRPr="004D407A">
        <w:rPr>
          <w:rFonts w:ascii="Arial" w:hAnsi="Arial"/>
          <w:sz w:val="24"/>
          <w:szCs w:val="24"/>
        </w:rPr>
        <w:fldChar w:fldCharType="end"/>
      </w:r>
      <w:r w:rsidRPr="004D407A">
        <w:rPr>
          <w:rFonts w:ascii="Arial" w:hAnsi="Arial"/>
          <w:sz w:val="24"/>
          <w:szCs w:val="24"/>
        </w:rPr>
        <w:t xml:space="preserve">. In 2021 the number of registered doctors increased by 92% and nurses – by 152% doubled compared to 2012. </w:t>
      </w:r>
    </w:p>
    <w:p w14:paraId="208C3B9A" w14:textId="16C91C4A" w:rsidR="00F81B45" w:rsidRPr="004D407A" w:rsidRDefault="00B219D2" w:rsidP="00F81B45">
      <w:pPr>
        <w:pStyle w:val="Caption"/>
        <w:rPr>
          <w:color w:val="auto"/>
        </w:rPr>
      </w:pPr>
      <w:bookmarkStart w:id="78" w:name="_Ref489481951"/>
      <w:bookmarkStart w:id="79" w:name="_Ref489481953"/>
      <w:bookmarkStart w:id="80" w:name="_Toc490750596"/>
      <w:bookmarkStart w:id="81" w:name="_Toc500874078"/>
      <w:bookmarkStart w:id="82" w:name="_Toc111912746"/>
      <w:r w:rsidRPr="004D407A">
        <w:rPr>
          <w:noProof/>
          <w:color w:val="auto"/>
        </w:rPr>
        <w:drawing>
          <wp:anchor distT="0" distB="0" distL="114300" distR="114300" simplePos="0" relativeHeight="251658240" behindDoc="0" locked="0" layoutInCell="1" allowOverlap="1" wp14:anchorId="7A561AE3" wp14:editId="6B0F70C5">
            <wp:simplePos x="0" y="0"/>
            <wp:positionH relativeFrom="column">
              <wp:posOffset>-41127</wp:posOffset>
            </wp:positionH>
            <wp:positionV relativeFrom="paragraph">
              <wp:posOffset>169576</wp:posOffset>
            </wp:positionV>
            <wp:extent cx="4584700" cy="2755900"/>
            <wp:effectExtent l="0" t="0" r="6350" b="6350"/>
            <wp:wrapTopAndBottom/>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r w:rsidR="00F81B45"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7</w:t>
      </w:r>
      <w:r w:rsidR="00E21383" w:rsidRPr="004D407A">
        <w:rPr>
          <w:noProof/>
          <w:color w:val="auto"/>
        </w:rPr>
        <w:fldChar w:fldCharType="end"/>
      </w:r>
      <w:bookmarkEnd w:id="78"/>
      <w:r w:rsidR="00F81B45" w:rsidRPr="004D407A">
        <w:rPr>
          <w:noProof/>
          <w:color w:val="auto"/>
        </w:rPr>
        <w:t xml:space="preserve">: </w:t>
      </w:r>
      <w:r w:rsidR="00567C32" w:rsidRPr="004D407A">
        <w:rPr>
          <w:noProof/>
          <w:color w:val="auto"/>
        </w:rPr>
        <w:t>R</w:t>
      </w:r>
      <w:r w:rsidR="00F81B45" w:rsidRPr="004D407A">
        <w:rPr>
          <w:noProof/>
          <w:color w:val="auto"/>
        </w:rPr>
        <w:t xml:space="preserve">egistered health workforce </w:t>
      </w:r>
      <w:r w:rsidR="00E4197A" w:rsidRPr="004D407A">
        <w:rPr>
          <w:noProof/>
          <w:color w:val="auto"/>
        </w:rPr>
        <w:t>between</w:t>
      </w:r>
      <w:r w:rsidR="00F81B45" w:rsidRPr="004D407A">
        <w:rPr>
          <w:noProof/>
          <w:color w:val="auto"/>
        </w:rPr>
        <w:t xml:space="preserve"> 1997</w:t>
      </w:r>
      <w:bookmarkEnd w:id="79"/>
      <w:bookmarkEnd w:id="80"/>
      <w:bookmarkEnd w:id="81"/>
      <w:r w:rsidR="00F81B45" w:rsidRPr="004D407A">
        <w:rPr>
          <w:noProof/>
          <w:color w:val="auto"/>
        </w:rPr>
        <w:t>and 2021</w:t>
      </w:r>
      <w:bookmarkEnd w:id="82"/>
    </w:p>
    <w:p w14:paraId="62805132" w14:textId="478BDBD2" w:rsidR="00F81B45" w:rsidRPr="004D407A" w:rsidRDefault="00F81B45" w:rsidP="00F81B45">
      <w:pPr>
        <w:pStyle w:val="mySource"/>
        <w:rPr>
          <w:color w:val="auto"/>
        </w:rPr>
      </w:pPr>
      <w:r w:rsidRPr="004D407A">
        <w:rPr>
          <w:color w:val="auto"/>
        </w:rPr>
        <w:t xml:space="preserve">Source: </w:t>
      </w:r>
      <w:r w:rsidR="00815FE3" w:rsidRPr="004D407A">
        <w:rPr>
          <w:color w:val="auto"/>
        </w:rPr>
        <w:t>Bangladesh Medical and Dental Council (BMDC)</w:t>
      </w:r>
      <w:r w:rsidR="002843F4" w:rsidRPr="004D407A">
        <w:rPr>
          <w:color w:val="auto"/>
        </w:rPr>
        <w:t xml:space="preserve"> 2022</w:t>
      </w:r>
    </w:p>
    <w:p w14:paraId="6FB7DC14" w14:textId="777B7434" w:rsidR="00F81B45" w:rsidRPr="004D407A" w:rsidRDefault="00F81B45" w:rsidP="00F81B45">
      <w:pPr>
        <w:pStyle w:val="BodyText"/>
        <w:rPr>
          <w:rFonts w:ascii="Arial" w:hAnsi="Arial"/>
        </w:rPr>
      </w:pPr>
      <w:r w:rsidRPr="004D407A">
        <w:rPr>
          <w:rFonts w:ascii="Arial" w:hAnsi="Arial"/>
        </w:rPr>
        <w:t xml:space="preserve">In the public sector, there are several institutional actors providing health and family welfare services. Out of them MOHFW bears the major responsibilities of formulating policy, planning and strategic development, as well as implementing, </w:t>
      </w:r>
      <w:proofErr w:type="gramStart"/>
      <w:r w:rsidRPr="004D407A">
        <w:rPr>
          <w:rFonts w:ascii="Arial" w:hAnsi="Arial"/>
        </w:rPr>
        <w:t>monitoring</w:t>
      </w:r>
      <w:proofErr w:type="gramEnd"/>
      <w:r w:rsidRPr="004D407A">
        <w:rPr>
          <w:rFonts w:ascii="Arial" w:hAnsi="Arial"/>
        </w:rPr>
        <w:t xml:space="preserve"> and evaluating implementation of programs and evaluation of service delivery. About 35% of the total graduate medical doctors are employed by the MOHFW and about 3% of them works under other Ministries such as Social Welfare, Home, Local Government and Cooperatives, Railway, Women and Children Affairs, </w:t>
      </w:r>
      <w:proofErr w:type="gramStart"/>
      <w:r w:rsidRPr="004D407A">
        <w:rPr>
          <w:rFonts w:ascii="Arial" w:hAnsi="Arial"/>
        </w:rPr>
        <w:t>Defense</w:t>
      </w:r>
      <w:proofErr w:type="gramEnd"/>
      <w:r w:rsidRPr="004D407A">
        <w:rPr>
          <w:rFonts w:ascii="Arial" w:hAnsi="Arial"/>
        </w:rPr>
        <w:t xml:space="preserve"> and others.</w:t>
      </w:r>
      <w:r w:rsidRPr="004D407A">
        <w:rPr>
          <w:rFonts w:ascii="Arial" w:hAnsi="Arial"/>
          <w:vertAlign w:val="superscript"/>
        </w:rPr>
        <w:t>47</w:t>
      </w:r>
      <w:r w:rsidRPr="004D407A">
        <w:rPr>
          <w:rFonts w:ascii="Arial" w:hAnsi="Arial"/>
        </w:rPr>
        <w:t xml:space="preserve"> </w:t>
      </w:r>
    </w:p>
    <w:p w14:paraId="7B82E133" w14:textId="77777777" w:rsidR="00F81B45" w:rsidRPr="004D407A" w:rsidRDefault="00F81B45" w:rsidP="00F81B45">
      <w:pPr>
        <w:pStyle w:val="BodyText"/>
        <w:rPr>
          <w:rFonts w:ascii="Arial" w:hAnsi="Arial"/>
        </w:rPr>
      </w:pPr>
      <w:r w:rsidRPr="004D407A">
        <w:rPr>
          <w:rFonts w:ascii="Arial" w:hAnsi="Arial"/>
        </w:rPr>
        <w:t>The major portion (approximately 56%) of the total health workforce is employed by the Department General for Health Services (DGHS) of MOHFW and approximately 29% - by Department General for Family Planning (DGFP).  13 per cent of the total health workforce is employed by the DGNM and rest 2 percent - by other implementing agencies. MOHFW has one of the largest public health service networks covering all levels from door-step domiciliary services in the field to the health facilities at the Division and Capital City level. Despite such robust and extended infrastructure, the full potential of this network is not realized, which remains one of the most burning challenge for the MOHFW.</w:t>
      </w:r>
      <w:r w:rsidRPr="004D407A">
        <w:rPr>
          <w:rFonts w:ascii="Arial" w:hAnsi="Arial"/>
          <w:vertAlign w:val="superscript"/>
        </w:rPr>
        <w:footnoteReference w:id="18"/>
      </w:r>
    </w:p>
    <w:p w14:paraId="3994C042" w14:textId="67065E22" w:rsidR="00304372" w:rsidRPr="004D407A" w:rsidRDefault="00F81B45" w:rsidP="00F81B45">
      <w:pPr>
        <w:pStyle w:val="BodyText"/>
      </w:pPr>
      <w:r w:rsidRPr="004D407A">
        <w:rPr>
          <w:rFonts w:ascii="Arial" w:hAnsi="Arial"/>
        </w:rPr>
        <w:t>The health workforce in Bangladesh is predominantly linguistically and culturally homogenous and transferable across the country although individual circumstances affect deployment in practice</w:t>
      </w:r>
      <w:r w:rsidR="00304372" w:rsidRPr="004D407A">
        <w:rPr>
          <w:rFonts w:ascii="Arial" w:hAnsi="Arial"/>
        </w:rPr>
        <w:t xml:space="preserve">. </w:t>
      </w:r>
    </w:p>
    <w:p w14:paraId="033BCB25" w14:textId="142F4C97" w:rsidR="00454DD5" w:rsidRPr="004D407A" w:rsidRDefault="00454DD5" w:rsidP="00454DD5">
      <w:pPr>
        <w:pStyle w:val="Heading4"/>
        <w:rPr>
          <w:color w:val="auto"/>
        </w:rPr>
      </w:pPr>
      <w:bookmarkStart w:id="83" w:name="_Toc489491495"/>
      <w:bookmarkStart w:id="84" w:name="_Toc111910236"/>
      <w:r w:rsidRPr="004D407A">
        <w:rPr>
          <w:color w:val="auto"/>
        </w:rPr>
        <w:t>Staffing practices</w:t>
      </w:r>
      <w:bookmarkEnd w:id="83"/>
      <w:bookmarkEnd w:id="84"/>
    </w:p>
    <w:p w14:paraId="3761FC70" w14:textId="77777777" w:rsidR="00AB225F" w:rsidRPr="004D407A" w:rsidRDefault="00AB225F" w:rsidP="00AB225F">
      <w:pPr>
        <w:pStyle w:val="BodyText"/>
        <w:rPr>
          <w:rFonts w:ascii="Arial" w:hAnsi="Arial"/>
        </w:rPr>
      </w:pPr>
      <w:r w:rsidRPr="004D407A">
        <w:rPr>
          <w:rFonts w:ascii="Arial" w:hAnsi="Arial"/>
        </w:rPr>
        <w:t xml:space="preserve">Proper utilization of health workforce mainly depends on how best it is planned and managed. Recruitment, </w:t>
      </w:r>
      <w:proofErr w:type="gramStart"/>
      <w:r w:rsidRPr="004D407A">
        <w:rPr>
          <w:rFonts w:ascii="Arial" w:hAnsi="Arial"/>
        </w:rPr>
        <w:t>selection</w:t>
      </w:r>
      <w:proofErr w:type="gramEnd"/>
      <w:r w:rsidRPr="004D407A">
        <w:rPr>
          <w:rFonts w:ascii="Arial" w:hAnsi="Arial"/>
        </w:rPr>
        <w:t xml:space="preserve"> and deployment of HR are among the most serious challenges in Bangladesh. According to the current regulations, responsible agency for </w:t>
      </w:r>
      <w:r w:rsidRPr="004D407A">
        <w:rPr>
          <w:rFonts w:ascii="Arial" w:hAnsi="Arial"/>
        </w:rPr>
        <w:lastRenderedPageBreak/>
        <w:t xml:space="preserve">formulation, review, </w:t>
      </w:r>
      <w:proofErr w:type="gramStart"/>
      <w:r w:rsidRPr="004D407A">
        <w:rPr>
          <w:rFonts w:ascii="Arial" w:hAnsi="Arial"/>
        </w:rPr>
        <w:t>update</w:t>
      </w:r>
      <w:proofErr w:type="gramEnd"/>
      <w:r w:rsidRPr="004D407A">
        <w:rPr>
          <w:rFonts w:ascii="Arial" w:hAnsi="Arial"/>
        </w:rPr>
        <w:t xml:space="preserve"> and approval of all sorts of laws, rules and regulations related to the public sector employees is the Ministry of Public Administration (MOPA).</w:t>
      </w:r>
      <w:r w:rsidRPr="004D407A">
        <w:rPr>
          <w:rStyle w:val="FootnoteReference"/>
          <w:rFonts w:ascii="Arial" w:hAnsi="Arial"/>
        </w:rPr>
        <w:footnoteReference w:id="19"/>
      </w:r>
    </w:p>
    <w:p w14:paraId="451E2589" w14:textId="77777777" w:rsidR="00AB225F" w:rsidRPr="004D407A" w:rsidRDefault="00AB225F" w:rsidP="00AB225F">
      <w:pPr>
        <w:pStyle w:val="BodyText"/>
        <w:rPr>
          <w:rFonts w:ascii="Arial" w:hAnsi="Arial"/>
          <w:sz w:val="24"/>
        </w:rPr>
      </w:pPr>
      <w:r w:rsidRPr="004D407A">
        <w:rPr>
          <w:rFonts w:ascii="Arial" w:hAnsi="Arial"/>
        </w:rPr>
        <w:t>Technically the ministries can propose to MOPA all necessary changes to any of the rules and regulations upon ensuring compliance, however consideration of these proposals may take several years. For instance, DGHS and DGFP of MOHFW have formulated and submitted proposals to change many recruitment rules and promotion policies in 1980s and 1990s, but MOPA has not taken any significant action for addressing these proposals. Since 1977 DGNM of MOHFW has been trying to revise its recruitment rules, but similarly to DGHS and DGFP, these efforts were unsuccessful and led to the situation when recruitment and/or promotion of experienced and qualified nurses have been impossible during the decades due to absence of an appropriate recruitment rule. According to the commitment of honorable Prime Minister, about 2,996 midwife posts were going to be created during the period 2015-2020, MOHFW was able to create only 600 posts at Upazila and Union Sub-center level to date.</w:t>
      </w:r>
      <w:r w:rsidRPr="004D407A">
        <w:rPr>
          <w:rFonts w:ascii="Arial" w:hAnsi="Arial"/>
          <w:sz w:val="24"/>
        </w:rPr>
        <w:t xml:space="preserve"> </w:t>
      </w:r>
    </w:p>
    <w:p w14:paraId="3092D23C" w14:textId="77777777" w:rsidR="00AB225F" w:rsidRPr="004D407A" w:rsidRDefault="00AB225F" w:rsidP="00AB225F">
      <w:pPr>
        <w:pStyle w:val="BodyText"/>
        <w:rPr>
          <w:rFonts w:ascii="Arial" w:hAnsi="Arial"/>
        </w:rPr>
      </w:pPr>
      <w:r w:rsidRPr="004D407A">
        <w:rPr>
          <w:rFonts w:ascii="Arial" w:hAnsi="Arial"/>
        </w:rPr>
        <w:t>There are many positions in the DGNM, NIPORT and DGFP which have not been filled in since their creation, including a good number of Director level positions. In the DGNM almost all permanent positions are temporarily filled by “current charge or in-charge” mechanisms. Regularization of the individual employee into the post has not yet been taken place.</w:t>
      </w:r>
    </w:p>
    <w:p w14:paraId="0B981CFE" w14:textId="77777777" w:rsidR="00AB225F" w:rsidRPr="004D407A" w:rsidRDefault="00AB225F" w:rsidP="00AB225F">
      <w:pPr>
        <w:pStyle w:val="BodyText"/>
        <w:rPr>
          <w:rFonts w:ascii="Arial" w:hAnsi="Arial"/>
        </w:rPr>
      </w:pPr>
      <w:r w:rsidRPr="004D407A">
        <w:rPr>
          <w:rFonts w:ascii="Arial" w:hAnsi="Arial"/>
        </w:rPr>
        <w:t xml:space="preserve">One of the main priority </w:t>
      </w:r>
      <w:proofErr w:type="gramStart"/>
      <w:r w:rsidRPr="004D407A">
        <w:rPr>
          <w:rFonts w:ascii="Arial" w:hAnsi="Arial"/>
        </w:rPr>
        <w:t>concern</w:t>
      </w:r>
      <w:proofErr w:type="gramEnd"/>
      <w:r w:rsidRPr="004D407A">
        <w:rPr>
          <w:rFonts w:ascii="Arial" w:hAnsi="Arial"/>
        </w:rPr>
        <w:t xml:space="preserve"> of policy makers is skill-mix balance. The National Health Policy (2011) sets the skill mix composition, which includes 1 physician, 3 nurses and 5 allied professionals according to the international standards. The current scenario of workforce pattern, however, is reverse, </w:t>
      </w:r>
      <w:proofErr w:type="gramStart"/>
      <w:r w:rsidRPr="004D407A">
        <w:rPr>
          <w:rFonts w:ascii="Arial" w:hAnsi="Arial"/>
        </w:rPr>
        <w:t>i.e.</w:t>
      </w:r>
      <w:proofErr w:type="gramEnd"/>
      <w:r w:rsidRPr="004D407A">
        <w:rPr>
          <w:rFonts w:ascii="Arial" w:hAnsi="Arial"/>
        </w:rPr>
        <w:t xml:space="preserve"> the total number of registered medical doctors (MBBS – 113,477) is nearly 1.5 times more than that of nurses (diploma – 76,517),</w:t>
      </w:r>
      <w:r w:rsidRPr="004D407A">
        <w:rPr>
          <w:rStyle w:val="FootnoteReference"/>
          <w:rFonts w:ascii="Arial" w:hAnsi="Arial"/>
        </w:rPr>
        <w:footnoteReference w:id="20"/>
      </w:r>
      <w:r w:rsidRPr="004D407A">
        <w:rPr>
          <w:rFonts w:ascii="Arial" w:hAnsi="Arial"/>
        </w:rPr>
        <w:t xml:space="preserve"> which leads skill mix composition 1.00 (physician): 0.5 (Nurse).    </w:t>
      </w:r>
    </w:p>
    <w:p w14:paraId="659D03E7" w14:textId="77777777" w:rsidR="00AB225F" w:rsidRPr="004D407A" w:rsidRDefault="00AB225F" w:rsidP="00AB225F">
      <w:pPr>
        <w:pStyle w:val="BodyText"/>
        <w:rPr>
          <w:rFonts w:ascii="Arial" w:hAnsi="Arial"/>
        </w:rPr>
      </w:pPr>
      <w:r w:rsidRPr="004D407A">
        <w:rPr>
          <w:rFonts w:ascii="Arial" w:hAnsi="Arial"/>
        </w:rPr>
        <w:t xml:space="preserve">Unfilled of sanctioned positions are common phenomenon at the public health facilities accounting for approximately 20% of the total sanctioned posts, which significantly limits ability of these facilities to provide high quality and required volume of health services. Absenteeism and timely attendance of the health workers at the workplaces particularly situated in rural, </w:t>
      </w:r>
      <w:proofErr w:type="gramStart"/>
      <w:r w:rsidRPr="004D407A">
        <w:rPr>
          <w:rFonts w:ascii="Arial" w:hAnsi="Arial"/>
        </w:rPr>
        <w:t>remote</w:t>
      </w:r>
      <w:proofErr w:type="gramEnd"/>
      <w:r w:rsidRPr="004D407A">
        <w:rPr>
          <w:rFonts w:ascii="Arial" w:hAnsi="Arial"/>
        </w:rPr>
        <w:t xml:space="preserve"> and hard to reach areas are frequently reported in the mass media and thus cause rural retention of the workforce as a challenge for the Ministry.</w:t>
      </w:r>
    </w:p>
    <w:p w14:paraId="53ABA7A2" w14:textId="77777777" w:rsidR="00AB225F" w:rsidRPr="004D407A" w:rsidRDefault="00AB225F" w:rsidP="00AB225F">
      <w:pPr>
        <w:pStyle w:val="BodyText"/>
        <w:rPr>
          <w:sz w:val="24"/>
          <w:szCs w:val="24"/>
        </w:rPr>
      </w:pPr>
      <w:r w:rsidRPr="004D407A">
        <w:rPr>
          <w:rFonts w:ascii="Arial" w:hAnsi="Arial"/>
        </w:rPr>
        <w:t>Deputation and deployment practices in the public health system frequently attract attention. Studies show that the density of physicians and nurses are significantly skewed in the urban areas (mostly in the capital city) compared to the rural. Sometimes health workforces (especially physicians) take advantage of the deputation policy for studying postgraduate courses, which leads to the increase of absenteeism. Absenteeism in turn makes impossible to achieve improvement of health care system performance and meet needs of the care seekers. Unauthorized absence is regarded as a misconduct as per service regulation</w:t>
      </w:r>
      <w:r w:rsidRPr="004D407A">
        <w:rPr>
          <w:rFonts w:ascii="Arial" w:hAnsi="Arial"/>
          <w:sz w:val="16"/>
          <w:vertAlign w:val="superscript"/>
        </w:rPr>
        <w:footnoteReference w:id="21"/>
      </w:r>
      <w:r w:rsidRPr="004D407A">
        <w:rPr>
          <w:rFonts w:ascii="Arial" w:hAnsi="Arial"/>
        </w:rPr>
        <w:t>, but due to the weak monitoring and supervision mechanisms response of the system is insufficient.</w:t>
      </w:r>
      <w:r w:rsidRPr="004D407A">
        <w:rPr>
          <w:sz w:val="24"/>
          <w:szCs w:val="24"/>
        </w:rPr>
        <w:t xml:space="preserve"> </w:t>
      </w:r>
    </w:p>
    <w:p w14:paraId="7B4ACF35" w14:textId="74111E6E" w:rsidR="00AB225F" w:rsidRPr="004D407A" w:rsidRDefault="00AB225F" w:rsidP="00AB225F">
      <w:pPr>
        <w:pStyle w:val="Heading4"/>
        <w:rPr>
          <w:color w:val="auto"/>
        </w:rPr>
      </w:pPr>
      <w:bookmarkStart w:id="85" w:name="_Toc500874007"/>
      <w:bookmarkStart w:id="86" w:name="_Toc111910237"/>
      <w:r w:rsidRPr="004D407A">
        <w:rPr>
          <w:color w:val="auto"/>
        </w:rPr>
        <w:t>NGOs and private sector</w:t>
      </w:r>
      <w:bookmarkEnd w:id="85"/>
      <w:bookmarkEnd w:id="86"/>
    </w:p>
    <w:p w14:paraId="7FFC30E4" w14:textId="77777777" w:rsidR="00AB225F" w:rsidRPr="004D407A" w:rsidRDefault="00AB225F" w:rsidP="00AB225F">
      <w:pPr>
        <w:pStyle w:val="BodyText"/>
        <w:rPr>
          <w:rFonts w:ascii="Arial" w:hAnsi="Arial"/>
        </w:rPr>
      </w:pPr>
      <w:r w:rsidRPr="004D407A">
        <w:rPr>
          <w:rFonts w:ascii="Arial" w:hAnsi="Arial"/>
        </w:rPr>
        <w:t xml:space="preserve">“According to an estimate of 2003, around 50% of the doctors, 42% of the nurses and 65% of the paramedics work in the private sector exclusively, besides those public-sector employees who also practice privately after office hours. The involvement of the health </w:t>
      </w:r>
      <w:r w:rsidRPr="004D407A">
        <w:rPr>
          <w:rFonts w:ascii="Arial" w:hAnsi="Arial"/>
        </w:rPr>
        <w:lastRenderedPageBreak/>
        <w:t>workforce in the private sector is increasing, as revealed by an estimated 62% of the medical doctors working in the private sector in 2013”</w:t>
      </w:r>
      <w:r w:rsidRPr="004D407A">
        <w:rPr>
          <w:rStyle w:val="FootnoteReference"/>
          <w:rFonts w:ascii="Arial" w:hAnsi="Arial"/>
        </w:rPr>
        <w:footnoteReference w:id="22"/>
      </w:r>
    </w:p>
    <w:p w14:paraId="77AE1788" w14:textId="56E43119" w:rsidR="00AB225F" w:rsidRPr="004D407A" w:rsidRDefault="00AB225F" w:rsidP="00AB225F">
      <w:pPr>
        <w:pStyle w:val="BodyText"/>
        <w:rPr>
          <w:rFonts w:ascii="Arial" w:hAnsi="Arial"/>
        </w:rPr>
      </w:pPr>
      <w:r w:rsidRPr="004D407A">
        <w:rPr>
          <w:rFonts w:ascii="Arial" w:hAnsi="Arial"/>
        </w:rPr>
        <w:t xml:space="preserve">Along with the national NGOs, there are </w:t>
      </w:r>
      <w:r w:rsidR="00D470F3" w:rsidRPr="004D407A">
        <w:rPr>
          <w:rFonts w:ascii="Arial" w:hAnsi="Arial"/>
        </w:rPr>
        <w:t>several</w:t>
      </w:r>
      <w:r w:rsidRPr="004D407A">
        <w:rPr>
          <w:rFonts w:ascii="Arial" w:hAnsi="Arial"/>
        </w:rPr>
        <w:t xml:space="preserve"> international NGOs and Development partners directly or indirectly involved in health care service delivery across the country</w:t>
      </w:r>
      <w:r w:rsidR="00D470F3" w:rsidRPr="004D407A">
        <w:rPr>
          <w:rFonts w:ascii="Arial" w:hAnsi="Arial"/>
        </w:rPr>
        <w:t xml:space="preserve">. </w:t>
      </w:r>
      <w:r w:rsidRPr="004D407A">
        <w:rPr>
          <w:rFonts w:ascii="Arial" w:hAnsi="Arial"/>
        </w:rPr>
        <w:t xml:space="preserve"> </w:t>
      </w:r>
    </w:p>
    <w:p w14:paraId="6CC9A54E" w14:textId="77777777" w:rsidR="00AB225F" w:rsidRPr="004D407A" w:rsidRDefault="00AB225F" w:rsidP="00AB225F">
      <w:pPr>
        <w:pStyle w:val="BodyText"/>
        <w:rPr>
          <w:rFonts w:ascii="Arial" w:hAnsi="Arial"/>
        </w:rPr>
      </w:pPr>
      <w:r w:rsidRPr="004D407A">
        <w:rPr>
          <w:rFonts w:ascii="Arial" w:hAnsi="Arial"/>
        </w:rPr>
        <w:t xml:space="preserve">Private sector institutions, NGOs, </w:t>
      </w:r>
      <w:proofErr w:type="gramStart"/>
      <w:r w:rsidRPr="004D407A">
        <w:rPr>
          <w:rFonts w:ascii="Arial" w:hAnsi="Arial"/>
        </w:rPr>
        <w:t>associations</w:t>
      </w:r>
      <w:proofErr w:type="gramEnd"/>
      <w:r w:rsidRPr="004D407A">
        <w:rPr>
          <w:rFonts w:ascii="Arial" w:hAnsi="Arial"/>
        </w:rPr>
        <w:t xml:space="preserve"> and other informal sector organizations are collectively the largest employers of the health workforce in the country as well as they are significant contributors in improvement of health sector performance.</w:t>
      </w:r>
    </w:p>
    <w:p w14:paraId="0ED78691" w14:textId="77777777" w:rsidR="00AB225F" w:rsidRPr="004D407A" w:rsidRDefault="00AB225F" w:rsidP="00AB225F">
      <w:pPr>
        <w:pStyle w:val="BodyText"/>
        <w:rPr>
          <w:rFonts w:ascii="Arial" w:hAnsi="Arial"/>
        </w:rPr>
      </w:pPr>
      <w:r w:rsidRPr="004D407A">
        <w:rPr>
          <w:rFonts w:ascii="Arial" w:hAnsi="Arial"/>
        </w:rPr>
        <w:t xml:space="preserve">However, it is still unclear how much these institutions contribute </w:t>
      </w:r>
      <w:proofErr w:type="gramStart"/>
      <w:r w:rsidRPr="004D407A">
        <w:rPr>
          <w:rFonts w:ascii="Arial" w:hAnsi="Arial"/>
        </w:rPr>
        <w:t>in</w:t>
      </w:r>
      <w:proofErr w:type="gramEnd"/>
      <w:r w:rsidRPr="004D407A">
        <w:rPr>
          <w:rFonts w:ascii="Arial" w:hAnsi="Arial"/>
        </w:rPr>
        <w:t xml:space="preserve"> equity and quality of the currently provided services. Up to this date the MOHFW has not been able to develop a comprehensive database of the non-state actors working in the health care field as well as collect information on types, qualification and specialties of health workers employed in non-government sector, which leads to the difficulties in formulation of national HWF plan and projections of required human resources. </w:t>
      </w:r>
    </w:p>
    <w:p w14:paraId="33B782D8" w14:textId="700B911D" w:rsidR="00304372" w:rsidRPr="004D407A" w:rsidRDefault="00AB225F" w:rsidP="00995D2D">
      <w:pPr>
        <w:pStyle w:val="BodyText"/>
        <w:rPr>
          <w:sz w:val="24"/>
          <w:szCs w:val="24"/>
        </w:rPr>
      </w:pPr>
      <w:r w:rsidRPr="004D407A">
        <w:rPr>
          <w:rFonts w:ascii="Arial" w:hAnsi="Arial"/>
        </w:rPr>
        <w:t xml:space="preserve">Professional associations play a critical role in terms of formulation of HWF related policy-making process. Bangladesh Medical Association (BMA) has a long history for the growth and development of the medical profession in the country, closely working with the Government for rendering health services. Similarly, Bangladesh Nurses Association, Bangladesh Midwifery Association, Bangladesh Physiotherapy </w:t>
      </w:r>
      <w:proofErr w:type="gramStart"/>
      <w:r w:rsidRPr="004D407A">
        <w:rPr>
          <w:rFonts w:ascii="Arial" w:hAnsi="Arial"/>
        </w:rPr>
        <w:t>Association</w:t>
      </w:r>
      <w:proofErr w:type="gramEnd"/>
      <w:r w:rsidRPr="004D407A">
        <w:rPr>
          <w:rFonts w:ascii="Arial" w:hAnsi="Arial"/>
        </w:rPr>
        <w:t xml:space="preserve"> and others play an important role in decision making process related to the national level decisions on the HWF development</w:t>
      </w:r>
      <w:r w:rsidR="00304372" w:rsidRPr="004D407A">
        <w:rPr>
          <w:rFonts w:ascii="Arial" w:hAnsi="Arial"/>
        </w:rPr>
        <w:t>.</w:t>
      </w:r>
      <w:r w:rsidR="00773F15" w:rsidRPr="004D407A">
        <w:rPr>
          <w:rFonts w:ascii="Arial" w:hAnsi="Arial"/>
        </w:rPr>
        <w:t xml:space="preserve"> </w:t>
      </w:r>
    </w:p>
    <w:p w14:paraId="0CA7CD91" w14:textId="62CFAAAE" w:rsidR="00BE79F3" w:rsidRPr="004D407A" w:rsidRDefault="006006C9" w:rsidP="006006C9">
      <w:pPr>
        <w:pStyle w:val="Heading2"/>
        <w:rPr>
          <w:color w:val="auto"/>
        </w:rPr>
      </w:pPr>
      <w:bookmarkStart w:id="87" w:name="_Toc489491501"/>
      <w:bookmarkStart w:id="88" w:name="_Ref489491945"/>
      <w:bookmarkStart w:id="89" w:name="_Ref489491946"/>
      <w:bookmarkStart w:id="90" w:name="_Toc111910238"/>
      <w:bookmarkEnd w:id="73"/>
      <w:r w:rsidRPr="004D407A">
        <w:rPr>
          <w:color w:val="auto"/>
        </w:rPr>
        <w:t>Immunization system</w:t>
      </w:r>
      <w:bookmarkEnd w:id="87"/>
      <w:bookmarkEnd w:id="88"/>
      <w:bookmarkEnd w:id="89"/>
      <w:bookmarkEnd w:id="90"/>
    </w:p>
    <w:p w14:paraId="1C85EE7F" w14:textId="1A75E8AC" w:rsidR="006006C9" w:rsidRPr="004D407A" w:rsidRDefault="006006C9" w:rsidP="006006C9">
      <w:pPr>
        <w:pStyle w:val="Heading3"/>
        <w:rPr>
          <w:color w:val="auto"/>
        </w:rPr>
      </w:pPr>
      <w:bookmarkStart w:id="91" w:name="_Toc489491502"/>
      <w:bookmarkStart w:id="92" w:name="_Toc111910239"/>
      <w:r w:rsidRPr="004D407A">
        <w:rPr>
          <w:color w:val="auto"/>
        </w:rPr>
        <w:t>Background of the national immunization program</w:t>
      </w:r>
      <w:bookmarkEnd w:id="91"/>
      <w:bookmarkEnd w:id="92"/>
    </w:p>
    <w:p w14:paraId="36A71A5F" w14:textId="75EB5F9A" w:rsidR="007D7772" w:rsidRPr="004D407A" w:rsidRDefault="007D7772" w:rsidP="007D7772">
      <w:pPr>
        <w:pStyle w:val="BodyText"/>
        <w:rPr>
          <w:rFonts w:ascii="Arial" w:hAnsi="Arial"/>
        </w:rPr>
      </w:pPr>
      <w:r w:rsidRPr="004D407A">
        <w:rPr>
          <w:rFonts w:ascii="Arial" w:hAnsi="Arial"/>
        </w:rPr>
        <w:t xml:space="preserve">National immunization program entitled as “Expanded </w:t>
      </w:r>
      <w:proofErr w:type="spellStart"/>
      <w:r w:rsidRPr="004D407A">
        <w:rPr>
          <w:rFonts w:ascii="Arial" w:hAnsi="Arial"/>
        </w:rPr>
        <w:t>Program</w:t>
      </w:r>
      <w:r w:rsidR="00A321DD" w:rsidRPr="004D407A">
        <w:rPr>
          <w:rFonts w:ascii="Arial" w:hAnsi="Arial"/>
        </w:rPr>
        <w:t>on</w:t>
      </w:r>
      <w:proofErr w:type="spellEnd"/>
      <w:r w:rsidRPr="004D407A">
        <w:rPr>
          <w:rFonts w:ascii="Arial" w:hAnsi="Arial"/>
        </w:rPr>
        <w:t xml:space="preserve"> Immunization” (EPI) is an integral part of the national health policy framework, and serves as an instrument for the implementation of health policy under the extended 4</w:t>
      </w:r>
      <w:r w:rsidRPr="004D407A">
        <w:rPr>
          <w:rFonts w:ascii="Arial" w:hAnsi="Arial"/>
          <w:vertAlign w:val="superscript"/>
        </w:rPr>
        <w:t>th</w:t>
      </w:r>
      <w:r w:rsidRPr="004D407A">
        <w:rPr>
          <w:rFonts w:ascii="Arial" w:hAnsi="Arial"/>
        </w:rPr>
        <w:t xml:space="preserve"> Health, Nutrition and Population Sector Program Component 3 “Quality Health Services”, Strategic Objective 7 “To improve equitable access to and utilization of quality health, nutrition and family planning services” (as described in details in section </w:t>
      </w:r>
      <w:r w:rsidRPr="004D407A">
        <w:rPr>
          <w:rFonts w:ascii="Arial" w:hAnsi="Arial"/>
        </w:rPr>
        <w:fldChar w:fldCharType="begin"/>
      </w:r>
      <w:r w:rsidRPr="004D407A">
        <w:rPr>
          <w:rFonts w:ascii="Arial" w:hAnsi="Arial"/>
        </w:rPr>
        <w:instrText xml:space="preserve"> REF _Ref488941758 \r \h  \* MERGEFORMAT </w:instrText>
      </w:r>
      <w:r w:rsidRPr="004D407A">
        <w:rPr>
          <w:rFonts w:ascii="Arial" w:hAnsi="Arial"/>
        </w:rPr>
      </w:r>
      <w:r w:rsidRPr="004D407A">
        <w:rPr>
          <w:rFonts w:ascii="Arial" w:hAnsi="Arial"/>
        </w:rPr>
        <w:fldChar w:fldCharType="separate"/>
      </w:r>
      <w:r w:rsidR="00D80429" w:rsidRPr="004D407A">
        <w:rPr>
          <w:rFonts w:ascii="Arial" w:hAnsi="Arial"/>
        </w:rPr>
        <w:t>2.2.1</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_Ref488941759 \h  \* MERGEFORMAT </w:instrText>
      </w:r>
      <w:r w:rsidRPr="004D407A">
        <w:rPr>
          <w:rFonts w:ascii="Arial" w:hAnsi="Arial"/>
        </w:rPr>
      </w:r>
      <w:r w:rsidRPr="004D407A">
        <w:rPr>
          <w:rFonts w:ascii="Arial" w:hAnsi="Arial"/>
        </w:rPr>
        <w:fldChar w:fldCharType="separate"/>
      </w:r>
      <w:r w:rsidR="00D80429" w:rsidRPr="004D407A">
        <w:rPr>
          <w:rFonts w:ascii="Arial" w:hAnsi="Arial"/>
        </w:rPr>
        <w:t>Governance</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_Ref488941761 \p \h  \* MERGEFORMAT </w:instrText>
      </w:r>
      <w:r w:rsidRPr="004D407A">
        <w:rPr>
          <w:rFonts w:ascii="Arial" w:hAnsi="Arial"/>
        </w:rPr>
      </w:r>
      <w:r w:rsidRPr="004D407A">
        <w:rPr>
          <w:rFonts w:ascii="Arial" w:hAnsi="Arial"/>
        </w:rPr>
        <w:fldChar w:fldCharType="separate"/>
      </w:r>
      <w:r w:rsidR="00D80429" w:rsidRPr="004D407A">
        <w:rPr>
          <w:rFonts w:ascii="Arial" w:hAnsi="Arial"/>
        </w:rPr>
        <w:t>above</w:t>
      </w:r>
      <w:r w:rsidRPr="004D407A">
        <w:rPr>
          <w:rFonts w:ascii="Arial" w:hAnsi="Arial"/>
        </w:rPr>
        <w:fldChar w:fldCharType="end"/>
      </w:r>
      <w:r w:rsidRPr="004D407A">
        <w:rPr>
          <w:rFonts w:ascii="Arial" w:hAnsi="Arial"/>
        </w:rPr>
        <w:t xml:space="preserve">). EPI services are explicitly defined in the Essential Service Package, and its objectives and strategies are reflected in the </w:t>
      </w:r>
      <w:r w:rsidR="00AB225F" w:rsidRPr="004D407A">
        <w:rPr>
          <w:rFonts w:ascii="Arial" w:hAnsi="Arial"/>
          <w:i/>
          <w:iCs/>
        </w:rPr>
        <w:t xml:space="preserve">Revised </w:t>
      </w:r>
      <w:r w:rsidRPr="004D407A">
        <w:rPr>
          <w:rFonts w:ascii="Arial" w:hAnsi="Arial"/>
          <w:i/>
          <w:iCs/>
        </w:rPr>
        <w:t>Operational Plan on Maternal, Neonatal Child and Adolescent Health 2017-202</w:t>
      </w:r>
      <w:r w:rsidR="00AB225F" w:rsidRPr="004D407A">
        <w:rPr>
          <w:rFonts w:ascii="Arial" w:hAnsi="Arial"/>
          <w:i/>
          <w:iCs/>
        </w:rPr>
        <w:t>3</w:t>
      </w:r>
      <w:r w:rsidRPr="004D407A">
        <w:rPr>
          <w:rFonts w:ascii="Arial" w:hAnsi="Arial"/>
        </w:rPr>
        <w:t>.</w:t>
      </w:r>
    </w:p>
    <w:p w14:paraId="4B42C2CF" w14:textId="4E097289" w:rsidR="00D66951" w:rsidRPr="004D407A" w:rsidRDefault="00D66951" w:rsidP="007D7772">
      <w:pPr>
        <w:pStyle w:val="BodyText"/>
        <w:rPr>
          <w:rFonts w:ascii="Arial" w:hAnsi="Arial"/>
        </w:rPr>
      </w:pPr>
      <w:r w:rsidRPr="004D407A">
        <w:rPr>
          <w:rFonts w:ascii="Arial" w:hAnsi="Arial"/>
        </w:rPr>
        <w:t>Since its establishment, the EPI has been a priority and one of the most successful public health programs. The Government showed strong commitment to reach every child and mother with quality immunization services to reduce maternal and child mortality and morbidity arising from vaccine preventable diseases. The 4th HPNSP, elaborated by the Government of Bangladesh identified improvement of child survival through vaccination of children and women as one of its key priority areas for achieving targets of national health strategy.</w:t>
      </w:r>
    </w:p>
    <w:p w14:paraId="27416EDE" w14:textId="521276CC" w:rsidR="007D7772" w:rsidRPr="004D407A" w:rsidRDefault="007D7772" w:rsidP="00D66951">
      <w:pPr>
        <w:pStyle w:val="BodyText"/>
        <w:rPr>
          <w:rFonts w:ascii="Arial" w:hAnsi="Arial"/>
        </w:rPr>
      </w:pPr>
      <w:r w:rsidRPr="004D407A">
        <w:rPr>
          <w:rFonts w:ascii="Arial" w:hAnsi="Arial"/>
        </w:rPr>
        <w:t>EPI aims at realizing commitment of the GoB to the Global Universal Child Immunization Initiative. The government of Bangladesh has been regularly developing a comprehensive Multi-Year Plans for Immunization (</w:t>
      </w:r>
      <w:proofErr w:type="spellStart"/>
      <w:r w:rsidRPr="004D407A">
        <w:rPr>
          <w:rFonts w:ascii="Arial" w:hAnsi="Arial"/>
        </w:rPr>
        <w:t>cMYP</w:t>
      </w:r>
      <w:proofErr w:type="spellEnd"/>
      <w:r w:rsidRPr="004D407A">
        <w:rPr>
          <w:rFonts w:ascii="Arial" w:hAnsi="Arial"/>
        </w:rPr>
        <w:t xml:space="preserve">) for national immunization program of Bangladesh. Based on the global recommendations and new methodology for development of the immunization strategies, the government decided to replace </w:t>
      </w:r>
      <w:proofErr w:type="spellStart"/>
      <w:r w:rsidRPr="004D407A">
        <w:rPr>
          <w:rFonts w:ascii="Arial" w:hAnsi="Arial"/>
        </w:rPr>
        <w:t>cMYP</w:t>
      </w:r>
      <w:proofErr w:type="spellEnd"/>
      <w:r w:rsidRPr="004D407A">
        <w:rPr>
          <w:rFonts w:ascii="Arial" w:hAnsi="Arial"/>
        </w:rPr>
        <w:t xml:space="preserve"> with the National Immunization Strategy</w:t>
      </w:r>
      <w:r w:rsidR="00D66951" w:rsidRPr="004D407A">
        <w:rPr>
          <w:rFonts w:ascii="Arial" w:hAnsi="Arial"/>
        </w:rPr>
        <w:t xml:space="preserve"> (NIS)</w:t>
      </w:r>
      <w:r w:rsidRPr="004D407A">
        <w:rPr>
          <w:rFonts w:ascii="Arial" w:hAnsi="Arial"/>
        </w:rPr>
        <w:t xml:space="preserve"> from 2023. The</w:t>
      </w:r>
      <w:r w:rsidR="00D66951" w:rsidRPr="004D407A">
        <w:rPr>
          <w:rFonts w:ascii="Arial" w:hAnsi="Arial"/>
        </w:rPr>
        <w:t xml:space="preserve"> NIS is one of the key documents of the immunization sector of the country, providing</w:t>
      </w:r>
      <w:r w:rsidRPr="004D407A">
        <w:rPr>
          <w:rFonts w:ascii="Arial" w:hAnsi="Arial"/>
        </w:rPr>
        <w:t xml:space="preserve"> a framework for design and implementation of </w:t>
      </w:r>
      <w:r w:rsidR="00D66951" w:rsidRPr="004D407A">
        <w:rPr>
          <w:rFonts w:ascii="Arial" w:hAnsi="Arial"/>
        </w:rPr>
        <w:lastRenderedPageBreak/>
        <w:t xml:space="preserve">strategic </w:t>
      </w:r>
      <w:r w:rsidRPr="004D407A">
        <w:rPr>
          <w:rFonts w:ascii="Arial" w:hAnsi="Arial"/>
        </w:rPr>
        <w:t xml:space="preserve">interventions to achieve important objectives of the Expanded Program on Immunization, to contribute </w:t>
      </w:r>
      <w:proofErr w:type="gramStart"/>
      <w:r w:rsidRPr="004D407A">
        <w:rPr>
          <w:rFonts w:ascii="Arial" w:hAnsi="Arial"/>
        </w:rPr>
        <w:t>in</w:t>
      </w:r>
      <w:proofErr w:type="gramEnd"/>
      <w:r w:rsidRPr="004D407A">
        <w:rPr>
          <w:rFonts w:ascii="Arial" w:hAnsi="Arial"/>
        </w:rPr>
        <w:t xml:space="preserve"> implementation of the national health policy. The NIS sets out the Vision, strategic objectives (medium-term/five-years) and main strategic interventions of the national immunization program</w:t>
      </w:r>
      <w:r w:rsidR="00D66951" w:rsidRPr="004D407A">
        <w:rPr>
          <w:rFonts w:ascii="Arial" w:hAnsi="Arial"/>
        </w:rPr>
        <w:t xml:space="preserve">. In </w:t>
      </w:r>
      <w:r w:rsidR="00F34FF1" w:rsidRPr="004D407A">
        <w:rPr>
          <w:rFonts w:ascii="Arial" w:hAnsi="Arial"/>
        </w:rPr>
        <w:t>addition,</w:t>
      </w:r>
      <w:r w:rsidR="00D66951" w:rsidRPr="004D407A">
        <w:rPr>
          <w:rFonts w:ascii="Arial" w:hAnsi="Arial"/>
        </w:rPr>
        <w:t xml:space="preserve"> the NIS provides costing and financing analysis of the strategy and highlights resource requirements for NIS implementation, secured sources of funding and funding gap analysis that supports strategic planning process for ensuring financial sustainability of NIS implementation.</w:t>
      </w:r>
    </w:p>
    <w:p w14:paraId="14470B33" w14:textId="08D0E490" w:rsidR="007D7772" w:rsidRPr="004D407A" w:rsidRDefault="007D7772" w:rsidP="007D7772">
      <w:pPr>
        <w:pStyle w:val="BodyText"/>
        <w:rPr>
          <w:i/>
          <w:iCs/>
        </w:rPr>
      </w:pPr>
      <w:r w:rsidRPr="004D407A">
        <w:rPr>
          <w:rFonts w:ascii="Arial" w:hAnsi="Arial"/>
        </w:rPr>
        <w:t xml:space="preserve">During the period of 2018-2022 EPI has been aiming at achievement of the 6 strategic objectives as defined in the </w:t>
      </w:r>
      <w:proofErr w:type="spellStart"/>
      <w:r w:rsidRPr="004D407A">
        <w:rPr>
          <w:rFonts w:ascii="Arial" w:hAnsi="Arial"/>
        </w:rPr>
        <w:t>cMYP</w:t>
      </w:r>
      <w:proofErr w:type="spellEnd"/>
      <w:r w:rsidRPr="004D407A">
        <w:rPr>
          <w:rFonts w:ascii="Arial" w:hAnsi="Arial"/>
        </w:rPr>
        <w:t xml:space="preserve"> 2014-2018 that contributes to the achievement of respective targets of the 3</w:t>
      </w:r>
      <w:r w:rsidRPr="004D407A">
        <w:rPr>
          <w:rFonts w:ascii="Arial" w:hAnsi="Arial"/>
          <w:vertAlign w:val="superscript"/>
        </w:rPr>
        <w:t>rd</w:t>
      </w:r>
      <w:r w:rsidRPr="004D407A">
        <w:rPr>
          <w:rFonts w:ascii="Arial" w:hAnsi="Arial"/>
        </w:rPr>
        <w:t xml:space="preserve"> HPNSP results framework:</w:t>
      </w:r>
      <w:r w:rsidR="00AA540A" w:rsidRPr="004D407A">
        <w:rPr>
          <w:rFonts w:ascii="Arial" w:hAnsi="Arial"/>
        </w:rPr>
        <w:t xml:space="preserve"> </w:t>
      </w:r>
      <w:r w:rsidR="00AA540A" w:rsidRPr="004D407A">
        <w:rPr>
          <w:rFonts w:ascii="Arial" w:hAnsi="Arial"/>
          <w:i/>
          <w:iCs/>
        </w:rPr>
        <w:t>Objective 1: Improve Immunization coverage among children under one and child bearing age women (CBAW); Objective 2: Maintain polio free status; Objective 3: Maintain maternal and neonatal tetanus elimination status; Objective 4: Measles elimination and rubella control; and Objective 6: Strengthen the immunization health system.</w:t>
      </w:r>
    </w:p>
    <w:p w14:paraId="007A5215" w14:textId="1EB67EC1" w:rsidR="006006C9" w:rsidRPr="004D407A" w:rsidRDefault="006006C9" w:rsidP="006006C9">
      <w:pPr>
        <w:pStyle w:val="Heading3"/>
        <w:rPr>
          <w:color w:val="auto"/>
        </w:rPr>
      </w:pPr>
      <w:bookmarkStart w:id="93" w:name="_Toc489491503"/>
      <w:bookmarkStart w:id="94" w:name="_Toc111910240"/>
      <w:r w:rsidRPr="004D407A">
        <w:rPr>
          <w:color w:val="auto"/>
        </w:rPr>
        <w:t>Immunization system outcomes</w:t>
      </w:r>
      <w:bookmarkEnd w:id="93"/>
      <w:bookmarkEnd w:id="94"/>
    </w:p>
    <w:p w14:paraId="3E66D250" w14:textId="5AB12988" w:rsidR="008475BF" w:rsidRPr="004D407A" w:rsidRDefault="008475BF" w:rsidP="008475BF">
      <w:pPr>
        <w:pStyle w:val="Heading4"/>
        <w:rPr>
          <w:color w:val="auto"/>
        </w:rPr>
      </w:pPr>
      <w:bookmarkStart w:id="95" w:name="_Toc489491504"/>
      <w:bookmarkStart w:id="96" w:name="_Toc111910241"/>
      <w:r w:rsidRPr="004D407A">
        <w:rPr>
          <w:color w:val="auto"/>
        </w:rPr>
        <w:t>Immunization coverage trends</w:t>
      </w:r>
      <w:bookmarkEnd w:id="95"/>
      <w:bookmarkEnd w:id="96"/>
      <w:r w:rsidRPr="004D407A">
        <w:rPr>
          <w:color w:val="auto"/>
        </w:rPr>
        <w:t xml:space="preserve"> </w:t>
      </w:r>
    </w:p>
    <w:p w14:paraId="6A634DD2" w14:textId="77777777" w:rsidR="007D7772" w:rsidRPr="004D407A" w:rsidRDefault="007D7772" w:rsidP="007D7772">
      <w:pPr>
        <w:pStyle w:val="BodyText"/>
        <w:rPr>
          <w:rFonts w:ascii="Arial" w:hAnsi="Arial"/>
        </w:rPr>
      </w:pPr>
      <w:r w:rsidRPr="004D407A">
        <w:rPr>
          <w:rFonts w:ascii="Arial" w:hAnsi="Arial"/>
        </w:rPr>
        <w:t xml:space="preserve">Bangladesh has a high performing immunization program, with the established capacity to set and achieve targets and deliver immunization services through well-structured network of service providers, monitor </w:t>
      </w:r>
      <w:proofErr w:type="spellStart"/>
      <w:r w:rsidRPr="004D407A">
        <w:rPr>
          <w:rFonts w:ascii="Arial" w:hAnsi="Arial"/>
        </w:rPr>
        <w:t>programme</w:t>
      </w:r>
      <w:proofErr w:type="spellEnd"/>
      <w:r w:rsidRPr="004D407A">
        <w:rPr>
          <w:rFonts w:ascii="Arial" w:hAnsi="Arial"/>
        </w:rPr>
        <w:t xml:space="preserve"> </w:t>
      </w:r>
      <w:proofErr w:type="gramStart"/>
      <w:r w:rsidRPr="004D407A">
        <w:rPr>
          <w:rFonts w:ascii="Arial" w:hAnsi="Arial"/>
        </w:rPr>
        <w:t>implementation</w:t>
      </w:r>
      <w:proofErr w:type="gramEnd"/>
      <w:r w:rsidRPr="004D407A">
        <w:rPr>
          <w:rFonts w:ascii="Arial" w:hAnsi="Arial"/>
        </w:rPr>
        <w:t xml:space="preserve"> and create evidence basis for design and implementation of corrective measures through the well-established surveillance system. </w:t>
      </w:r>
    </w:p>
    <w:p w14:paraId="7EAD58B0" w14:textId="77777777" w:rsidR="007D7772" w:rsidRPr="004D407A" w:rsidRDefault="007D7772" w:rsidP="007D7772">
      <w:pPr>
        <w:pStyle w:val="BodyText"/>
        <w:rPr>
          <w:rFonts w:ascii="Arial" w:hAnsi="Arial"/>
        </w:rPr>
      </w:pPr>
      <w:r w:rsidRPr="004D407A">
        <w:rPr>
          <w:rFonts w:ascii="Arial" w:hAnsi="Arial"/>
        </w:rPr>
        <w:t xml:space="preserve">The immunization </w:t>
      </w:r>
      <w:proofErr w:type="spellStart"/>
      <w:r w:rsidRPr="004D407A">
        <w:rPr>
          <w:rFonts w:ascii="Arial" w:hAnsi="Arial"/>
        </w:rPr>
        <w:t>programme</w:t>
      </w:r>
      <w:proofErr w:type="spellEnd"/>
      <w:r w:rsidRPr="004D407A">
        <w:rPr>
          <w:rFonts w:ascii="Arial" w:hAnsi="Arial"/>
        </w:rPr>
        <w:t xml:space="preserve"> in Bangladesh under the strong government ownership has made tremendous progress in recent years through maintenance of high national coverage levels and reduced drop-out rates. Reported immunization coverage rates and WHO&amp;UNICEF coverage estimates have remained over 90% for more than ten years and more than 80% of children under 12 months of age are fully immunized.</w:t>
      </w:r>
    </w:p>
    <w:p w14:paraId="5B304B40" w14:textId="657D984B" w:rsidR="007D7772" w:rsidRPr="004D407A" w:rsidRDefault="007D7772">
      <w:pPr>
        <w:pStyle w:val="BodyText"/>
        <w:numPr>
          <w:ilvl w:val="1"/>
          <w:numId w:val="20"/>
        </w:numPr>
        <w:rPr>
          <w:rFonts w:ascii="Arial" w:hAnsi="Arial"/>
        </w:rPr>
      </w:pPr>
      <w:r w:rsidRPr="004D407A">
        <w:rPr>
          <w:rFonts w:ascii="Arial" w:hAnsi="Arial"/>
        </w:rPr>
        <w:t xml:space="preserve">According </w:t>
      </w:r>
      <w:r w:rsidR="001E432A" w:rsidRPr="004D407A">
        <w:rPr>
          <w:rFonts w:ascii="Arial" w:hAnsi="Arial"/>
        </w:rPr>
        <w:t xml:space="preserve">to </w:t>
      </w:r>
      <w:r w:rsidRPr="004D407A">
        <w:rPr>
          <w:rFonts w:ascii="Arial" w:hAnsi="Arial"/>
        </w:rPr>
        <w:t xml:space="preserve">the CES 2019 national coverage estimate for Penta3 was estimated is 99.8%. MR/MCV1 coverage was estimated at 89.5%, and fully vaccinated child (BCG, TT, DTP3, OPV, MCV) - at 83.9% as shown </w:t>
      </w:r>
      <w:r w:rsidRPr="004D407A">
        <w:rPr>
          <w:rFonts w:ascii="Arial" w:hAnsi="Arial"/>
        </w:rPr>
        <w:fldChar w:fldCharType="begin"/>
      </w:r>
      <w:r w:rsidRPr="004D407A">
        <w:rPr>
          <w:rFonts w:ascii="Arial" w:hAnsi="Arial"/>
        </w:rPr>
        <w:instrText xml:space="preserve"> REF _Ref488451877 \h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8</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_Ref489465222 \p \h  \* MERGEFORMAT </w:instrText>
      </w:r>
      <w:r w:rsidRPr="004D407A">
        <w:rPr>
          <w:rFonts w:ascii="Arial" w:hAnsi="Arial"/>
        </w:rPr>
      </w:r>
      <w:r w:rsidRPr="004D407A">
        <w:rPr>
          <w:rFonts w:ascii="Arial" w:hAnsi="Arial"/>
        </w:rPr>
        <w:fldChar w:fldCharType="separate"/>
      </w:r>
      <w:r w:rsidR="00D80429" w:rsidRPr="004D407A">
        <w:rPr>
          <w:rFonts w:ascii="Arial" w:hAnsi="Arial"/>
        </w:rPr>
        <w:t>below</w:t>
      </w:r>
      <w:r w:rsidRPr="004D407A">
        <w:rPr>
          <w:rFonts w:ascii="Arial" w:hAnsi="Arial"/>
        </w:rPr>
        <w:fldChar w:fldCharType="end"/>
      </w:r>
      <w:r w:rsidRPr="004D407A">
        <w:rPr>
          <w:rFonts w:ascii="Arial" w:hAnsi="Arial"/>
        </w:rPr>
        <w:t>.</w:t>
      </w:r>
    </w:p>
    <w:p w14:paraId="28ED39D8" w14:textId="7265A780" w:rsidR="00B41345" w:rsidRPr="004D407A" w:rsidRDefault="007D7772" w:rsidP="007D7772">
      <w:pPr>
        <w:pStyle w:val="BodyText"/>
      </w:pPr>
      <w:r w:rsidRPr="004D407A">
        <w:rPr>
          <w:rFonts w:ascii="Arial" w:hAnsi="Arial"/>
        </w:rPr>
        <w:t>According to CES 2019 preliminary findings, more than 80 percent of children under 12 months of age were fully immunized</w:t>
      </w:r>
      <w:r w:rsidR="008475BF" w:rsidRPr="004D407A">
        <w:rPr>
          <w:rFonts w:ascii="Arial" w:hAnsi="Arial"/>
        </w:rPr>
        <w:t xml:space="preserve"> as shown </w:t>
      </w:r>
      <w:r w:rsidR="008475BF" w:rsidRPr="004D407A">
        <w:rPr>
          <w:rFonts w:ascii="Arial" w:hAnsi="Arial"/>
        </w:rPr>
        <w:fldChar w:fldCharType="begin"/>
      </w:r>
      <w:r w:rsidR="008475BF" w:rsidRPr="004D407A">
        <w:rPr>
          <w:rFonts w:ascii="Arial" w:hAnsi="Arial"/>
        </w:rPr>
        <w:instrText xml:space="preserve"> REF _Ref488451877 \h </w:instrText>
      </w:r>
      <w:r w:rsidR="00620E24" w:rsidRPr="004D407A">
        <w:rPr>
          <w:rFonts w:ascii="Arial" w:hAnsi="Arial"/>
        </w:rPr>
        <w:instrText xml:space="preserve"> \* MERGEFORMAT </w:instrText>
      </w:r>
      <w:r w:rsidR="008475BF" w:rsidRPr="004D407A">
        <w:rPr>
          <w:rFonts w:ascii="Arial" w:hAnsi="Arial"/>
        </w:rPr>
      </w:r>
      <w:r w:rsidR="008475BF"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8</w:t>
      </w:r>
      <w:r w:rsidR="008475BF" w:rsidRPr="004D407A">
        <w:rPr>
          <w:rFonts w:ascii="Arial" w:hAnsi="Arial"/>
        </w:rPr>
        <w:fldChar w:fldCharType="end"/>
      </w:r>
      <w:r w:rsidR="008475BF" w:rsidRPr="004D407A">
        <w:rPr>
          <w:rFonts w:ascii="Arial" w:hAnsi="Arial"/>
        </w:rPr>
        <w:t xml:space="preserve"> </w:t>
      </w:r>
      <w:r w:rsidR="008475BF" w:rsidRPr="004D407A">
        <w:rPr>
          <w:rFonts w:ascii="Arial" w:hAnsi="Arial"/>
        </w:rPr>
        <w:fldChar w:fldCharType="begin"/>
      </w:r>
      <w:r w:rsidR="008475BF" w:rsidRPr="004D407A">
        <w:rPr>
          <w:rFonts w:ascii="Arial" w:hAnsi="Arial"/>
        </w:rPr>
        <w:instrText xml:space="preserve"> REF _Ref489465222 \p \h </w:instrText>
      </w:r>
      <w:r w:rsidR="00620E24" w:rsidRPr="004D407A">
        <w:rPr>
          <w:rFonts w:ascii="Arial" w:hAnsi="Arial"/>
        </w:rPr>
        <w:instrText xml:space="preserve"> \* MERGEFORMAT </w:instrText>
      </w:r>
      <w:r w:rsidR="008475BF" w:rsidRPr="004D407A">
        <w:rPr>
          <w:rFonts w:ascii="Arial" w:hAnsi="Arial"/>
        </w:rPr>
      </w:r>
      <w:r w:rsidR="008475BF" w:rsidRPr="004D407A">
        <w:rPr>
          <w:rFonts w:ascii="Arial" w:hAnsi="Arial"/>
        </w:rPr>
        <w:fldChar w:fldCharType="separate"/>
      </w:r>
      <w:r w:rsidR="00D80429" w:rsidRPr="004D407A">
        <w:rPr>
          <w:rFonts w:ascii="Arial" w:hAnsi="Arial"/>
        </w:rPr>
        <w:t>below</w:t>
      </w:r>
      <w:r w:rsidR="008475BF" w:rsidRPr="004D407A">
        <w:rPr>
          <w:rFonts w:ascii="Arial" w:hAnsi="Arial"/>
        </w:rPr>
        <w:fldChar w:fldCharType="end"/>
      </w:r>
      <w:r w:rsidR="00B41345" w:rsidRPr="004D407A">
        <w:rPr>
          <w:rFonts w:ascii="Arial" w:hAnsi="Arial"/>
        </w:rPr>
        <w:t xml:space="preserve">. </w:t>
      </w:r>
    </w:p>
    <w:p w14:paraId="2FD0CD17" w14:textId="61BF811E" w:rsidR="00B41345" w:rsidRPr="004D407A" w:rsidRDefault="00B41345" w:rsidP="00B41345">
      <w:pPr>
        <w:pStyle w:val="Caption"/>
        <w:rPr>
          <w:color w:val="auto"/>
        </w:rPr>
      </w:pPr>
      <w:bookmarkStart w:id="97" w:name="_Ref488451877"/>
      <w:bookmarkStart w:id="98" w:name="_Toc489355881"/>
      <w:bookmarkStart w:id="99" w:name="_Ref489465222"/>
      <w:bookmarkStart w:id="100" w:name="_Toc489491436"/>
      <w:bookmarkStart w:id="101" w:name="_Toc490750609"/>
      <w:bookmarkStart w:id="102" w:name="_Toc111912747"/>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8</w:t>
      </w:r>
      <w:r w:rsidR="00E21383" w:rsidRPr="004D407A">
        <w:rPr>
          <w:noProof/>
          <w:color w:val="auto"/>
        </w:rPr>
        <w:fldChar w:fldCharType="end"/>
      </w:r>
      <w:bookmarkEnd w:id="97"/>
      <w:r w:rsidRPr="004D407A">
        <w:rPr>
          <w:color w:val="auto"/>
        </w:rPr>
        <w:t>:</w:t>
      </w:r>
      <w:r w:rsidR="001351F4" w:rsidRPr="004D407A">
        <w:rPr>
          <w:color w:val="auto"/>
        </w:rPr>
        <w:t xml:space="preserve"> </w:t>
      </w:r>
      <w:r w:rsidRPr="004D407A">
        <w:rPr>
          <w:color w:val="auto"/>
        </w:rPr>
        <w:t xml:space="preserve">National Immunization Coverage </w:t>
      </w:r>
      <w:bookmarkEnd w:id="98"/>
      <w:r w:rsidR="00661FCF" w:rsidRPr="004D407A">
        <w:rPr>
          <w:color w:val="auto"/>
        </w:rPr>
        <w:t>for selected antigens in last 5 years</w:t>
      </w:r>
      <w:bookmarkEnd w:id="99"/>
      <w:bookmarkEnd w:id="100"/>
      <w:bookmarkEnd w:id="101"/>
      <w:bookmarkEnd w:id="102"/>
    </w:p>
    <w:p w14:paraId="7858B8FA" w14:textId="17A24C24" w:rsidR="00B41345" w:rsidRPr="004D407A" w:rsidRDefault="003B63B7" w:rsidP="00B41345">
      <w:pPr>
        <w:spacing w:after="0" w:line="240" w:lineRule="auto"/>
      </w:pPr>
      <w:r>
        <w:rPr>
          <w:noProof/>
        </w:rPr>
        <w:drawing>
          <wp:inline distT="0" distB="0" distL="0" distR="0" wp14:anchorId="484FB7C7" wp14:editId="62F2CD49">
            <wp:extent cx="3781425" cy="2124075"/>
            <wp:effectExtent l="0" t="0" r="9525" b="9525"/>
            <wp:docPr id="1" name="Chart 1"/>
            <wp:cNvGraphicFramePr/>
            <a:graphic xmlns:a="http://schemas.openxmlformats.org/drawingml/2006/main">
              <a:graphicData uri="http://schemas.openxmlformats.org/drawingml/2006/picture">
                <pic:pic xmlns:pic="http://schemas.openxmlformats.org/drawingml/2006/picture">
                  <pic:nvPicPr>
                    <pic:cNvPr id="1" name="Chart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2124075"/>
                    </a:xfrm>
                    <a:prstGeom prst="rect">
                      <a:avLst/>
                    </a:prstGeom>
                    <a:noFill/>
                    <a:ln>
                      <a:noFill/>
                    </a:ln>
                  </pic:spPr>
                </pic:pic>
              </a:graphicData>
            </a:graphic>
          </wp:inline>
        </w:drawing>
      </w:r>
    </w:p>
    <w:p w14:paraId="7EBD55EA" w14:textId="1B8A2DA1" w:rsidR="00B41345" w:rsidRPr="004D407A" w:rsidRDefault="00B41345" w:rsidP="00B41345">
      <w:pPr>
        <w:pStyle w:val="mySource"/>
        <w:rPr>
          <w:color w:val="auto"/>
        </w:rPr>
      </w:pPr>
      <w:r w:rsidRPr="004D407A">
        <w:rPr>
          <w:color w:val="auto"/>
        </w:rPr>
        <w:t>Source: WUENIC, 20</w:t>
      </w:r>
      <w:r w:rsidR="007D7772" w:rsidRPr="004D407A">
        <w:rPr>
          <w:color w:val="auto"/>
        </w:rPr>
        <w:t>21</w:t>
      </w:r>
    </w:p>
    <w:p w14:paraId="4B1FF80F" w14:textId="2DD48BD6" w:rsidR="008475BF" w:rsidRPr="004D407A" w:rsidRDefault="004C01B3" w:rsidP="008475BF">
      <w:pPr>
        <w:pStyle w:val="BodyText"/>
        <w:rPr>
          <w:rFonts w:ascii="Arial" w:hAnsi="Arial"/>
        </w:rPr>
      </w:pPr>
      <w:r w:rsidRPr="004D407A">
        <w:rPr>
          <w:rFonts w:ascii="Arial" w:hAnsi="Arial"/>
        </w:rPr>
        <w:lastRenderedPageBreak/>
        <w:t>WHO/UNICEF official estimates of national immunization coverage (WUENIC) for DTP3 was 93.4%, while DTP3 coverage based on administrative data reports was 110% in 2020; Official estimates of MCV1 and MCV2 coverage were 93% and 89% respectively, while administratively reported data showed 108% and 107% respectively</w:t>
      </w:r>
      <w:r w:rsidRPr="004D407A">
        <w:rPr>
          <w:rFonts w:ascii="Arial" w:hAnsi="Arial"/>
          <w:sz w:val="24"/>
          <w:szCs w:val="24"/>
        </w:rPr>
        <w:t xml:space="preserve">. The high administrative coverage owes mostly to the longstanding and unresolved denominator issue. </w:t>
      </w:r>
      <w:r w:rsidRPr="004D407A">
        <w:rPr>
          <w:rFonts w:ascii="Arial" w:hAnsi="Arial" w:cstheme="minorHAnsi"/>
        </w:rPr>
        <w:t xml:space="preserve">The denominator at district and </w:t>
      </w:r>
      <w:proofErr w:type="spellStart"/>
      <w:r w:rsidRPr="004D407A">
        <w:rPr>
          <w:rFonts w:ascii="Arial" w:hAnsi="Arial" w:cstheme="minorHAnsi"/>
        </w:rPr>
        <w:t>upazila</w:t>
      </w:r>
      <w:proofErr w:type="spellEnd"/>
      <w:r w:rsidRPr="004D407A">
        <w:rPr>
          <w:rFonts w:ascii="Arial" w:hAnsi="Arial" w:cstheme="minorHAnsi"/>
        </w:rPr>
        <w:t xml:space="preserve"> levels based on population projection from 2011 census is mostly underestimation and the reaching to a realistic denominator was not possible even after seeking assistance from nationally and internationally reputed demographists in the recent past. Alternate suggestion is to use the available micro-plan data till the next census, which initially was scheduled for 2021, but was postponed due to the COVID-19 pandemic. Unresolved denominator issue remains a challenging problem in EPI</w:t>
      </w:r>
      <w:r w:rsidR="008475BF" w:rsidRPr="004D407A">
        <w:rPr>
          <w:rFonts w:ascii="Arial" w:hAnsi="Arial"/>
        </w:rPr>
        <w:t>.</w:t>
      </w:r>
    </w:p>
    <w:p w14:paraId="351C6ADD" w14:textId="4134DF43" w:rsidR="008475BF" w:rsidRPr="004D407A" w:rsidRDefault="008475BF" w:rsidP="008475BF">
      <w:pPr>
        <w:pStyle w:val="Heading4"/>
        <w:rPr>
          <w:color w:val="auto"/>
        </w:rPr>
      </w:pPr>
      <w:bookmarkStart w:id="103" w:name="_Toc489491505"/>
      <w:bookmarkStart w:id="104" w:name="_Toc111910242"/>
      <w:r w:rsidRPr="004D407A">
        <w:rPr>
          <w:color w:val="auto"/>
        </w:rPr>
        <w:t>Immunization coverage equity</w:t>
      </w:r>
      <w:bookmarkEnd w:id="103"/>
      <w:bookmarkEnd w:id="104"/>
    </w:p>
    <w:p w14:paraId="56C8F6B1" w14:textId="1A913BB5" w:rsidR="00E12751" w:rsidRPr="004D407A" w:rsidRDefault="004C01B3" w:rsidP="00E12751">
      <w:pPr>
        <w:pStyle w:val="BodyText"/>
        <w:rPr>
          <w:rFonts w:ascii="Arial" w:hAnsi="Arial"/>
          <w:sz w:val="24"/>
          <w:szCs w:val="24"/>
        </w:rPr>
      </w:pPr>
      <w:r w:rsidRPr="004D407A">
        <w:rPr>
          <w:rFonts w:ascii="Arial" w:hAnsi="Arial"/>
        </w:rPr>
        <w:t xml:space="preserve">Drop-out rates have been substantially reduced during the recent years.  However, drop-out cases from the subsequent dose(s) of the same antigen or different antigen </w:t>
      </w:r>
      <w:r w:rsidR="00D470F3" w:rsidRPr="004D407A">
        <w:rPr>
          <w:rFonts w:ascii="Arial" w:hAnsi="Arial"/>
        </w:rPr>
        <w:t>were</w:t>
      </w:r>
      <w:r w:rsidRPr="004D407A">
        <w:rPr>
          <w:rFonts w:ascii="Arial" w:hAnsi="Arial"/>
        </w:rPr>
        <w:t xml:space="preserve"> the most notable obstacle in achieving the desired coverage targets.</w:t>
      </w:r>
      <w:r w:rsidRPr="004D407A">
        <w:rPr>
          <w:rFonts w:ascii="Arial" w:hAnsi="Arial"/>
          <w:vertAlign w:val="superscript"/>
        </w:rPr>
        <w:t xml:space="preserve">1 </w:t>
      </w:r>
      <w:r w:rsidRPr="004D407A">
        <w:rPr>
          <w:rFonts w:ascii="Arial" w:hAnsi="Arial"/>
        </w:rPr>
        <w:t>According to the CES, 2019 findings the MCV1-MCV2 drop-out rate accounted for 4.5%, with almost the same rate in the rural and urban areas (4.4% and 5% respectively). There was almost no difference in the MCV1-MCV2 drop-out rates among the males and females across the country. Among the eight divisions, the MCV1 – MCV2 drop-out rate was the highest in Mymensingh (8.3%) and the lowest in Rajshahi (0.4%). In the other divisions, the rate ranged between 7.1% and 3.5%</w:t>
      </w:r>
      <w:r w:rsidR="00E12751" w:rsidRPr="004D407A">
        <w:rPr>
          <w:rFonts w:ascii="Arial" w:hAnsi="Arial"/>
          <w:sz w:val="24"/>
          <w:szCs w:val="24"/>
        </w:rPr>
        <w:t>:</w:t>
      </w:r>
    </w:p>
    <w:p w14:paraId="76ACC627" w14:textId="756C1105" w:rsidR="00E12751" w:rsidRPr="004D407A" w:rsidRDefault="00E12751" w:rsidP="00E12751">
      <w:pPr>
        <w:pStyle w:val="Caption"/>
        <w:rPr>
          <w:color w:val="auto"/>
        </w:rPr>
      </w:pPr>
      <w:bookmarkStart w:id="105" w:name="_Ref490603264"/>
      <w:bookmarkStart w:id="106" w:name="_Ref490603274"/>
      <w:bookmarkStart w:id="107" w:name="_Toc490750610"/>
      <w:bookmarkStart w:id="108" w:name="_Toc111912748"/>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9</w:t>
      </w:r>
      <w:r w:rsidR="00E21383" w:rsidRPr="004D407A">
        <w:rPr>
          <w:noProof/>
          <w:color w:val="auto"/>
        </w:rPr>
        <w:fldChar w:fldCharType="end"/>
      </w:r>
      <w:bookmarkEnd w:id="105"/>
      <w:r w:rsidRPr="004D407A">
        <w:rPr>
          <w:color w:val="auto"/>
        </w:rPr>
        <w:t>:</w:t>
      </w:r>
      <w:r w:rsidR="004C01B3" w:rsidRPr="004D407A">
        <w:rPr>
          <w:color w:val="auto"/>
        </w:rPr>
        <w:t xml:space="preserve"> </w:t>
      </w:r>
      <w:bookmarkEnd w:id="106"/>
      <w:bookmarkEnd w:id="107"/>
      <w:r w:rsidR="004C01B3" w:rsidRPr="004D407A">
        <w:rPr>
          <w:color w:val="auto"/>
        </w:rPr>
        <w:t>MCV1-MCV2 vaccination drop-out rate by Sex and National Level</w:t>
      </w:r>
      <w:r w:rsidR="004C01B3" w:rsidRPr="004D407A">
        <w:rPr>
          <w:color w:val="auto"/>
          <w:vertAlign w:val="superscript"/>
        </w:rPr>
        <w:t>1</w:t>
      </w:r>
      <w:bookmarkEnd w:id="108"/>
    </w:p>
    <w:p w14:paraId="5D3ACEE9" w14:textId="6DA9361A" w:rsidR="00E12751" w:rsidRPr="004D407A" w:rsidRDefault="004C01B3" w:rsidP="00E12751">
      <w:pPr>
        <w:pStyle w:val="myChart"/>
      </w:pPr>
      <w:r w:rsidRPr="004D407A">
        <w:rPr>
          <w:noProof/>
        </w:rPr>
        <w:drawing>
          <wp:inline distT="0" distB="0" distL="0" distR="0" wp14:anchorId="273983C3" wp14:editId="2AE6A734">
            <wp:extent cx="3865245" cy="17132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5245" cy="1713230"/>
                    </a:xfrm>
                    <a:prstGeom prst="rect">
                      <a:avLst/>
                    </a:prstGeom>
                    <a:noFill/>
                  </pic:spPr>
                </pic:pic>
              </a:graphicData>
            </a:graphic>
          </wp:inline>
        </w:drawing>
      </w:r>
    </w:p>
    <w:p w14:paraId="3420AD84" w14:textId="65915C74" w:rsidR="00E12751" w:rsidRPr="004D407A" w:rsidRDefault="004C01B3" w:rsidP="00E12751">
      <w:pPr>
        <w:pStyle w:val="mySource"/>
        <w:rPr>
          <w:color w:val="auto"/>
        </w:rPr>
      </w:pPr>
      <w:r w:rsidRPr="004D407A">
        <w:rPr>
          <w:color w:val="auto"/>
        </w:rPr>
        <w:t>Source: CES 2019</w:t>
      </w:r>
    </w:p>
    <w:p w14:paraId="64AD77DE" w14:textId="28601C73" w:rsidR="00E12751" w:rsidRPr="004D407A" w:rsidRDefault="004C01B3" w:rsidP="00E12751">
      <w:pPr>
        <w:pStyle w:val="BodyText"/>
        <w:rPr>
          <w:rFonts w:ascii="Arial" w:hAnsi="Arial"/>
        </w:rPr>
      </w:pPr>
      <w:r w:rsidRPr="004D407A">
        <w:rPr>
          <w:rFonts w:ascii="Arial" w:hAnsi="Arial"/>
        </w:rPr>
        <w:t xml:space="preserve">According to the WIENIC data, drop-out from BCG to MCV1 increased from 2% in the period 2017-2019 to 7.2% in 2021,  and the drop-out rate for DTP1-DTP3 – from 1% in 2017-2019 period to 6.3% in 2021, as shown in </w:t>
      </w:r>
      <w:r w:rsidRPr="004D407A">
        <w:rPr>
          <w:rFonts w:ascii="Arial" w:hAnsi="Arial"/>
        </w:rPr>
        <w:fldChar w:fldCharType="begin"/>
      </w:r>
      <w:r w:rsidRPr="004D407A">
        <w:rPr>
          <w:rFonts w:ascii="Arial" w:hAnsi="Arial"/>
        </w:rPr>
        <w:instrText xml:space="preserve"> REF _Ref490603344 \h </w:instrText>
      </w:r>
      <w:r w:rsidR="00620E24"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10</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_Ref490603274 \p \h  \* MERGEFORMAT </w:instrText>
      </w:r>
      <w:r w:rsidRPr="004D407A">
        <w:rPr>
          <w:rFonts w:ascii="Arial" w:hAnsi="Arial"/>
        </w:rPr>
      </w:r>
      <w:r w:rsidRPr="004D407A">
        <w:rPr>
          <w:rFonts w:ascii="Arial" w:hAnsi="Arial"/>
        </w:rPr>
        <w:fldChar w:fldCharType="separate"/>
      </w:r>
      <w:r w:rsidR="00D80429" w:rsidRPr="004D407A">
        <w:rPr>
          <w:rFonts w:ascii="Arial" w:hAnsi="Arial"/>
        </w:rPr>
        <w:t>above</w:t>
      </w:r>
      <w:r w:rsidRPr="004D407A">
        <w:rPr>
          <w:rFonts w:ascii="Arial" w:hAnsi="Arial"/>
        </w:rPr>
        <w:fldChar w:fldCharType="end"/>
      </w:r>
      <w:r w:rsidR="00E12751" w:rsidRPr="004D407A">
        <w:rPr>
          <w:rFonts w:ascii="Arial" w:hAnsi="Arial"/>
        </w:rPr>
        <w:t>.</w:t>
      </w:r>
    </w:p>
    <w:p w14:paraId="6DDC7476" w14:textId="4EBE0C7C" w:rsidR="00E12751" w:rsidRPr="004D407A" w:rsidRDefault="00E12751" w:rsidP="00E12751">
      <w:pPr>
        <w:pStyle w:val="Caption"/>
        <w:rPr>
          <w:color w:val="auto"/>
        </w:rPr>
      </w:pPr>
      <w:bookmarkStart w:id="109" w:name="_Ref490603344"/>
      <w:bookmarkStart w:id="110" w:name="_Toc490750611"/>
      <w:bookmarkStart w:id="111" w:name="_Ref500186797"/>
      <w:bookmarkStart w:id="112" w:name="_Toc111912749"/>
      <w:r w:rsidRPr="004D407A">
        <w:rPr>
          <w:color w:val="auto"/>
        </w:rPr>
        <w:lastRenderedPageBreak/>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10</w:t>
      </w:r>
      <w:r w:rsidR="00E21383" w:rsidRPr="004D407A">
        <w:rPr>
          <w:noProof/>
          <w:color w:val="auto"/>
        </w:rPr>
        <w:fldChar w:fldCharType="end"/>
      </w:r>
      <w:bookmarkEnd w:id="109"/>
      <w:r w:rsidRPr="004D407A">
        <w:rPr>
          <w:color w:val="auto"/>
        </w:rPr>
        <w:t>:</w:t>
      </w:r>
      <w:bookmarkEnd w:id="110"/>
      <w:bookmarkEnd w:id="111"/>
      <w:r w:rsidR="004C01B3" w:rsidRPr="004D407A">
        <w:rPr>
          <w:color w:val="auto"/>
        </w:rPr>
        <w:t xml:space="preserve"> Trends in drop-out rates between DTP1 -DTP3 and between BCG and MCV1</w:t>
      </w:r>
      <w:bookmarkEnd w:id="112"/>
    </w:p>
    <w:p w14:paraId="3D6CB386" w14:textId="6729F0AC" w:rsidR="00E12751" w:rsidRPr="004D407A" w:rsidRDefault="00331F23" w:rsidP="00573AAB">
      <w:pPr>
        <w:spacing w:after="0" w:line="240" w:lineRule="auto"/>
      </w:pPr>
      <w:r w:rsidRPr="004D407A">
        <w:rPr>
          <w:noProof/>
        </w:rPr>
        <w:drawing>
          <wp:inline distT="0" distB="0" distL="0" distR="0" wp14:anchorId="3AF07EB5" wp14:editId="6B1F1EB5">
            <wp:extent cx="3032125" cy="230439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0017" cy="2317989"/>
                    </a:xfrm>
                    <a:prstGeom prst="rect">
                      <a:avLst/>
                    </a:prstGeom>
                    <a:noFill/>
                  </pic:spPr>
                </pic:pic>
              </a:graphicData>
            </a:graphic>
          </wp:inline>
        </w:drawing>
      </w:r>
    </w:p>
    <w:p w14:paraId="0E3001CF" w14:textId="5B85B4E0" w:rsidR="00E12751" w:rsidRPr="004D407A" w:rsidRDefault="00E12751" w:rsidP="00E12751">
      <w:pPr>
        <w:pStyle w:val="mySource"/>
        <w:rPr>
          <w:color w:val="auto"/>
        </w:rPr>
      </w:pPr>
      <w:r w:rsidRPr="004D407A">
        <w:rPr>
          <w:color w:val="auto"/>
        </w:rPr>
        <w:t xml:space="preserve">Source: </w:t>
      </w:r>
      <w:r w:rsidR="00573AAB" w:rsidRPr="004D407A">
        <w:rPr>
          <w:color w:val="auto"/>
        </w:rPr>
        <w:t>WUENIC 2022</w:t>
      </w:r>
    </w:p>
    <w:p w14:paraId="70FBBD65" w14:textId="77777777" w:rsidR="00CF6BCE" w:rsidRPr="004D407A" w:rsidRDefault="00CF6BCE" w:rsidP="00CF6BCE">
      <w:pPr>
        <w:pStyle w:val="BodyText"/>
        <w:rPr>
          <w:rFonts w:ascii="Arial" w:hAnsi="Arial"/>
        </w:rPr>
      </w:pPr>
      <w:r w:rsidRPr="004D407A">
        <w:rPr>
          <w:rFonts w:ascii="Arial" w:hAnsi="Arial"/>
        </w:rPr>
        <w:t xml:space="preserve">Despite strong </w:t>
      </w:r>
      <w:proofErr w:type="spellStart"/>
      <w:r w:rsidRPr="004D407A">
        <w:rPr>
          <w:rFonts w:ascii="Arial" w:hAnsi="Arial"/>
        </w:rPr>
        <w:t>programme</w:t>
      </w:r>
      <w:proofErr w:type="spellEnd"/>
      <w:r w:rsidRPr="004D407A">
        <w:rPr>
          <w:rFonts w:ascii="Arial" w:hAnsi="Arial"/>
        </w:rPr>
        <w:t xml:space="preserve"> performance, progress is in some cases uneven, and it remains a challenge for the </w:t>
      </w:r>
      <w:proofErr w:type="spellStart"/>
      <w:r w:rsidRPr="004D407A">
        <w:rPr>
          <w:rFonts w:ascii="Arial" w:hAnsi="Arial"/>
        </w:rPr>
        <w:t>programme</w:t>
      </w:r>
      <w:proofErr w:type="spellEnd"/>
      <w:r w:rsidRPr="004D407A">
        <w:rPr>
          <w:rFonts w:ascii="Arial" w:hAnsi="Arial"/>
        </w:rPr>
        <w:t xml:space="preserve"> to reach all children across different socioeconomic groups and geographical locations.</w:t>
      </w:r>
    </w:p>
    <w:p w14:paraId="049DAEAD" w14:textId="119271E7" w:rsidR="00CF6BCE" w:rsidRPr="004D407A" w:rsidRDefault="00CF6BCE" w:rsidP="00CF6BCE">
      <w:pPr>
        <w:pStyle w:val="BodyText"/>
        <w:rPr>
          <w:rFonts w:ascii="Arial" w:hAnsi="Arial"/>
        </w:rPr>
      </w:pPr>
      <w:r w:rsidRPr="004D407A">
        <w:rPr>
          <w:rFonts w:ascii="Arial" w:hAnsi="Arial"/>
        </w:rPr>
        <w:t xml:space="preserve">The national Coverage Evaluation Survey </w:t>
      </w:r>
      <w:r w:rsidR="00F82233" w:rsidRPr="004D407A">
        <w:rPr>
          <w:rFonts w:ascii="Arial" w:hAnsi="Arial"/>
        </w:rPr>
        <w:t xml:space="preserve">(CES) </w:t>
      </w:r>
      <w:r w:rsidRPr="004D407A">
        <w:rPr>
          <w:rFonts w:ascii="Arial" w:hAnsi="Arial"/>
        </w:rPr>
        <w:t>2019 reports coverage of the third dose of pentavalent vaccine at 90.1%; the first dose of measles-rubella vaccine at 87.5%, and fully vaccinated children at 82.3%.</w:t>
      </w:r>
    </w:p>
    <w:p w14:paraId="4A6F5074" w14:textId="3042D460" w:rsidR="00E12751" w:rsidRPr="004D407A" w:rsidRDefault="00CF6BCE" w:rsidP="00CF6BCE">
      <w:pPr>
        <w:pStyle w:val="BodyText"/>
      </w:pPr>
      <w:r w:rsidRPr="004D407A">
        <w:rPr>
          <w:rFonts w:ascii="Arial" w:hAnsi="Arial"/>
        </w:rPr>
        <w:t>In 2019 a little variation was observed in crude</w:t>
      </w:r>
      <w:r w:rsidRPr="004D407A">
        <w:rPr>
          <w:rFonts w:ascii="Arial" w:hAnsi="Arial"/>
          <w:vertAlign w:val="superscript"/>
        </w:rPr>
        <w:footnoteReference w:id="23"/>
      </w:r>
      <w:r w:rsidRPr="004D407A">
        <w:rPr>
          <w:rFonts w:ascii="Arial" w:hAnsi="Arial"/>
        </w:rPr>
        <w:t xml:space="preserve"> full vaccination</w:t>
      </w:r>
      <w:r w:rsidRPr="004D407A">
        <w:rPr>
          <w:rFonts w:ascii="Arial" w:hAnsi="Arial"/>
          <w:vertAlign w:val="superscript"/>
        </w:rPr>
        <w:footnoteReference w:id="24"/>
      </w:r>
      <w:r w:rsidRPr="004D407A">
        <w:rPr>
          <w:rFonts w:ascii="Arial" w:hAnsi="Arial"/>
        </w:rPr>
        <w:t xml:space="preserve"> coverage between rural and urban areas (95.9% vs. 93.3% respectively).</w:t>
      </w:r>
      <w:r w:rsidRPr="004D407A">
        <w:rPr>
          <w:rStyle w:val="FootnoteReference"/>
          <w:rFonts w:ascii="Arial" w:hAnsi="Arial"/>
        </w:rPr>
        <w:footnoteReference w:id="25"/>
      </w:r>
    </w:p>
    <w:p w14:paraId="2B6E3BCC" w14:textId="77777777" w:rsidR="00E12751" w:rsidRPr="004D407A" w:rsidRDefault="00E12751" w:rsidP="00E12751">
      <w:pPr>
        <w:pStyle w:val="myHeading2"/>
        <w:rPr>
          <w:color w:val="auto"/>
        </w:rPr>
      </w:pPr>
      <w:r w:rsidRPr="004D407A">
        <w:rPr>
          <w:color w:val="auto"/>
        </w:rPr>
        <w:t>Geographical inequities</w:t>
      </w:r>
    </w:p>
    <w:p w14:paraId="0EFE1B73" w14:textId="77777777" w:rsidR="00771CD1" w:rsidRPr="004D407A" w:rsidRDefault="00771CD1" w:rsidP="00771CD1">
      <w:pPr>
        <w:pStyle w:val="BodyText"/>
        <w:rPr>
          <w:rFonts w:ascii="Arial" w:hAnsi="Arial"/>
        </w:rPr>
      </w:pPr>
      <w:r w:rsidRPr="004D407A">
        <w:rPr>
          <w:rFonts w:ascii="Arial" w:hAnsi="Arial"/>
        </w:rPr>
        <w:t>According to the Coverage Evaluation Surveys (CES) of 2019</w:t>
      </w:r>
      <w:r w:rsidRPr="004D407A">
        <w:rPr>
          <w:rFonts w:ascii="Arial" w:hAnsi="Arial"/>
          <w:vertAlign w:val="superscript"/>
        </w:rPr>
        <w:footnoteReference w:id="26"/>
      </w:r>
      <w:r w:rsidRPr="004D407A">
        <w:rPr>
          <w:rFonts w:ascii="Arial" w:hAnsi="Arial"/>
        </w:rPr>
        <w:t xml:space="preserve"> the EPI performance has been variable across the districts and city corporations. Overall, the equity of immunization services improved from 2016 to 2019: the number of districts achieving higher than 90% coverage for the fully immunized child increased from 4 to 28, and 62 out of 64 districts achieved above 80% valid full vaccination coverage among the children of 23 months. However, sustaining the high coverage rates remains a challenging task which requires the special attention from EPI. The results of urban/rural coverage analysis showed that rural children (85%) were more likely to receive the valid doses compared to their urban counterparts (79.2%).</w:t>
      </w:r>
    </w:p>
    <w:p w14:paraId="456FD51B" w14:textId="77777777" w:rsidR="00771CD1" w:rsidRPr="004D407A" w:rsidRDefault="00771CD1" w:rsidP="00771CD1">
      <w:pPr>
        <w:pStyle w:val="BodyText"/>
        <w:rPr>
          <w:rFonts w:ascii="Arial" w:hAnsi="Arial"/>
        </w:rPr>
      </w:pPr>
      <w:r w:rsidRPr="004D407A">
        <w:rPr>
          <w:rFonts w:ascii="Arial" w:hAnsi="Arial"/>
        </w:rPr>
        <w:t xml:space="preserve">Full Vaccination Coverage (FVC) was found to be lower in urban, slum and hard-to-reach areas than national average indicating the need for the implementation equity focused interventions. </w:t>
      </w:r>
    </w:p>
    <w:p w14:paraId="69622B90" w14:textId="6E4F4DD7" w:rsidR="00E12751" w:rsidRPr="004D407A" w:rsidRDefault="00771CD1" w:rsidP="00771CD1">
      <w:pPr>
        <w:pStyle w:val="BodyText"/>
        <w:rPr>
          <w:bCs/>
          <w:noProof/>
          <w:lang w:bidi="bn-IN"/>
        </w:rPr>
      </w:pPr>
      <w:r w:rsidRPr="004D407A">
        <w:rPr>
          <w:rFonts w:ascii="Arial" w:hAnsi="Arial"/>
        </w:rPr>
        <w:t xml:space="preserve">Differences in coverage between the districts are quite significant. </w:t>
      </w:r>
      <w:r w:rsidRPr="004D407A">
        <w:rPr>
          <w:rFonts w:ascii="Arial" w:hAnsi="Arial" w:cs="Arial"/>
          <w:bCs/>
        </w:rPr>
        <w:t>T</w:t>
      </w:r>
      <w:r w:rsidRPr="004D407A">
        <w:rPr>
          <w:rFonts w:ascii="Arial" w:hAnsi="Arial"/>
        </w:rPr>
        <w:t xml:space="preserve">he gap in </w:t>
      </w:r>
      <w:r w:rsidRPr="004D407A">
        <w:rPr>
          <w:rFonts w:ascii="Arial" w:hAnsi="Arial" w:cs="Arial"/>
          <w:bCs/>
        </w:rPr>
        <w:t xml:space="preserve">coverage of the first dose of the measles-rubella vaccine (MR1) </w:t>
      </w:r>
      <w:r w:rsidRPr="004D407A">
        <w:rPr>
          <w:rFonts w:ascii="Arial" w:hAnsi="Arial"/>
        </w:rPr>
        <w:t>between the district with the highest DTP3 coverage (</w:t>
      </w:r>
      <w:proofErr w:type="spellStart"/>
      <w:r w:rsidRPr="004D407A">
        <w:rPr>
          <w:rFonts w:ascii="Arial" w:hAnsi="Arial"/>
        </w:rPr>
        <w:t>Pirojpur</w:t>
      </w:r>
      <w:proofErr w:type="spellEnd"/>
      <w:r w:rsidRPr="004D407A">
        <w:rPr>
          <w:rFonts w:ascii="Arial" w:hAnsi="Arial"/>
        </w:rPr>
        <w:t xml:space="preserve">: 98.1%) </w:t>
      </w:r>
      <w:r w:rsidRPr="004D407A">
        <w:rPr>
          <w:rFonts w:ascii="Arial" w:hAnsi="Arial" w:cs="Arial"/>
          <w:bCs/>
        </w:rPr>
        <w:t xml:space="preserve">and the district with the lowest DTP3 coverage </w:t>
      </w:r>
      <w:r w:rsidRPr="004D407A">
        <w:rPr>
          <w:rFonts w:ascii="Arial" w:hAnsi="Arial"/>
        </w:rPr>
        <w:t>(</w:t>
      </w:r>
      <w:proofErr w:type="spellStart"/>
      <w:r w:rsidRPr="004D407A">
        <w:rPr>
          <w:rFonts w:ascii="Arial" w:hAnsi="Arial"/>
        </w:rPr>
        <w:t>Khagrachari</w:t>
      </w:r>
      <w:proofErr w:type="spellEnd"/>
      <w:r w:rsidRPr="004D407A">
        <w:rPr>
          <w:rFonts w:ascii="Arial" w:hAnsi="Arial"/>
        </w:rPr>
        <w:t xml:space="preserve">: 87.8%) </w:t>
      </w:r>
      <w:r w:rsidRPr="004D407A">
        <w:rPr>
          <w:rFonts w:ascii="Arial" w:hAnsi="Arial" w:cs="Arial"/>
          <w:bCs/>
        </w:rPr>
        <w:t xml:space="preserve">was 12 percent. In terms of fully vaccinated children (FVC), the </w:t>
      </w:r>
      <w:r w:rsidRPr="004D407A">
        <w:rPr>
          <w:rFonts w:ascii="Arial" w:hAnsi="Arial"/>
        </w:rPr>
        <w:t xml:space="preserve">gap between the highest performing district (Bhola: 97.1%) </w:t>
      </w:r>
      <w:r w:rsidRPr="004D407A">
        <w:rPr>
          <w:rFonts w:ascii="Arial" w:hAnsi="Arial" w:cs="Arial"/>
          <w:bCs/>
        </w:rPr>
        <w:t xml:space="preserve">and the lowest </w:t>
      </w:r>
      <w:r w:rsidRPr="004D407A">
        <w:rPr>
          <w:rFonts w:ascii="Arial" w:hAnsi="Arial"/>
        </w:rPr>
        <w:t xml:space="preserve">performing </w:t>
      </w:r>
      <w:r w:rsidRPr="004D407A">
        <w:rPr>
          <w:rFonts w:ascii="Arial" w:hAnsi="Arial" w:cs="Arial"/>
          <w:bCs/>
        </w:rPr>
        <w:t>district</w:t>
      </w:r>
      <w:r w:rsidRPr="004D407A">
        <w:rPr>
          <w:rFonts w:ascii="Arial" w:hAnsi="Arial"/>
        </w:rPr>
        <w:t xml:space="preserve"> (</w:t>
      </w:r>
      <w:proofErr w:type="spellStart"/>
      <w:r w:rsidRPr="004D407A">
        <w:rPr>
          <w:rFonts w:ascii="Arial" w:hAnsi="Arial"/>
        </w:rPr>
        <w:t>Khagrachari</w:t>
      </w:r>
      <w:proofErr w:type="spellEnd"/>
      <w:r w:rsidRPr="004D407A">
        <w:rPr>
          <w:rFonts w:ascii="Arial" w:hAnsi="Arial"/>
        </w:rPr>
        <w:t xml:space="preserve">: </w:t>
      </w:r>
      <w:r w:rsidRPr="004D407A">
        <w:rPr>
          <w:rFonts w:ascii="Arial" w:hAnsi="Arial"/>
        </w:rPr>
        <w:lastRenderedPageBreak/>
        <w:t xml:space="preserve">77.3%) </w:t>
      </w:r>
      <w:r w:rsidRPr="004D407A">
        <w:rPr>
          <w:rFonts w:ascii="Arial" w:hAnsi="Arial" w:cs="Arial"/>
          <w:bCs/>
        </w:rPr>
        <w:t xml:space="preserve">was more than 13.9 percent. Only </w:t>
      </w:r>
      <w:r w:rsidRPr="004D407A">
        <w:rPr>
          <w:rFonts w:ascii="Arial" w:hAnsi="Arial"/>
          <w:bCs/>
          <w:noProof/>
          <w:lang w:bidi="bn-IN"/>
        </w:rPr>
        <w:t>60 out of 64 districts achieved higher than 90% coverage for MR1, and 24 districts higher than 90% coverage for MR2 vaccine.</w:t>
      </w:r>
      <w:r w:rsidRPr="004D407A">
        <w:rPr>
          <w:rFonts w:ascii="Arial" w:hAnsi="Arial"/>
          <w:bCs/>
          <w:noProof/>
          <w:vertAlign w:val="superscript"/>
          <w:lang w:bidi="bn-IN"/>
        </w:rPr>
        <w:t>4</w:t>
      </w:r>
      <w:r w:rsidR="00E12751" w:rsidRPr="004D407A">
        <w:rPr>
          <w:rFonts w:ascii="Arial" w:hAnsi="Arial"/>
          <w:bCs/>
          <w:noProof/>
          <w:lang w:bidi="bn-IN"/>
        </w:rPr>
        <w:t>.</w:t>
      </w:r>
    </w:p>
    <w:p w14:paraId="5B962CA8" w14:textId="77777777" w:rsidR="00E12751" w:rsidRPr="004D407A" w:rsidRDefault="00E12751" w:rsidP="00E12751">
      <w:pPr>
        <w:pStyle w:val="myHeading2"/>
        <w:rPr>
          <w:color w:val="auto"/>
        </w:rPr>
      </w:pPr>
      <w:r w:rsidRPr="004D407A">
        <w:rPr>
          <w:color w:val="auto"/>
        </w:rPr>
        <w:t>Rural / urban inequalities</w:t>
      </w:r>
    </w:p>
    <w:p w14:paraId="4645CC1D" w14:textId="77777777" w:rsidR="002B3C31" w:rsidRPr="004D407A" w:rsidRDefault="002B3C31" w:rsidP="002B3C31">
      <w:pPr>
        <w:pStyle w:val="BodyText"/>
        <w:rPr>
          <w:rFonts w:ascii="Arial" w:hAnsi="Arial"/>
        </w:rPr>
      </w:pPr>
      <w:r w:rsidRPr="004D407A">
        <w:rPr>
          <w:rFonts w:ascii="Arial" w:hAnsi="Arial" w:cs="Calibri"/>
        </w:rPr>
        <w:t>Contrary to some other countries, in Bangladesh the full vaccination of children in urban areas</w:t>
      </w:r>
      <w:r w:rsidRPr="004D407A">
        <w:rPr>
          <w:rFonts w:ascii="Arial" w:hAnsi="Arial"/>
          <w:bCs/>
          <w:noProof/>
          <w:lang w:bidi="bn-IN"/>
        </w:rPr>
        <w:t xml:space="preserve"> (79.2%) is lagging behind rural coverage (85%)</w:t>
      </w:r>
      <w:r w:rsidRPr="004D407A">
        <w:rPr>
          <w:rFonts w:ascii="Arial" w:hAnsi="Arial" w:cs="Calibri"/>
        </w:rPr>
        <w:t xml:space="preserve">. </w:t>
      </w:r>
      <w:r w:rsidRPr="004D407A">
        <w:rPr>
          <w:rFonts w:ascii="Arial" w:hAnsi="Arial"/>
        </w:rPr>
        <w:t>Nine out of 12 City Corporations of the country achieved FVC coverage less than 80 percent.</w:t>
      </w:r>
    </w:p>
    <w:p w14:paraId="3CFB607F" w14:textId="4F0521EE" w:rsidR="00E12751" w:rsidRPr="004D407A" w:rsidRDefault="002B3C31" w:rsidP="002B3C31">
      <w:pPr>
        <w:pStyle w:val="BodyText"/>
      </w:pPr>
      <w:r w:rsidRPr="004D407A">
        <w:rPr>
          <w:rFonts w:ascii="Arial" w:hAnsi="Arial"/>
        </w:rPr>
        <w:t xml:space="preserve">In the city corporations (CC) only 1 out of 12 CCs achieved higher than 90% valid coverage of the fully immunized child </w:t>
      </w:r>
      <w:r w:rsidRPr="004D407A">
        <w:rPr>
          <w:rFonts w:ascii="Arial" w:hAnsi="Arial" w:cs="DIN"/>
        </w:rPr>
        <w:t>and</w:t>
      </w:r>
      <w:r w:rsidRPr="004D407A">
        <w:rPr>
          <w:rFonts w:ascii="Arial" w:hAnsi="Arial"/>
        </w:rPr>
        <w:t xml:space="preserve"> 4 out of 12 – achieved above 80% valid coverage of fully immunized child. Seven city corporations achieved equal or more 90% DPT3 coverage and all CCs reached reach 80% DPT3 valid coverage, as it is shown in the </w:t>
      </w:r>
      <w:r w:rsidRPr="004D407A">
        <w:rPr>
          <w:rFonts w:ascii="Arial" w:hAnsi="Arial"/>
        </w:rPr>
        <w:fldChar w:fldCharType="begin"/>
      </w:r>
      <w:r w:rsidRPr="004D407A">
        <w:rPr>
          <w:rFonts w:ascii="Arial" w:hAnsi="Arial"/>
        </w:rPr>
        <w:instrText xml:space="preserve"> REF _Ref490242302 \h </w:instrText>
      </w:r>
      <w:r w:rsidR="00620E24"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11</w:t>
      </w:r>
      <w:r w:rsidRPr="004D407A">
        <w:rPr>
          <w:rFonts w:ascii="Arial" w:hAnsi="Arial"/>
        </w:rPr>
        <w:fldChar w:fldCharType="end"/>
      </w:r>
      <w:r w:rsidRPr="004D407A">
        <w:rPr>
          <w:rFonts w:ascii="Arial" w:hAnsi="Arial"/>
        </w:rPr>
        <w:t xml:space="preserve"> on </w:t>
      </w:r>
      <w:r w:rsidRPr="004D407A">
        <w:rPr>
          <w:rFonts w:ascii="Arial" w:hAnsi="Arial"/>
        </w:rPr>
        <w:fldChar w:fldCharType="begin"/>
      </w:r>
      <w:r w:rsidRPr="004D407A">
        <w:rPr>
          <w:rFonts w:ascii="Arial" w:hAnsi="Arial"/>
        </w:rPr>
        <w:instrText xml:space="preserve"> PAGEREF _Ref490316241 \p \h </w:instrText>
      </w:r>
      <w:r w:rsidRPr="004D407A">
        <w:rPr>
          <w:rFonts w:ascii="Arial" w:hAnsi="Arial"/>
        </w:rPr>
      </w:r>
      <w:r w:rsidRPr="004D407A">
        <w:rPr>
          <w:rFonts w:ascii="Arial" w:hAnsi="Arial"/>
        </w:rPr>
        <w:fldChar w:fldCharType="separate"/>
      </w:r>
      <w:r w:rsidR="00D80429" w:rsidRPr="004D407A">
        <w:rPr>
          <w:rFonts w:ascii="Arial" w:hAnsi="Arial"/>
          <w:noProof/>
        </w:rPr>
        <w:t>below</w:t>
      </w:r>
      <w:r w:rsidRPr="004D407A">
        <w:rPr>
          <w:rFonts w:ascii="Arial" w:hAnsi="Arial"/>
        </w:rPr>
        <w:fldChar w:fldCharType="end"/>
      </w:r>
      <w:r w:rsidRPr="004D407A">
        <w:rPr>
          <w:rFonts w:ascii="Arial" w:hAnsi="Arial"/>
        </w:rPr>
        <w:t>:</w:t>
      </w:r>
    </w:p>
    <w:p w14:paraId="12B1C128" w14:textId="21708B44" w:rsidR="00E12751" w:rsidRPr="004D407A" w:rsidRDefault="00E12751" w:rsidP="00E12751">
      <w:pPr>
        <w:pStyle w:val="Caption"/>
        <w:rPr>
          <w:color w:val="auto"/>
        </w:rPr>
      </w:pPr>
      <w:bookmarkStart w:id="113" w:name="_Ref490242302"/>
      <w:bookmarkStart w:id="114" w:name="_Ref490316241"/>
      <w:bookmarkStart w:id="115" w:name="_Toc490750613"/>
      <w:bookmarkStart w:id="116" w:name="_Toc111912750"/>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11</w:t>
      </w:r>
      <w:r w:rsidR="00E21383" w:rsidRPr="004D407A">
        <w:rPr>
          <w:noProof/>
          <w:color w:val="auto"/>
        </w:rPr>
        <w:fldChar w:fldCharType="end"/>
      </w:r>
      <w:bookmarkEnd w:id="113"/>
      <w:r w:rsidRPr="004D407A">
        <w:rPr>
          <w:color w:val="auto"/>
        </w:rPr>
        <w:t>:</w:t>
      </w:r>
      <w:r w:rsidR="002B3C31" w:rsidRPr="004D407A">
        <w:rPr>
          <w:color w:val="auto"/>
        </w:rPr>
        <w:t xml:space="preserve"> </w:t>
      </w:r>
      <w:r w:rsidRPr="004D407A">
        <w:rPr>
          <w:color w:val="auto"/>
        </w:rPr>
        <w:t>Penta3 valid coverage and Full Vaccinated Children Coverage by 12 months</w:t>
      </w:r>
      <w:bookmarkEnd w:id="114"/>
      <w:bookmarkEnd w:id="115"/>
      <w:bookmarkEnd w:id="116"/>
    </w:p>
    <w:p w14:paraId="2AE369A2" w14:textId="6FD128F8" w:rsidR="001E2339" w:rsidRPr="004D407A" w:rsidRDefault="001E2339" w:rsidP="001E2339">
      <w:pPr>
        <w:spacing w:after="0" w:line="240" w:lineRule="auto"/>
      </w:pPr>
      <w:r w:rsidRPr="004D407A">
        <w:rPr>
          <w:noProof/>
        </w:rPr>
        <w:drawing>
          <wp:inline distT="0" distB="0" distL="0" distR="0" wp14:anchorId="461DA2B6" wp14:editId="79F7FA41">
            <wp:extent cx="5391189" cy="2419368"/>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0"/>
                    <a:stretch>
                      <a:fillRect/>
                    </a:stretch>
                  </pic:blipFill>
                  <pic:spPr>
                    <a:xfrm>
                      <a:off x="0" y="0"/>
                      <a:ext cx="5391189" cy="2419368"/>
                    </a:xfrm>
                    <a:prstGeom prst="rect">
                      <a:avLst/>
                    </a:prstGeom>
                  </pic:spPr>
                </pic:pic>
              </a:graphicData>
            </a:graphic>
          </wp:inline>
        </w:drawing>
      </w:r>
    </w:p>
    <w:p w14:paraId="4C9EC54E" w14:textId="16CDF9D9" w:rsidR="00E12751" w:rsidRPr="004D407A" w:rsidRDefault="00E12751" w:rsidP="00E12751">
      <w:pPr>
        <w:pStyle w:val="mySource"/>
        <w:rPr>
          <w:color w:val="auto"/>
        </w:rPr>
      </w:pPr>
      <w:r w:rsidRPr="004D407A">
        <w:rPr>
          <w:color w:val="auto"/>
        </w:rPr>
        <w:t>Source: CES 201</w:t>
      </w:r>
      <w:r w:rsidR="002B3C31" w:rsidRPr="004D407A">
        <w:rPr>
          <w:color w:val="auto"/>
        </w:rPr>
        <w:t>9</w:t>
      </w:r>
    </w:p>
    <w:p w14:paraId="77716A81" w14:textId="77777777" w:rsidR="00012A6E" w:rsidRPr="004D407A" w:rsidRDefault="00012A6E" w:rsidP="00012A6E">
      <w:pPr>
        <w:pStyle w:val="BodyText"/>
        <w:rPr>
          <w:rFonts w:ascii="Arial" w:hAnsi="Arial"/>
        </w:rPr>
      </w:pPr>
      <w:r w:rsidRPr="004D407A">
        <w:rPr>
          <w:rFonts w:ascii="Arial" w:hAnsi="Arial"/>
        </w:rPr>
        <w:t>The urban areas of Sylhet City Corporation (CC), Cumilla City Corporation, North and South Dhaka City Corporations and Chattogram City Corporation are the lowest performing areas in the country, with FVC coverage of around 63-70 percent, therefore improvement of coverage in urban areas is one of the factors to ensure the equity in service delivery. It is estimated that a quarter of population in Dhaka, or about 14 million individuals, lives in slum areas.</w:t>
      </w:r>
      <w:r w:rsidRPr="004D407A">
        <w:rPr>
          <w:rFonts w:ascii="Arial" w:hAnsi="Arial"/>
        </w:rPr>
        <w:footnoteReference w:id="27"/>
      </w:r>
      <w:r w:rsidRPr="004D407A">
        <w:rPr>
          <w:rFonts w:ascii="Arial" w:hAnsi="Arial"/>
        </w:rPr>
        <w:t xml:space="preserve"> According to the results of CES in 2019 there is some insignificant difference in vaccination coverage in slum and non-slum areas in Dhaka North, Dhaka </w:t>
      </w:r>
      <w:proofErr w:type="gramStart"/>
      <w:r w:rsidRPr="004D407A">
        <w:rPr>
          <w:rFonts w:ascii="Arial" w:hAnsi="Arial"/>
        </w:rPr>
        <w:t>South</w:t>
      </w:r>
      <w:proofErr w:type="gramEnd"/>
      <w:r w:rsidRPr="004D407A">
        <w:rPr>
          <w:rFonts w:ascii="Arial" w:hAnsi="Arial"/>
        </w:rPr>
        <w:t xml:space="preserve"> and Chattogram City Corporations, indicating the need for more in-depth analysis and defining the real causes for low immunization coverage in urban settings. </w:t>
      </w:r>
    </w:p>
    <w:p w14:paraId="550FD26B" w14:textId="53980C34" w:rsidR="00012A6E" w:rsidRPr="004D407A" w:rsidRDefault="00012A6E" w:rsidP="00012A6E">
      <w:pPr>
        <w:pStyle w:val="Caption"/>
        <w:rPr>
          <w:color w:val="auto"/>
        </w:rPr>
      </w:pPr>
      <w:bookmarkStart w:id="117" w:name="_Ref490417828"/>
      <w:bookmarkStart w:id="118" w:name="_Ref490417831"/>
      <w:bookmarkStart w:id="119" w:name="_Toc490750614"/>
      <w:bookmarkStart w:id="120" w:name="_Toc111912751"/>
      <w:r w:rsidRPr="004D407A">
        <w:rPr>
          <w:color w:val="auto"/>
        </w:rPr>
        <w:lastRenderedPageBreak/>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12</w:t>
      </w:r>
      <w:r w:rsidR="00E21383" w:rsidRPr="004D407A">
        <w:rPr>
          <w:noProof/>
          <w:color w:val="auto"/>
        </w:rPr>
        <w:fldChar w:fldCharType="end"/>
      </w:r>
      <w:bookmarkEnd w:id="117"/>
      <w:r w:rsidRPr="004D407A">
        <w:rPr>
          <w:noProof/>
          <w:color w:val="auto"/>
        </w:rPr>
        <w:t>: Valid coverage by 12 months by DNCC</w:t>
      </w:r>
      <w:r w:rsidR="00331F23" w:rsidRPr="004D407A">
        <w:rPr>
          <w:rStyle w:val="FootnoteReference"/>
          <w:noProof/>
          <w:color w:val="auto"/>
        </w:rPr>
        <w:footnoteReference w:id="28"/>
      </w:r>
      <w:r w:rsidRPr="004D407A">
        <w:rPr>
          <w:noProof/>
          <w:color w:val="auto"/>
        </w:rPr>
        <w:t xml:space="preserve"> and DNCC slum and DSCC and DSCC Slum, CES 20</w:t>
      </w:r>
      <w:bookmarkEnd w:id="118"/>
      <w:bookmarkEnd w:id="119"/>
      <w:r w:rsidRPr="004D407A">
        <w:rPr>
          <w:noProof/>
          <w:color w:val="auto"/>
        </w:rPr>
        <w:t>19</w:t>
      </w:r>
      <w:bookmarkEnd w:id="120"/>
    </w:p>
    <w:p w14:paraId="5B0840F0" w14:textId="0DEE8B3D" w:rsidR="00012A6E" w:rsidRPr="004D407A" w:rsidRDefault="00012A6E" w:rsidP="00012A6E">
      <w:pPr>
        <w:pStyle w:val="myChart"/>
      </w:pPr>
      <w:r w:rsidRPr="004D407A">
        <w:rPr>
          <w:noProof/>
        </w:rPr>
        <w:drawing>
          <wp:inline distT="0" distB="0" distL="0" distR="0" wp14:anchorId="45C9F9B5" wp14:editId="707D60CE">
            <wp:extent cx="4278374" cy="2542032"/>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0674" cy="2543399"/>
                    </a:xfrm>
                    <a:prstGeom prst="rect">
                      <a:avLst/>
                    </a:prstGeom>
                    <a:noFill/>
                  </pic:spPr>
                </pic:pic>
              </a:graphicData>
            </a:graphic>
          </wp:inline>
        </w:drawing>
      </w:r>
    </w:p>
    <w:p w14:paraId="13604BD9" w14:textId="6344122B" w:rsidR="0010191F" w:rsidRPr="004D407A" w:rsidRDefault="0010191F" w:rsidP="0010191F">
      <w:pPr>
        <w:pStyle w:val="mySource"/>
        <w:rPr>
          <w:color w:val="auto"/>
        </w:rPr>
      </w:pPr>
      <w:r w:rsidRPr="004D407A">
        <w:rPr>
          <w:color w:val="auto"/>
        </w:rPr>
        <w:t>Source: CES 2019</w:t>
      </w:r>
    </w:p>
    <w:p w14:paraId="66B030DE" w14:textId="77777777" w:rsidR="00012A6E" w:rsidRPr="004D407A" w:rsidRDefault="00012A6E" w:rsidP="00012A6E">
      <w:pPr>
        <w:pStyle w:val="BodyText"/>
        <w:rPr>
          <w:rFonts w:ascii="Arial" w:hAnsi="Arial"/>
        </w:rPr>
      </w:pPr>
      <w:r w:rsidRPr="004D407A">
        <w:rPr>
          <w:rFonts w:ascii="Arial" w:hAnsi="Arial"/>
        </w:rPr>
        <w:t>One of the main challenges of the EPI Bangladesh are remaining pockets of unvaccinated and unprotected children and CBAW living in urban slums and hard-to-reach areas. Therefore, one of the key priority actions for EPI Bangladesh is to improve performance of the immunization system in the urban slums through the identification and reaching out these vulnerable groups and protecting underserved groups of population against VPD and preventing potential outbreaks.</w:t>
      </w:r>
    </w:p>
    <w:p w14:paraId="104FB441" w14:textId="5DDAF316" w:rsidR="00012A6E" w:rsidRPr="004D407A" w:rsidRDefault="00012A6E" w:rsidP="00012A6E">
      <w:pPr>
        <w:pStyle w:val="BodyText"/>
      </w:pPr>
      <w:r w:rsidRPr="004D407A">
        <w:rPr>
          <w:rFonts w:ascii="Arial" w:hAnsi="Arial"/>
        </w:rPr>
        <w:t xml:space="preserve">CES 2019 revealed that the main reasons for low coverage in both urban and rural areas is low knowledge of target communities of the vaccination schedule of their children (didn’t know that my child should be given vaccine) (24% in urban and 33% in rural areas), leading to the low or lack of demand for immunization services among these population groups. The analysis of CES results the reasons of non-immunization showed that in nearly 39% of cases in rural areas and 24% of urban areas the reason of non-vaccination was that the caregivers didn’t know that their child should be given vaccine, which in rural areas followed by the vaccine hesitancy (don’t believe in vaccination) and in urban areas with the lack of knowledge about the vaccination process and vaccination points (didn’t know where to go for vaccination (see </w:t>
      </w:r>
      <w:r w:rsidRPr="004D407A">
        <w:rPr>
          <w:rFonts w:ascii="Arial" w:hAnsi="Arial"/>
        </w:rPr>
        <w:fldChar w:fldCharType="begin"/>
      </w:r>
      <w:r w:rsidRPr="004D407A">
        <w:rPr>
          <w:rFonts w:ascii="Arial" w:hAnsi="Arial"/>
        </w:rPr>
        <w:instrText xml:space="preserve"> REF _Ref102934332 \h  \* MERGEFORMAT </w:instrText>
      </w:r>
      <w:r w:rsidRPr="004D407A">
        <w:rPr>
          <w:rFonts w:ascii="Arial" w:hAnsi="Arial"/>
        </w:rPr>
      </w:r>
      <w:r w:rsidRPr="004D407A">
        <w:rPr>
          <w:rFonts w:ascii="Arial" w:hAnsi="Arial"/>
        </w:rPr>
        <w:fldChar w:fldCharType="separate"/>
      </w:r>
      <w:r w:rsidR="00D80429" w:rsidRPr="004D407A">
        <w:rPr>
          <w:rFonts w:ascii="Arial" w:hAnsi="Arial"/>
        </w:rPr>
        <w:t>Figure 13</w:t>
      </w:r>
      <w:r w:rsidRPr="004D407A">
        <w:rPr>
          <w:rFonts w:ascii="Arial" w:hAnsi="Arial"/>
        </w:rPr>
        <w:fldChar w:fldCharType="end"/>
      </w:r>
      <w:r w:rsidRPr="004D407A">
        <w:rPr>
          <w:rFonts w:ascii="Arial" w:hAnsi="Arial"/>
        </w:rPr>
        <w:t xml:space="preserve"> below).</w:t>
      </w:r>
    </w:p>
    <w:p w14:paraId="5CC2E1E6" w14:textId="1E46C0A8" w:rsidR="00012A6E" w:rsidRPr="004D407A" w:rsidRDefault="00012A6E" w:rsidP="00012A6E">
      <w:pPr>
        <w:pStyle w:val="Caption"/>
        <w:rPr>
          <w:noProof/>
          <w:color w:val="auto"/>
        </w:rPr>
      </w:pPr>
      <w:bookmarkStart w:id="121" w:name="_Ref102934332"/>
      <w:bookmarkStart w:id="122" w:name="_Toc490750615"/>
      <w:bookmarkStart w:id="123" w:name="_Toc111912752"/>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13</w:t>
      </w:r>
      <w:r w:rsidR="00E21383" w:rsidRPr="004D407A">
        <w:rPr>
          <w:noProof/>
          <w:color w:val="auto"/>
        </w:rPr>
        <w:fldChar w:fldCharType="end"/>
      </w:r>
      <w:bookmarkEnd w:id="121"/>
      <w:r w:rsidRPr="004D407A">
        <w:rPr>
          <w:noProof/>
          <w:color w:val="auto"/>
        </w:rPr>
        <w:t>:</w:t>
      </w:r>
      <w:r w:rsidR="00742C72" w:rsidRPr="004D407A">
        <w:rPr>
          <w:noProof/>
          <w:color w:val="auto"/>
        </w:rPr>
        <w:t xml:space="preserve"> </w:t>
      </w:r>
      <w:r w:rsidRPr="004D407A">
        <w:rPr>
          <w:noProof/>
          <w:color w:val="auto"/>
        </w:rPr>
        <w:t>Reasons for Never Having Vaccination in Rural Areas, City Corporations and Munitipalities in 2019</w:t>
      </w:r>
      <w:bookmarkEnd w:id="122"/>
      <w:bookmarkEnd w:id="123"/>
    </w:p>
    <w:p w14:paraId="0C24B974" w14:textId="4BD3436D" w:rsidR="0035421F" w:rsidRPr="004D407A" w:rsidRDefault="0035421F" w:rsidP="0035421F">
      <w:pPr>
        <w:spacing w:after="0" w:line="240" w:lineRule="auto"/>
      </w:pPr>
      <w:r w:rsidRPr="004D407A">
        <w:rPr>
          <w:noProof/>
        </w:rPr>
        <w:drawing>
          <wp:inline distT="0" distB="0" distL="0" distR="0" wp14:anchorId="02CE8757" wp14:editId="439297F0">
            <wp:extent cx="5400714" cy="2105040"/>
            <wp:effectExtent l="0" t="0" r="9525" b="952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2"/>
                    <a:stretch>
                      <a:fillRect/>
                    </a:stretch>
                  </pic:blipFill>
                  <pic:spPr>
                    <a:xfrm>
                      <a:off x="0" y="0"/>
                      <a:ext cx="5400714" cy="2105040"/>
                    </a:xfrm>
                    <a:prstGeom prst="rect">
                      <a:avLst/>
                    </a:prstGeom>
                  </pic:spPr>
                </pic:pic>
              </a:graphicData>
            </a:graphic>
          </wp:inline>
        </w:drawing>
      </w:r>
    </w:p>
    <w:p w14:paraId="7CD17B74" w14:textId="77777777" w:rsidR="00012A6E" w:rsidRPr="004D407A" w:rsidRDefault="00012A6E" w:rsidP="00012A6E">
      <w:pPr>
        <w:pStyle w:val="mySource"/>
        <w:rPr>
          <w:color w:val="auto"/>
        </w:rPr>
      </w:pPr>
      <w:r w:rsidRPr="004D407A">
        <w:rPr>
          <w:color w:val="auto"/>
        </w:rPr>
        <w:t>Source: CES 2019</w:t>
      </w:r>
    </w:p>
    <w:p w14:paraId="0B7A09A1" w14:textId="77777777" w:rsidR="00012A6E" w:rsidRPr="004D407A" w:rsidRDefault="00012A6E" w:rsidP="00012A6E">
      <w:pPr>
        <w:pStyle w:val="BodyText"/>
        <w:rPr>
          <w:rFonts w:ascii="Arial" w:hAnsi="Arial"/>
        </w:rPr>
      </w:pPr>
      <w:r w:rsidRPr="004D407A">
        <w:rPr>
          <w:rFonts w:ascii="Arial" w:hAnsi="Arial"/>
        </w:rPr>
        <w:lastRenderedPageBreak/>
        <w:t>Another key reason for insufficient immunization coverage in the urban areas could be related to the weaknesses in the health system and service delivery, which in urban areas are delivered as part of Health, Nutrition and Population services.</w:t>
      </w:r>
    </w:p>
    <w:p w14:paraId="63D01BF6" w14:textId="77777777" w:rsidR="00012A6E" w:rsidRPr="004D407A" w:rsidRDefault="00012A6E" w:rsidP="00012A6E">
      <w:pPr>
        <w:pStyle w:val="myHeading2"/>
        <w:rPr>
          <w:color w:val="auto"/>
        </w:rPr>
      </w:pPr>
      <w:r w:rsidRPr="004D407A">
        <w:rPr>
          <w:color w:val="auto"/>
        </w:rPr>
        <w:t>EQUIST analysis</w:t>
      </w:r>
      <w:r w:rsidRPr="004D407A">
        <w:rPr>
          <w:rStyle w:val="FootnoteReference"/>
          <w:color w:val="auto"/>
        </w:rPr>
        <w:footnoteReference w:id="29"/>
      </w:r>
    </w:p>
    <w:p w14:paraId="41CD883B" w14:textId="77777777" w:rsidR="00012A6E" w:rsidRPr="004D407A" w:rsidRDefault="00012A6E" w:rsidP="00012A6E">
      <w:pPr>
        <w:pStyle w:val="BodyText"/>
        <w:rPr>
          <w:rFonts w:ascii="Arial" w:hAnsi="Arial"/>
        </w:rPr>
      </w:pPr>
      <w:r w:rsidRPr="004D407A">
        <w:rPr>
          <w:rFonts w:ascii="Arial" w:hAnsi="Arial"/>
        </w:rPr>
        <w:t xml:space="preserve">The Government of Bangladesh’s 4th Health, Nutrition, and Population Sector Development Program (HNP) is designed to achieve universal coverage for maternal, newborn, child, and adolescent health (MNCAH). Despite the overall progress towards achievement of the program objectives, inequities in health and nutrition remain unresolved problem, especially among disadvantaged groups. Improvement equity in health service delivery, therefore, remains one of the most critical challenges of the Government to promote and achieve universal coverage of population and contribute into the Sustainable Development Goals (SDG3). </w:t>
      </w:r>
    </w:p>
    <w:p w14:paraId="04F00D70" w14:textId="71AE0043" w:rsidR="00012A6E" w:rsidRPr="004D407A" w:rsidRDefault="00012A6E" w:rsidP="00012A6E">
      <w:pPr>
        <w:pStyle w:val="BodyText"/>
      </w:pPr>
      <w:r w:rsidRPr="004D407A">
        <w:rPr>
          <w:rFonts w:ascii="Arial" w:hAnsi="Arial"/>
        </w:rPr>
        <w:t xml:space="preserve">The Government of Bangladesh (GoB), with the support provided by the UNICEF (Dhaka) conducted the equity analysis through application of EQUIST. The main objectives of the analysis was to analyze existing inequity in neonatal, under-five and maternal mortality rates by division, residence and wealth quintiles; identify the extent of the inequity and drivers of inequity; identify the amenable under-five deaths and maternal deaths among the deprived population groups; identify the causes responsible for these amenable deaths and the high impact interventions that could avert these deaths; and develop scenarios for addressing the need of the deprived population and conduct a bottleneck analysis using the </w:t>
      </w:r>
      <w:r w:rsidR="00D66951" w:rsidRPr="004D407A">
        <w:rPr>
          <w:rFonts w:ascii="Arial" w:hAnsi="Arial"/>
        </w:rPr>
        <w:t>Takahashi</w:t>
      </w:r>
      <w:r w:rsidRPr="004D407A">
        <w:rPr>
          <w:rFonts w:ascii="Arial" w:hAnsi="Arial"/>
        </w:rPr>
        <w:t xml:space="preserve"> model.</w:t>
      </w:r>
    </w:p>
    <w:p w14:paraId="0840388A" w14:textId="2A9527D3" w:rsidR="00012A6E" w:rsidRPr="004D407A" w:rsidRDefault="00012A6E" w:rsidP="00012A6E">
      <w:pPr>
        <w:pStyle w:val="BodyText"/>
        <w:rPr>
          <w:rFonts w:ascii="Arial" w:hAnsi="Arial"/>
        </w:rPr>
      </w:pPr>
      <w:r w:rsidRPr="004D407A">
        <w:rPr>
          <w:rFonts w:ascii="Arial" w:hAnsi="Arial"/>
        </w:rPr>
        <w:t xml:space="preserve">The results of the </w:t>
      </w:r>
      <w:r w:rsidR="00F82233" w:rsidRPr="004D407A">
        <w:rPr>
          <w:rFonts w:ascii="Arial" w:hAnsi="Arial"/>
        </w:rPr>
        <w:t>Equity</w:t>
      </w:r>
      <w:r w:rsidRPr="004D407A">
        <w:rPr>
          <w:rFonts w:ascii="Arial" w:hAnsi="Arial"/>
        </w:rPr>
        <w:t xml:space="preserve"> analysis confirmed common perceptions related to the overall situation in the divisions of Bangladesh and performance of these divisions in MNCH service delivery including delivery of immunization services. </w:t>
      </w:r>
      <w:r w:rsidR="00F82233" w:rsidRPr="004D407A">
        <w:rPr>
          <w:rFonts w:ascii="Arial" w:hAnsi="Arial"/>
        </w:rPr>
        <w:t>The</w:t>
      </w:r>
      <w:r w:rsidRPr="004D407A">
        <w:rPr>
          <w:rFonts w:ascii="Arial" w:hAnsi="Arial"/>
        </w:rPr>
        <w:t xml:space="preserve"> analysis highlighted high inequit</w:t>
      </w:r>
      <w:r w:rsidR="00F82233" w:rsidRPr="004D407A">
        <w:rPr>
          <w:rFonts w:ascii="Arial" w:hAnsi="Arial"/>
        </w:rPr>
        <w:t>ies</w:t>
      </w:r>
      <w:r w:rsidRPr="004D407A">
        <w:rPr>
          <w:rFonts w:ascii="Arial" w:hAnsi="Arial"/>
        </w:rPr>
        <w:t xml:space="preserve"> in neonatal mortality rate by divisions, residence, and wealth quintiles. </w:t>
      </w:r>
    </w:p>
    <w:p w14:paraId="22C5B81D" w14:textId="77777777" w:rsidR="00012A6E" w:rsidRPr="004D407A" w:rsidRDefault="00012A6E" w:rsidP="00012A6E">
      <w:pPr>
        <w:pStyle w:val="Heading4"/>
        <w:rPr>
          <w:color w:val="auto"/>
        </w:rPr>
      </w:pPr>
      <w:bookmarkStart w:id="124" w:name="_Toc111910243"/>
      <w:r w:rsidRPr="004D407A">
        <w:rPr>
          <w:color w:val="auto"/>
        </w:rPr>
        <w:t>Neonatal Mortality Rate</w:t>
      </w:r>
      <w:bookmarkEnd w:id="124"/>
    </w:p>
    <w:p w14:paraId="06A97798" w14:textId="5D641DA7" w:rsidR="00012A6E" w:rsidRPr="004D407A" w:rsidRDefault="00D66951" w:rsidP="00012A6E">
      <w:pPr>
        <w:pStyle w:val="BodyText"/>
        <w:rPr>
          <w:rFonts w:ascii="Arial" w:hAnsi="Arial"/>
        </w:rPr>
      </w:pPr>
      <w:r w:rsidRPr="004D407A">
        <w:rPr>
          <w:rFonts w:ascii="Arial" w:hAnsi="Arial"/>
        </w:rPr>
        <w:t xml:space="preserve">The results of EQUIST confirmed that </w:t>
      </w:r>
      <w:r w:rsidR="00012A6E" w:rsidRPr="004D407A">
        <w:rPr>
          <w:rFonts w:ascii="Arial" w:hAnsi="Arial"/>
        </w:rPr>
        <w:t>the policy makers should plan and implement specific interventions to further reduce neonatal mortality rate in Sylhet, Rajshahi and Rangpur divisions to catch up with national trends and help the country to achieve Sustainable Development Goals (SDG3). EQUIST also showed that the special interventions will be required for population groups residing in slum areas, as well as for the households from the poorest three income quintiles. If the country wishes to reduce the total number of neonatal deaths, then the Dhaka and Chattogram divisions should also be considered, as the number of neonatal deaths was highest in Dhaka division with 13,197 deaths followed by Chattogram division with 10,131 deaths.</w:t>
      </w:r>
    </w:p>
    <w:p w14:paraId="2E5DC7AE" w14:textId="77777777" w:rsidR="00012A6E" w:rsidRPr="004D407A" w:rsidRDefault="00012A6E" w:rsidP="00012A6E">
      <w:pPr>
        <w:pStyle w:val="Heading4"/>
        <w:rPr>
          <w:color w:val="auto"/>
        </w:rPr>
      </w:pPr>
      <w:bookmarkStart w:id="125" w:name="_Toc111910244"/>
      <w:r w:rsidRPr="004D407A">
        <w:rPr>
          <w:color w:val="auto"/>
        </w:rPr>
        <w:t>Under-five Mortality Rate</w:t>
      </w:r>
      <w:bookmarkEnd w:id="125"/>
    </w:p>
    <w:p w14:paraId="24FA2B94" w14:textId="77777777" w:rsidR="00012A6E" w:rsidRPr="004D407A" w:rsidRDefault="00012A6E" w:rsidP="00012A6E">
      <w:pPr>
        <w:pStyle w:val="BodyText"/>
        <w:rPr>
          <w:rFonts w:ascii="Arial" w:hAnsi="Arial"/>
        </w:rPr>
      </w:pPr>
      <w:r w:rsidRPr="004D407A">
        <w:rPr>
          <w:rFonts w:ascii="Arial" w:hAnsi="Arial"/>
        </w:rPr>
        <w:t xml:space="preserve">According to the EQUIST results, to improve equity policy makers should take various steps to reduce further under-five mortality rate in </w:t>
      </w:r>
      <w:proofErr w:type="spellStart"/>
      <w:r w:rsidRPr="004D407A">
        <w:rPr>
          <w:rFonts w:ascii="Arial" w:hAnsi="Arial"/>
        </w:rPr>
        <w:t>Syhet</w:t>
      </w:r>
      <w:proofErr w:type="spellEnd"/>
      <w:r w:rsidRPr="004D407A">
        <w:rPr>
          <w:rFonts w:ascii="Arial" w:hAnsi="Arial"/>
        </w:rPr>
        <w:t>, Rangpur and Chattogram divisions. Special interventions are needed for population residing in slum areas and households belonging to the poorest three income quintiles, whose figure is higher than the national average.</w:t>
      </w:r>
    </w:p>
    <w:p w14:paraId="2C669C57" w14:textId="77777777" w:rsidR="00012A6E" w:rsidRPr="004D407A" w:rsidRDefault="00012A6E" w:rsidP="00012A6E">
      <w:pPr>
        <w:pStyle w:val="BodyText"/>
      </w:pPr>
      <w:r w:rsidRPr="004D407A">
        <w:rPr>
          <w:rFonts w:ascii="Arial" w:hAnsi="Arial"/>
        </w:rPr>
        <w:t xml:space="preserve">But if the country wishes to reduce the total number of neonatal deaths, then the </w:t>
      </w:r>
      <w:r w:rsidRPr="004D407A">
        <w:rPr>
          <w:rFonts w:ascii="Arial" w:hAnsi="Arial"/>
          <w:b/>
          <w:bCs/>
        </w:rPr>
        <w:t xml:space="preserve">Dhaka and Chattogram </w:t>
      </w:r>
      <w:r w:rsidRPr="004D407A">
        <w:rPr>
          <w:rFonts w:ascii="Arial" w:hAnsi="Arial"/>
        </w:rPr>
        <w:t>divisions should also be considered. The number of under-five deaths was highest in Dhaka division with 32,993 deaths followed by Chattogram division with 25,962 deaths.</w:t>
      </w:r>
    </w:p>
    <w:p w14:paraId="77888BB2" w14:textId="77777777" w:rsidR="00012A6E" w:rsidRPr="004D407A" w:rsidRDefault="00012A6E" w:rsidP="00012A6E">
      <w:pPr>
        <w:pStyle w:val="Heading4"/>
        <w:rPr>
          <w:color w:val="auto"/>
        </w:rPr>
      </w:pPr>
      <w:bookmarkStart w:id="126" w:name="_Toc111910245"/>
      <w:r w:rsidRPr="004D407A">
        <w:rPr>
          <w:color w:val="auto"/>
        </w:rPr>
        <w:lastRenderedPageBreak/>
        <w:t>Maternal Mortality Ratio</w:t>
      </w:r>
      <w:bookmarkEnd w:id="126"/>
      <w:r w:rsidRPr="004D407A">
        <w:rPr>
          <w:color w:val="auto"/>
        </w:rPr>
        <w:t xml:space="preserve"> </w:t>
      </w:r>
    </w:p>
    <w:p w14:paraId="345E3852" w14:textId="74FD32AB" w:rsidR="00012A6E" w:rsidRPr="004D407A" w:rsidRDefault="002070CD" w:rsidP="00012A6E">
      <w:pPr>
        <w:pStyle w:val="BodyText"/>
        <w:rPr>
          <w:rFonts w:ascii="Arial" w:hAnsi="Arial"/>
        </w:rPr>
      </w:pPr>
      <w:r w:rsidRPr="004D407A">
        <w:rPr>
          <w:rFonts w:ascii="Arial" w:hAnsi="Arial"/>
        </w:rPr>
        <w:t xml:space="preserve">EQUIST results confirmed the need for implementation of the </w:t>
      </w:r>
      <w:r w:rsidR="00012A6E" w:rsidRPr="004D407A">
        <w:rPr>
          <w:rFonts w:ascii="Arial" w:hAnsi="Arial"/>
        </w:rPr>
        <w:t xml:space="preserve">various steps to reduce maternal mortality ratio in Rajshahi, Rangpur, </w:t>
      </w:r>
      <w:proofErr w:type="gramStart"/>
      <w:r w:rsidR="00012A6E" w:rsidRPr="004D407A">
        <w:rPr>
          <w:rFonts w:ascii="Arial" w:hAnsi="Arial"/>
        </w:rPr>
        <w:t>Barisal</w:t>
      </w:r>
      <w:proofErr w:type="gramEnd"/>
      <w:r w:rsidR="00012A6E" w:rsidRPr="004D407A">
        <w:rPr>
          <w:rFonts w:ascii="Arial" w:hAnsi="Arial"/>
        </w:rPr>
        <w:t xml:space="preserve"> and Sylhet divisions. Special interventions are needed for population residing in rural areas and households belonging to the poorest three income quintiles, whose figures are higher than the national average. But if the country wishes to reduce the total number of maternal </w:t>
      </w:r>
      <w:proofErr w:type="gramStart"/>
      <w:r w:rsidR="00012A6E" w:rsidRPr="004D407A">
        <w:rPr>
          <w:rFonts w:ascii="Arial" w:hAnsi="Arial"/>
        </w:rPr>
        <w:t>deaths</w:t>
      </w:r>
      <w:proofErr w:type="gramEnd"/>
      <w:r w:rsidR="00012A6E" w:rsidRPr="004D407A">
        <w:rPr>
          <w:rFonts w:ascii="Arial" w:hAnsi="Arial"/>
        </w:rPr>
        <w:t xml:space="preserve"> then the Dhaka and Chattogram divisions should also be considered.</w:t>
      </w:r>
    </w:p>
    <w:p w14:paraId="332FCEF3" w14:textId="77777777" w:rsidR="00E50B14" w:rsidRPr="004D407A" w:rsidRDefault="00012A6E" w:rsidP="00012A6E">
      <w:pPr>
        <w:pStyle w:val="BodyText"/>
        <w:rPr>
          <w:rFonts w:ascii="Arial" w:hAnsi="Arial"/>
        </w:rPr>
      </w:pPr>
      <w:r w:rsidRPr="004D407A">
        <w:rPr>
          <w:rFonts w:ascii="Arial" w:hAnsi="Arial"/>
        </w:rPr>
        <w:t xml:space="preserve">The equity frontier analysis identified the factors that most contribute to addressing inequity and reducing the disparity between the different groups of population. </w:t>
      </w:r>
    </w:p>
    <w:p w14:paraId="4B403680" w14:textId="732C4EB4" w:rsidR="002432A5" w:rsidRPr="004D407A" w:rsidRDefault="00012A6E" w:rsidP="00012A6E">
      <w:pPr>
        <w:pStyle w:val="BodyText"/>
      </w:pPr>
      <w:r w:rsidRPr="004D407A">
        <w:rPr>
          <w:rFonts w:ascii="Arial" w:hAnsi="Arial"/>
        </w:rPr>
        <w:t>Overall the EQUIST analysis revealed four major bottlenecks for MNCH service delivery</w:t>
      </w:r>
      <w:r w:rsidR="00C87E9B" w:rsidRPr="004D407A">
        <w:rPr>
          <w:rFonts w:ascii="Arial" w:hAnsi="Arial"/>
        </w:rPr>
        <w:t xml:space="preserve"> (including immunization)</w:t>
      </w:r>
      <w:r w:rsidRPr="004D407A">
        <w:rPr>
          <w:rFonts w:ascii="Arial" w:hAnsi="Arial"/>
        </w:rPr>
        <w:t xml:space="preserve">: 1) inadequate provision of emergency drugs and supplies; 2) vacant posts and manpower and lack of trained health personnel; 3) the long distance from the </w:t>
      </w:r>
      <w:proofErr w:type="spellStart"/>
      <w:r w:rsidRPr="004D407A">
        <w:rPr>
          <w:rFonts w:ascii="Arial" w:hAnsi="Arial"/>
        </w:rPr>
        <w:t>BEmOC</w:t>
      </w:r>
      <w:proofErr w:type="spellEnd"/>
      <w:r w:rsidRPr="004D407A">
        <w:rPr>
          <w:rFonts w:ascii="Arial" w:hAnsi="Arial"/>
        </w:rPr>
        <w:t xml:space="preserve"> facilities and insufficient transport facilities and 4) lack of education, knowledge and awareness of communities, which led to the conclusion that the effective interventions related to the strengthening of the HR capacity, improvement of supply and logistics systems will significantly improve access and utilization of the MNCH interventions, including immunization.</w:t>
      </w:r>
    </w:p>
    <w:p w14:paraId="73058F6A" w14:textId="471B121C" w:rsidR="00B41345" w:rsidRPr="004D407A" w:rsidRDefault="00006349" w:rsidP="00006349">
      <w:pPr>
        <w:pStyle w:val="Heading3"/>
        <w:rPr>
          <w:color w:val="auto"/>
        </w:rPr>
      </w:pPr>
      <w:bookmarkStart w:id="127" w:name="_Toc489491506"/>
      <w:bookmarkStart w:id="128" w:name="_Toc111910246"/>
      <w:bookmarkStart w:id="129" w:name="_Hlk102032374"/>
      <w:r w:rsidRPr="004D407A">
        <w:rPr>
          <w:color w:val="auto"/>
        </w:rPr>
        <w:t>Immunization system performance by components</w:t>
      </w:r>
      <w:bookmarkEnd w:id="127"/>
      <w:bookmarkEnd w:id="128"/>
    </w:p>
    <w:p w14:paraId="375BC381" w14:textId="77777777" w:rsidR="00660F31" w:rsidRPr="004D407A" w:rsidRDefault="00660F31" w:rsidP="00526CCA">
      <w:pPr>
        <w:pStyle w:val="Heading4"/>
        <w:numPr>
          <w:ilvl w:val="3"/>
          <w:numId w:val="10"/>
        </w:numPr>
        <w:spacing w:after="160"/>
        <w:rPr>
          <w:color w:val="auto"/>
        </w:rPr>
      </w:pPr>
      <w:bookmarkStart w:id="130" w:name="_Toc489491507"/>
      <w:bookmarkStart w:id="131" w:name="_Toc111910247"/>
      <w:bookmarkStart w:id="132" w:name="_Toc439638793"/>
      <w:r w:rsidRPr="004D407A">
        <w:rPr>
          <w:color w:val="auto"/>
        </w:rPr>
        <w:t>Governance / decision making</w:t>
      </w:r>
      <w:bookmarkEnd w:id="130"/>
      <w:bookmarkEnd w:id="131"/>
    </w:p>
    <w:p w14:paraId="7FB8BA1D" w14:textId="77777777" w:rsidR="0067286F" w:rsidRPr="004D407A" w:rsidRDefault="0067286F" w:rsidP="0067286F">
      <w:pPr>
        <w:pStyle w:val="BodyText"/>
        <w:rPr>
          <w:rFonts w:ascii="Arial" w:hAnsi="Arial"/>
          <w:lang w:eastAsia="zh-CN"/>
        </w:rPr>
      </w:pPr>
      <w:r w:rsidRPr="004D407A">
        <w:rPr>
          <w:rFonts w:ascii="Arial" w:hAnsi="Arial"/>
          <w:lang w:eastAsia="zh-CN"/>
        </w:rPr>
        <w:t>The principal agency for making technical recommendations on the immunization schedule, immunization practices, and new vaccines and technologies is the National Committee for Immunization Practice (NCIP). The NCIP appoints sub-committees for immunization related programs for disease prevention and control, elimination, eradication, and safety.</w:t>
      </w:r>
    </w:p>
    <w:p w14:paraId="6CC8DC0D" w14:textId="77777777" w:rsidR="0067286F" w:rsidRPr="004D407A" w:rsidRDefault="0067286F" w:rsidP="0067286F">
      <w:pPr>
        <w:pStyle w:val="BodyText"/>
        <w:rPr>
          <w:rFonts w:ascii="Arial" w:hAnsi="Arial"/>
          <w:lang w:eastAsia="zh-CN"/>
        </w:rPr>
      </w:pPr>
      <w:r w:rsidRPr="004D407A">
        <w:rPr>
          <w:rFonts w:ascii="Arial" w:hAnsi="Arial"/>
          <w:lang w:eastAsia="zh-CN"/>
        </w:rPr>
        <w:t>The main agency for regulation and licensing of vaccines in Bangladesh is the Directorate General of Drug Administration (DGDA). It is the policy commitment of the MOHFW that all licensing and registration of vaccine production and marketing should come under the single regulatory umbrella of the DGDA.</w:t>
      </w:r>
    </w:p>
    <w:p w14:paraId="70AEBFC1" w14:textId="4E056470" w:rsidR="0067286F" w:rsidRPr="004D407A" w:rsidRDefault="0067286F" w:rsidP="0067286F">
      <w:pPr>
        <w:pStyle w:val="BodyText"/>
        <w:rPr>
          <w:rFonts w:ascii="Arial" w:hAnsi="Arial"/>
          <w:lang w:eastAsia="zh-CN"/>
        </w:rPr>
      </w:pPr>
      <w:r w:rsidRPr="004D407A">
        <w:rPr>
          <w:rFonts w:ascii="Arial" w:hAnsi="Arial"/>
          <w:lang w:eastAsia="zh-CN"/>
        </w:rPr>
        <w:t>The MOHFW upgrades and maintains the capacity of DGDA to undertake the six core regulatory functions of (</w:t>
      </w:r>
      <w:proofErr w:type="spellStart"/>
      <w:r w:rsidRPr="004D407A">
        <w:rPr>
          <w:rFonts w:ascii="Arial" w:hAnsi="Arial"/>
          <w:lang w:eastAsia="zh-CN"/>
        </w:rPr>
        <w:t>i</w:t>
      </w:r>
      <w:proofErr w:type="spellEnd"/>
      <w:r w:rsidRPr="004D407A">
        <w:rPr>
          <w:rFonts w:ascii="Arial" w:hAnsi="Arial"/>
          <w:lang w:eastAsia="zh-CN"/>
        </w:rPr>
        <w:t>) a published set of requirements for licensing, (ii) surveillance of vaccine field performance, (iii) introduction of systems of lot release, (iv)use of laboratory when needed, (v) regular inspections for good manufacturing performance and (vi) evaluation of clinical performance.</w:t>
      </w:r>
    </w:p>
    <w:p w14:paraId="7AFF31A4" w14:textId="77777777" w:rsidR="0067286F" w:rsidRPr="004D407A" w:rsidRDefault="0067286F" w:rsidP="0067286F">
      <w:pPr>
        <w:pStyle w:val="BodyText"/>
        <w:rPr>
          <w:rFonts w:ascii="Arial" w:hAnsi="Arial"/>
          <w:lang w:eastAsia="zh-CN"/>
        </w:rPr>
      </w:pPr>
      <w:r w:rsidRPr="004D407A">
        <w:rPr>
          <w:rFonts w:ascii="Arial" w:hAnsi="Arial"/>
          <w:lang w:eastAsia="zh-CN"/>
        </w:rPr>
        <w:t>The DGDA takes the primary responsibility for post marketing pharmaco-vigilance. The principal mechanisms for coordination of national and international resources for immunization is the Inter Agency Coordination committee, or any other sector coordination agency appointed by the Government.</w:t>
      </w:r>
    </w:p>
    <w:p w14:paraId="2B205B63" w14:textId="77777777" w:rsidR="0067286F" w:rsidRPr="004D407A" w:rsidRDefault="0067286F" w:rsidP="0067286F">
      <w:pPr>
        <w:pStyle w:val="BodyText"/>
        <w:rPr>
          <w:rFonts w:ascii="Arial" w:hAnsi="Arial"/>
          <w:lang w:eastAsia="zh-CN"/>
        </w:rPr>
      </w:pPr>
      <w:r w:rsidRPr="004D407A">
        <w:rPr>
          <w:rFonts w:ascii="Arial" w:hAnsi="Arial"/>
          <w:lang w:eastAsia="zh-CN"/>
        </w:rPr>
        <w:t>The principal agency responsible for ensuring the quality and safety of implementation of the routine public immunization schedule and immunization campaigns is the National Immunization Program, Directorate General of Health Services of MOHFW.</w:t>
      </w:r>
    </w:p>
    <w:p w14:paraId="135EB3B8" w14:textId="38883C24" w:rsidR="0067286F" w:rsidRPr="004D407A" w:rsidRDefault="0067286F" w:rsidP="0067286F">
      <w:pPr>
        <w:pStyle w:val="BodyText"/>
        <w:rPr>
          <w:rFonts w:ascii="Arial" w:hAnsi="Arial"/>
          <w:lang w:eastAsia="zh-CN"/>
        </w:rPr>
      </w:pPr>
      <w:r w:rsidRPr="004D407A">
        <w:rPr>
          <w:rFonts w:ascii="Arial" w:hAnsi="Arial"/>
          <w:lang w:eastAsia="zh-CN"/>
        </w:rPr>
        <w:t xml:space="preserve">The Department of communicable Disease Control, Directorate-General of Health Services, MOHFW has the primary responsibility for implementation of non-EPI vaccination programs (rabies prevention, seasonal influenza vaccination and </w:t>
      </w:r>
      <w:r w:rsidR="00D470F3" w:rsidRPr="004D407A">
        <w:rPr>
          <w:rFonts w:ascii="Arial" w:hAnsi="Arial"/>
          <w:lang w:eastAsia="zh-CN"/>
        </w:rPr>
        <w:t>traveler’s</w:t>
      </w:r>
      <w:r w:rsidRPr="004D407A">
        <w:rPr>
          <w:rFonts w:ascii="Arial" w:hAnsi="Arial"/>
          <w:lang w:eastAsia="zh-CN"/>
        </w:rPr>
        <w:t xml:space="preserve"> vaccination, (including for Haj Pilgrims in collaboration with the Ministry of Religious Affairs and with overseas workers through Ministry of Expatriates Welfare and Overseas Employment). </w:t>
      </w:r>
      <w:r w:rsidRPr="004D407A">
        <w:rPr>
          <w:rFonts w:ascii="Arial" w:hAnsi="Arial"/>
          <w:lang w:eastAsia="zh-CN"/>
        </w:rPr>
        <w:lastRenderedPageBreak/>
        <w:t xml:space="preserve">Overall coordination of national immunization services </w:t>
      </w:r>
      <w:r w:rsidR="00D470F3" w:rsidRPr="004D407A">
        <w:rPr>
          <w:rFonts w:ascii="Arial" w:hAnsi="Arial"/>
          <w:lang w:eastAsia="zh-CN"/>
        </w:rPr>
        <w:t>remains</w:t>
      </w:r>
      <w:r w:rsidRPr="004D407A">
        <w:rPr>
          <w:rFonts w:ascii="Arial" w:hAnsi="Arial"/>
          <w:lang w:eastAsia="zh-CN"/>
        </w:rPr>
        <w:t xml:space="preserve"> the primary responsibility of the National Immunization Program, Directorate-General of Health Services, MOHFW.</w:t>
      </w:r>
    </w:p>
    <w:p w14:paraId="332149A6" w14:textId="77777777" w:rsidR="0067286F" w:rsidRPr="004D407A" w:rsidRDefault="0067286F" w:rsidP="0067286F">
      <w:pPr>
        <w:pStyle w:val="BodyText"/>
        <w:rPr>
          <w:rFonts w:ascii="Arial" w:hAnsi="Arial"/>
          <w:lang w:eastAsia="zh-CN"/>
        </w:rPr>
      </w:pPr>
      <w:r w:rsidRPr="004D407A">
        <w:rPr>
          <w:rFonts w:ascii="Arial" w:hAnsi="Arial"/>
          <w:lang w:eastAsia="zh-CN"/>
        </w:rPr>
        <w:t>NGOs supplying immunization services through City Corporations or Municipalities provide immunization services that conform to public sector immunization policies and standards in relation to cold-chain vaccine management, safe injection practices, and routine surveillance and immunization reporting and other immunization standard operating procedures.</w:t>
      </w:r>
    </w:p>
    <w:p w14:paraId="1F133ACD" w14:textId="77777777" w:rsidR="0067286F" w:rsidRPr="004D407A" w:rsidRDefault="0067286F" w:rsidP="0067286F">
      <w:pPr>
        <w:pStyle w:val="BodyText"/>
        <w:rPr>
          <w:lang w:eastAsia="zh-CN"/>
        </w:rPr>
      </w:pPr>
      <w:r w:rsidRPr="004D407A">
        <w:rPr>
          <w:rFonts w:ascii="Arial" w:hAnsi="Arial"/>
          <w:lang w:eastAsia="zh-CN"/>
        </w:rPr>
        <w:t>According to the MOHFW policy the City Corporations and Municipalities identify and mobilize immunization human resource numbers and operational costs that meet the standard and procedures for management of the public-sector immunization services elsewhere in the country.</w:t>
      </w:r>
    </w:p>
    <w:p w14:paraId="3FC3879D" w14:textId="77777777" w:rsidR="0067286F" w:rsidRPr="004D407A" w:rsidRDefault="0067286F" w:rsidP="0067286F">
      <w:pPr>
        <w:pStyle w:val="myHeading1"/>
        <w:rPr>
          <w:color w:val="auto"/>
          <w:lang w:eastAsia="zh-CN"/>
        </w:rPr>
      </w:pPr>
      <w:r w:rsidRPr="004D407A">
        <w:rPr>
          <w:color w:val="auto"/>
          <w:lang w:eastAsia="zh-CN"/>
        </w:rPr>
        <w:t>Changing the Immunization Schedule</w:t>
      </w:r>
    </w:p>
    <w:p w14:paraId="4B367444" w14:textId="2C329A75" w:rsidR="0067286F" w:rsidRPr="004D407A" w:rsidRDefault="0067286F" w:rsidP="0067286F">
      <w:pPr>
        <w:pStyle w:val="BodyText"/>
        <w:rPr>
          <w:rFonts w:ascii="Arial" w:hAnsi="Arial"/>
          <w:lang w:eastAsia="zh-CN"/>
        </w:rPr>
      </w:pPr>
      <w:r w:rsidRPr="004D407A">
        <w:rPr>
          <w:rFonts w:ascii="Arial" w:hAnsi="Arial"/>
          <w:lang w:eastAsia="zh-CN"/>
        </w:rPr>
        <w:t xml:space="preserve">Changes to the routine immunization schedule are technically reviewed and recommended by the National </w:t>
      </w:r>
      <w:r w:rsidR="00D470F3" w:rsidRPr="004D407A">
        <w:rPr>
          <w:rFonts w:ascii="Arial" w:hAnsi="Arial"/>
          <w:lang w:eastAsia="zh-CN"/>
        </w:rPr>
        <w:t xml:space="preserve">Immunization Technical Advisory Group (NITAG) and endorsed by Interagency Coordination Committee (ICC) </w:t>
      </w:r>
      <w:r w:rsidRPr="004D407A">
        <w:rPr>
          <w:rFonts w:ascii="Arial" w:hAnsi="Arial"/>
          <w:lang w:eastAsia="zh-CN"/>
        </w:rPr>
        <w:t xml:space="preserve"> </w:t>
      </w:r>
    </w:p>
    <w:p w14:paraId="03173391" w14:textId="77777777" w:rsidR="0067286F" w:rsidRPr="004D407A" w:rsidRDefault="0067286F" w:rsidP="0067286F">
      <w:pPr>
        <w:pStyle w:val="myHeading1"/>
        <w:rPr>
          <w:rFonts w:ascii="Arial" w:hAnsi="Arial"/>
          <w:color w:val="auto"/>
          <w:lang w:eastAsia="zh-CN"/>
        </w:rPr>
      </w:pPr>
      <w:r w:rsidRPr="004D407A">
        <w:rPr>
          <w:rFonts w:ascii="Arial" w:hAnsi="Arial"/>
          <w:color w:val="auto"/>
          <w:lang w:eastAsia="zh-CN"/>
        </w:rPr>
        <w:t>New vaccine introduction</w:t>
      </w:r>
    </w:p>
    <w:p w14:paraId="5DA7FDCC" w14:textId="79EBCB6E" w:rsidR="00660F31" w:rsidRPr="004D407A" w:rsidRDefault="0067286F" w:rsidP="0067286F">
      <w:pPr>
        <w:pStyle w:val="BodyText"/>
      </w:pPr>
      <w:r w:rsidRPr="004D407A">
        <w:rPr>
          <w:rFonts w:ascii="Arial" w:hAnsi="Arial"/>
          <w:lang w:eastAsia="zh-CN"/>
        </w:rPr>
        <w:t>The decisions on introduction of new vaccines into the national routine immunization schedule is made by the Ministry of Health and Family Welfare based on existing procedure and according to the N</w:t>
      </w:r>
      <w:r w:rsidR="00D470F3" w:rsidRPr="004D407A">
        <w:rPr>
          <w:rFonts w:ascii="Arial" w:hAnsi="Arial"/>
          <w:lang w:eastAsia="zh-CN"/>
        </w:rPr>
        <w:t>ITAG and ICC</w:t>
      </w:r>
      <w:r w:rsidRPr="004D407A">
        <w:rPr>
          <w:rFonts w:ascii="Arial" w:hAnsi="Arial"/>
          <w:lang w:eastAsia="zh-CN"/>
        </w:rPr>
        <w:t xml:space="preserve"> recommendations.</w:t>
      </w:r>
      <w:r w:rsidRPr="004D407A">
        <w:rPr>
          <w:rStyle w:val="FootnoteReference"/>
          <w:rFonts w:ascii="Arial" w:hAnsi="Arial"/>
        </w:rPr>
        <w:footnoteReference w:id="30"/>
      </w:r>
    </w:p>
    <w:p w14:paraId="419B3101" w14:textId="77777777" w:rsidR="00660F31" w:rsidRPr="004D407A" w:rsidRDefault="00660F31" w:rsidP="00526CCA">
      <w:pPr>
        <w:pStyle w:val="Heading4"/>
        <w:numPr>
          <w:ilvl w:val="3"/>
          <w:numId w:val="10"/>
        </w:numPr>
        <w:spacing w:after="160"/>
        <w:rPr>
          <w:color w:val="auto"/>
        </w:rPr>
      </w:pPr>
      <w:bookmarkStart w:id="133" w:name="_Toc439638794"/>
      <w:bookmarkStart w:id="134" w:name="_Toc489491508"/>
      <w:bookmarkStart w:id="135" w:name="_Ref500193563"/>
      <w:bookmarkStart w:id="136" w:name="_Ref500193577"/>
      <w:bookmarkStart w:id="137" w:name="_Ref500193582"/>
      <w:bookmarkStart w:id="138" w:name="_Toc111910248"/>
      <w:bookmarkEnd w:id="129"/>
      <w:r w:rsidRPr="004D407A">
        <w:rPr>
          <w:color w:val="auto"/>
        </w:rPr>
        <w:t>Immunization service delivery</w:t>
      </w:r>
      <w:bookmarkEnd w:id="133"/>
      <w:bookmarkEnd w:id="134"/>
      <w:bookmarkEnd w:id="135"/>
      <w:bookmarkEnd w:id="136"/>
      <w:bookmarkEnd w:id="137"/>
      <w:bookmarkEnd w:id="138"/>
    </w:p>
    <w:p w14:paraId="79B3CCF9" w14:textId="77777777" w:rsidR="00660F31" w:rsidRPr="004D407A" w:rsidRDefault="00660F31" w:rsidP="00660F31">
      <w:pPr>
        <w:pStyle w:val="myHeading1"/>
        <w:rPr>
          <w:color w:val="auto"/>
        </w:rPr>
      </w:pPr>
      <w:r w:rsidRPr="004D407A">
        <w:rPr>
          <w:color w:val="auto"/>
        </w:rPr>
        <w:t>EPI Services in Rural Areas</w:t>
      </w:r>
    </w:p>
    <w:p w14:paraId="01CB75F4" w14:textId="1D5FC117" w:rsidR="00660F31" w:rsidRPr="004D407A" w:rsidRDefault="00660F31" w:rsidP="00660F31">
      <w:pPr>
        <w:pStyle w:val="BodyText"/>
        <w:rPr>
          <w:rFonts w:ascii="Arial" w:hAnsi="Arial"/>
        </w:rPr>
      </w:pPr>
      <w:r w:rsidRPr="004D407A">
        <w:rPr>
          <w:rFonts w:ascii="Arial" w:hAnsi="Arial"/>
        </w:rPr>
        <w:t xml:space="preserve">The immunization service delivery in rural areas is managed by the government under the MOHFW. The Directorate of Health Services and the Directorate of Family Planning have assigned staff from district to field level for delivery of immunization services. </w:t>
      </w:r>
      <w:r w:rsidR="000169D9" w:rsidRPr="004D407A">
        <w:rPr>
          <w:rFonts w:ascii="Arial" w:hAnsi="Arial"/>
        </w:rPr>
        <w:t>T</w:t>
      </w:r>
      <w:r w:rsidRPr="004D407A">
        <w:rPr>
          <w:rFonts w:ascii="Arial" w:hAnsi="Arial"/>
        </w:rPr>
        <w:t xml:space="preserve">he EPI services are provided within the Essential Service Package and service provision is based on the administrative structure of the country which is presented in the </w:t>
      </w:r>
      <w:r w:rsidRPr="004D407A">
        <w:rPr>
          <w:rFonts w:ascii="Arial" w:hAnsi="Arial"/>
        </w:rPr>
        <w:fldChar w:fldCharType="begin"/>
      </w:r>
      <w:r w:rsidRPr="004D407A">
        <w:rPr>
          <w:rFonts w:ascii="Arial" w:hAnsi="Arial"/>
        </w:rPr>
        <w:instrText xml:space="preserve"> REF _Ref488619892 \h </w:instrText>
      </w:r>
      <w:r w:rsidR="00620E24"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14</w:t>
      </w:r>
      <w:r w:rsidRPr="004D407A">
        <w:rPr>
          <w:rFonts w:ascii="Arial" w:hAnsi="Arial"/>
        </w:rPr>
        <w:fldChar w:fldCharType="end"/>
      </w:r>
      <w:r w:rsidR="00C5663B" w:rsidRPr="004D407A">
        <w:rPr>
          <w:rFonts w:ascii="Arial" w:hAnsi="Arial"/>
        </w:rPr>
        <w:t xml:space="preserve">  </w:t>
      </w:r>
      <w:r w:rsidR="00C5663B" w:rsidRPr="004D407A">
        <w:rPr>
          <w:rFonts w:ascii="Arial" w:hAnsi="Arial"/>
        </w:rPr>
        <w:fldChar w:fldCharType="begin"/>
      </w:r>
      <w:r w:rsidR="00C5663B" w:rsidRPr="004D407A">
        <w:rPr>
          <w:rFonts w:ascii="Arial" w:hAnsi="Arial"/>
        </w:rPr>
        <w:instrText xml:space="preserve"> REF _Ref490702769 \p \h </w:instrText>
      </w:r>
      <w:r w:rsidR="00620E24" w:rsidRPr="004D407A">
        <w:rPr>
          <w:rFonts w:ascii="Arial" w:hAnsi="Arial"/>
        </w:rPr>
        <w:instrText xml:space="preserve"> \* MERGEFORMAT </w:instrText>
      </w:r>
      <w:r w:rsidR="00C5663B" w:rsidRPr="004D407A">
        <w:rPr>
          <w:rFonts w:ascii="Arial" w:hAnsi="Arial"/>
        </w:rPr>
      </w:r>
      <w:r w:rsidR="00C5663B" w:rsidRPr="004D407A">
        <w:rPr>
          <w:rFonts w:ascii="Arial" w:hAnsi="Arial"/>
        </w:rPr>
        <w:fldChar w:fldCharType="separate"/>
      </w:r>
      <w:r w:rsidR="00D80429" w:rsidRPr="004D407A">
        <w:rPr>
          <w:rFonts w:ascii="Arial" w:hAnsi="Arial"/>
        </w:rPr>
        <w:t>below</w:t>
      </w:r>
      <w:r w:rsidR="00C5663B" w:rsidRPr="004D407A">
        <w:rPr>
          <w:rFonts w:ascii="Arial" w:hAnsi="Arial"/>
        </w:rPr>
        <w:fldChar w:fldCharType="end"/>
      </w:r>
      <w:r w:rsidRPr="004D407A">
        <w:rPr>
          <w:rFonts w:ascii="Arial" w:hAnsi="Arial"/>
        </w:rPr>
        <w:t>:</w:t>
      </w:r>
    </w:p>
    <w:p w14:paraId="7578D11A" w14:textId="4705B45E" w:rsidR="00660F31" w:rsidRPr="004D407A" w:rsidRDefault="00660F31" w:rsidP="00660F31">
      <w:pPr>
        <w:pStyle w:val="Caption"/>
        <w:rPr>
          <w:color w:val="auto"/>
        </w:rPr>
      </w:pPr>
      <w:bookmarkStart w:id="139" w:name="_Ref488619892"/>
      <w:bookmarkStart w:id="140" w:name="_Toc489355883"/>
      <w:bookmarkStart w:id="141" w:name="_Toc489491440"/>
      <w:bookmarkStart w:id="142" w:name="_Ref490702763"/>
      <w:bookmarkStart w:id="143" w:name="_Ref490702769"/>
      <w:bookmarkStart w:id="144" w:name="_Toc490750621"/>
      <w:bookmarkStart w:id="145" w:name="_Toc111912753"/>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14</w:t>
      </w:r>
      <w:r w:rsidR="00E21383" w:rsidRPr="004D407A">
        <w:rPr>
          <w:noProof/>
          <w:color w:val="auto"/>
        </w:rPr>
        <w:fldChar w:fldCharType="end"/>
      </w:r>
      <w:bookmarkEnd w:id="139"/>
      <w:r w:rsidRPr="004D407A">
        <w:rPr>
          <w:color w:val="auto"/>
        </w:rPr>
        <w:t>:</w:t>
      </w:r>
      <w:r w:rsidR="005B178F" w:rsidRPr="004D407A">
        <w:rPr>
          <w:color w:val="auto"/>
        </w:rPr>
        <w:t xml:space="preserve"> </w:t>
      </w:r>
      <w:r w:rsidRPr="004D407A">
        <w:rPr>
          <w:color w:val="auto"/>
        </w:rPr>
        <w:t>Administrative Division of Bangladesh</w:t>
      </w:r>
      <w:bookmarkEnd w:id="140"/>
      <w:bookmarkEnd w:id="141"/>
      <w:bookmarkEnd w:id="142"/>
      <w:bookmarkEnd w:id="143"/>
      <w:bookmarkEnd w:id="144"/>
      <w:bookmarkEnd w:id="145"/>
    </w:p>
    <w:p w14:paraId="3C83C03A" w14:textId="228BD7A5" w:rsidR="008463DE" w:rsidRPr="004D407A" w:rsidRDefault="008463DE" w:rsidP="008463DE">
      <w:pPr>
        <w:spacing w:after="0" w:line="240" w:lineRule="auto"/>
      </w:pPr>
      <w:r w:rsidRPr="004D407A">
        <w:rPr>
          <w:noProof/>
        </w:rPr>
        <w:drawing>
          <wp:inline distT="0" distB="0" distL="0" distR="0" wp14:anchorId="69DC983A" wp14:editId="4EC8C741">
            <wp:extent cx="5210213" cy="1676412"/>
            <wp:effectExtent l="0" t="0" r="9525"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3"/>
                    <a:stretch>
                      <a:fillRect/>
                    </a:stretch>
                  </pic:blipFill>
                  <pic:spPr>
                    <a:xfrm>
                      <a:off x="0" y="0"/>
                      <a:ext cx="5210213" cy="1676412"/>
                    </a:xfrm>
                    <a:prstGeom prst="rect">
                      <a:avLst/>
                    </a:prstGeom>
                  </pic:spPr>
                </pic:pic>
              </a:graphicData>
            </a:graphic>
          </wp:inline>
        </w:drawing>
      </w:r>
    </w:p>
    <w:p w14:paraId="65508341" w14:textId="77777777" w:rsidR="00660F31" w:rsidRPr="004D407A" w:rsidRDefault="00660F31" w:rsidP="00660F31">
      <w:pPr>
        <w:pStyle w:val="mySource"/>
        <w:rPr>
          <w:color w:val="auto"/>
        </w:rPr>
      </w:pPr>
      <w:r w:rsidRPr="004D407A">
        <w:rPr>
          <w:color w:val="auto"/>
        </w:rPr>
        <w:t>Source: EPI Bangladesh</w:t>
      </w:r>
    </w:p>
    <w:p w14:paraId="5CC84B99" w14:textId="1EF2E4B8" w:rsidR="00660F31" w:rsidRPr="004D407A" w:rsidRDefault="00660F31" w:rsidP="00660F31">
      <w:pPr>
        <w:pStyle w:val="BodyText"/>
        <w:rPr>
          <w:rFonts w:ascii="Arial" w:hAnsi="Arial"/>
        </w:rPr>
      </w:pPr>
      <w:r w:rsidRPr="004D407A">
        <w:rPr>
          <w:rFonts w:ascii="Arial" w:hAnsi="Arial"/>
        </w:rPr>
        <w:t xml:space="preserve">There is an EPI outreach/vaccination site in each sub-block where routine EPI services are provided </w:t>
      </w:r>
      <w:r w:rsidR="00D470F3" w:rsidRPr="004D407A">
        <w:rPr>
          <w:rFonts w:ascii="Arial" w:hAnsi="Arial"/>
        </w:rPr>
        <w:t>monthly</w:t>
      </w:r>
      <w:r w:rsidRPr="004D407A">
        <w:rPr>
          <w:rFonts w:ascii="Arial" w:hAnsi="Arial"/>
        </w:rPr>
        <w:t>. The catchment area of these outreach/vaccination sites is approximately 1,000 people. During a calendar week, the vaccination sessions are provided in two outreach/vaccination sites to cover eight sites of a ward in a month.</w:t>
      </w:r>
    </w:p>
    <w:p w14:paraId="0B091782" w14:textId="29A1CE11" w:rsidR="00660F31" w:rsidRPr="004D407A" w:rsidRDefault="00660F31" w:rsidP="0005373F">
      <w:pPr>
        <w:pStyle w:val="BodyText"/>
        <w:rPr>
          <w:rFonts w:ascii="Arial" w:hAnsi="Arial"/>
        </w:rPr>
      </w:pPr>
      <w:r w:rsidRPr="004D407A">
        <w:rPr>
          <w:rFonts w:ascii="Arial" w:hAnsi="Arial"/>
        </w:rPr>
        <w:lastRenderedPageBreak/>
        <w:t>The vaccinations are administered by the Health Assistant (HA)</w:t>
      </w:r>
      <w:r w:rsidR="0005373F" w:rsidRPr="004D407A">
        <w:rPr>
          <w:rFonts w:ascii="Arial" w:hAnsi="Arial"/>
        </w:rPr>
        <w:t xml:space="preserve"> under </w:t>
      </w:r>
      <w:r w:rsidRPr="004D407A">
        <w:rPr>
          <w:rFonts w:ascii="Arial" w:hAnsi="Arial"/>
        </w:rPr>
        <w:t>D</w:t>
      </w:r>
      <w:r w:rsidR="0005373F" w:rsidRPr="004D407A">
        <w:rPr>
          <w:rFonts w:ascii="Arial" w:hAnsi="Arial"/>
        </w:rPr>
        <w:t xml:space="preserve">GHS </w:t>
      </w:r>
      <w:r w:rsidRPr="004D407A">
        <w:rPr>
          <w:rFonts w:ascii="Arial" w:hAnsi="Arial"/>
        </w:rPr>
        <w:t>who usually is assisted by the Family Welfare Assistant (FWA)</w:t>
      </w:r>
      <w:r w:rsidR="0005373F" w:rsidRPr="004D407A">
        <w:rPr>
          <w:rFonts w:ascii="Arial" w:hAnsi="Arial"/>
        </w:rPr>
        <w:t xml:space="preserve"> under DGFP</w:t>
      </w:r>
      <w:r w:rsidRPr="004D407A">
        <w:rPr>
          <w:rFonts w:ascii="Arial" w:hAnsi="Arial"/>
        </w:rPr>
        <w:t xml:space="preserve">. </w:t>
      </w:r>
      <w:r w:rsidR="00D470F3" w:rsidRPr="004D407A">
        <w:rPr>
          <w:rFonts w:ascii="Arial" w:hAnsi="Arial"/>
        </w:rPr>
        <w:t>The porters have been engagement as casual labor for transporting vaccines and logistics from the EPI store to the vaccine distribution points. Health workers carry the vaccines and logistics from the distribution points to the immunization sessions.</w:t>
      </w:r>
    </w:p>
    <w:p w14:paraId="76D7916B" w14:textId="4312885C" w:rsidR="00660F31" w:rsidRPr="004D407A" w:rsidRDefault="00660F31" w:rsidP="00660F31">
      <w:pPr>
        <w:pStyle w:val="BodyText"/>
        <w:rPr>
          <w:rFonts w:ascii="Arial" w:hAnsi="Arial"/>
        </w:rPr>
      </w:pPr>
      <w:r w:rsidRPr="004D407A">
        <w:rPr>
          <w:rFonts w:ascii="Arial" w:hAnsi="Arial"/>
        </w:rPr>
        <w:t>The Medical Technologist (MT-EPI) at the Upazila Health Complex is the key person in providing technical support to the front-line staff. Thus, the Health Assistant, Family Welfare Assistant, Porter</w:t>
      </w:r>
      <w:r w:rsidR="00D470F3" w:rsidRPr="004D407A">
        <w:rPr>
          <w:rFonts w:ascii="Arial" w:hAnsi="Arial"/>
        </w:rPr>
        <w:t>s</w:t>
      </w:r>
      <w:r w:rsidRPr="004D407A">
        <w:rPr>
          <w:rFonts w:ascii="Arial" w:hAnsi="Arial"/>
        </w:rPr>
        <w:t xml:space="preserve"> are the driving force of the EPI service delivery infrastructure in rural areas. </w:t>
      </w:r>
    </w:p>
    <w:p w14:paraId="46F2A2BE" w14:textId="77777777" w:rsidR="00660F31" w:rsidRPr="004D407A" w:rsidRDefault="00660F31" w:rsidP="00660F31">
      <w:pPr>
        <w:pStyle w:val="BodyText"/>
        <w:rPr>
          <w:rFonts w:ascii="Arial" w:hAnsi="Arial"/>
        </w:rPr>
      </w:pPr>
      <w:r w:rsidRPr="004D407A">
        <w:rPr>
          <w:rFonts w:ascii="Arial" w:hAnsi="Arial"/>
        </w:rPr>
        <w:t>The immunization service provision in rural areas is supported by the field workers and volunteers who are involved in mobilizing communities and parents for vaccination sessions.</w:t>
      </w:r>
    </w:p>
    <w:p w14:paraId="655A2A03" w14:textId="52C78147" w:rsidR="00660F31" w:rsidRPr="004D407A" w:rsidRDefault="00660F31" w:rsidP="00660F31">
      <w:pPr>
        <w:pStyle w:val="BodyText"/>
      </w:pPr>
      <w:r w:rsidRPr="004D407A">
        <w:rPr>
          <w:rFonts w:ascii="Arial" w:hAnsi="Arial"/>
        </w:rPr>
        <w:t xml:space="preserve">The immunization service provision is based on application of </w:t>
      </w:r>
      <w:r w:rsidR="00D41AF4" w:rsidRPr="004D407A">
        <w:rPr>
          <w:rFonts w:ascii="Arial" w:hAnsi="Arial"/>
        </w:rPr>
        <w:t xml:space="preserve">annual </w:t>
      </w:r>
      <w:r w:rsidRPr="004D407A">
        <w:rPr>
          <w:rFonts w:ascii="Arial" w:hAnsi="Arial"/>
        </w:rPr>
        <w:t>micro-plans, which are prepared basis on the REC (reach every community) strategy. The Micro-plans are updated annually at ward and Upazila levels and submitted to district and higher levels for approval and allocation of funding, vaccines, injection supplies and logistical requirements for supportive supervision.</w:t>
      </w:r>
      <w:r w:rsidRPr="004D407A">
        <w:rPr>
          <w:rFonts w:ascii="Arial" w:hAnsi="Arial"/>
          <w:vertAlign w:val="superscript"/>
        </w:rPr>
        <w:t>72</w:t>
      </w:r>
    </w:p>
    <w:p w14:paraId="4F0AB0DF" w14:textId="77777777" w:rsidR="00660F31" w:rsidRPr="004D407A" w:rsidRDefault="00660F31" w:rsidP="00660F31">
      <w:pPr>
        <w:pStyle w:val="myHeading1"/>
        <w:rPr>
          <w:color w:val="auto"/>
        </w:rPr>
      </w:pPr>
      <w:r w:rsidRPr="004D407A">
        <w:rPr>
          <w:color w:val="auto"/>
        </w:rPr>
        <w:t>EPI Services in Urban Areas</w:t>
      </w:r>
    </w:p>
    <w:p w14:paraId="3D7A1DEF" w14:textId="6272CCE8" w:rsidR="00665F44" w:rsidRPr="004D407A" w:rsidRDefault="00665F44" w:rsidP="00665F44">
      <w:pPr>
        <w:pStyle w:val="BodyText"/>
        <w:rPr>
          <w:rFonts w:ascii="Arial" w:hAnsi="Arial"/>
        </w:rPr>
      </w:pPr>
      <w:r w:rsidRPr="004D407A">
        <w:rPr>
          <w:rFonts w:ascii="Arial" w:hAnsi="Arial"/>
        </w:rPr>
        <w:t>The service delivery</w:t>
      </w:r>
      <w:r w:rsidR="00071E96" w:rsidRPr="004D407A">
        <w:rPr>
          <w:rFonts w:ascii="Arial" w:hAnsi="Arial"/>
        </w:rPr>
        <w:t xml:space="preserve"> in urban areas is</w:t>
      </w:r>
      <w:r w:rsidRPr="004D407A">
        <w:rPr>
          <w:rFonts w:ascii="Arial" w:hAnsi="Arial"/>
        </w:rPr>
        <w:t xml:space="preserve"> managed by city corporations and municipalities under the Ministry of Local Government, Rural Development and Cooperatives (MLGRDC). Vaccines, immunization </w:t>
      </w:r>
      <w:r w:rsidR="009D3F12" w:rsidRPr="004D407A">
        <w:rPr>
          <w:rFonts w:ascii="Arial" w:hAnsi="Arial"/>
        </w:rPr>
        <w:t>supplies,</w:t>
      </w:r>
      <w:r w:rsidRPr="004D407A">
        <w:rPr>
          <w:rFonts w:ascii="Arial" w:hAnsi="Arial"/>
        </w:rPr>
        <w:t xml:space="preserve"> and equipment are provided by the national EPI</w:t>
      </w:r>
      <w:r w:rsidR="006C3742" w:rsidRPr="004D407A">
        <w:rPr>
          <w:rFonts w:ascii="Arial" w:hAnsi="Arial"/>
        </w:rPr>
        <w:t>, which also provides programmatic support for immunization service delivery.</w:t>
      </w:r>
    </w:p>
    <w:p w14:paraId="10DB2E1F" w14:textId="03F4E0A4" w:rsidR="00665F44" w:rsidRPr="004D407A" w:rsidRDefault="00D470F3" w:rsidP="00665F44">
      <w:pPr>
        <w:pStyle w:val="BodyText"/>
        <w:rPr>
          <w:rFonts w:ascii="Arial" w:hAnsi="Arial"/>
        </w:rPr>
      </w:pPr>
      <w:r w:rsidRPr="004D407A">
        <w:rPr>
          <w:rFonts w:ascii="Arial" w:hAnsi="Arial"/>
        </w:rPr>
        <w:t>MOLGRD&amp;</w:t>
      </w:r>
      <w:r w:rsidR="00A42BC1" w:rsidRPr="004D407A">
        <w:rPr>
          <w:rFonts w:ascii="Arial" w:hAnsi="Arial"/>
        </w:rPr>
        <w:t>C employ</w:t>
      </w:r>
      <w:r w:rsidR="00665F44" w:rsidRPr="004D407A">
        <w:rPr>
          <w:rFonts w:ascii="Arial" w:hAnsi="Arial"/>
        </w:rPr>
        <w:t xml:space="preserve"> Health </w:t>
      </w:r>
      <w:r w:rsidR="00A42BC1" w:rsidRPr="004D407A">
        <w:rPr>
          <w:rFonts w:ascii="Arial" w:hAnsi="Arial"/>
        </w:rPr>
        <w:t>personnel</w:t>
      </w:r>
      <w:r w:rsidR="00665F44" w:rsidRPr="004D407A">
        <w:rPr>
          <w:rFonts w:ascii="Arial" w:hAnsi="Arial"/>
        </w:rPr>
        <w:t xml:space="preserve"> and service providers for delivery of a range of public health services </w:t>
      </w:r>
      <w:r w:rsidR="00A42BC1" w:rsidRPr="004D407A">
        <w:rPr>
          <w:rFonts w:ascii="Arial" w:hAnsi="Arial"/>
        </w:rPr>
        <w:t xml:space="preserve">in City Corporations and municipalities. </w:t>
      </w:r>
      <w:r w:rsidR="00665F44" w:rsidRPr="004D407A">
        <w:rPr>
          <w:rFonts w:ascii="Arial" w:hAnsi="Arial"/>
        </w:rPr>
        <w:t xml:space="preserve">These services include, PHC services, vector control, food and sanitation, waste management and immunization services. </w:t>
      </w:r>
    </w:p>
    <w:p w14:paraId="43851C00" w14:textId="7188435E" w:rsidR="00665F44" w:rsidRPr="004D407A" w:rsidRDefault="00665F44" w:rsidP="00665F44">
      <w:pPr>
        <w:pStyle w:val="BodyText"/>
        <w:rPr>
          <w:rFonts w:ascii="Arial" w:hAnsi="Arial"/>
        </w:rPr>
      </w:pPr>
      <w:r w:rsidRPr="004D407A">
        <w:rPr>
          <w:rFonts w:ascii="Arial" w:hAnsi="Arial"/>
        </w:rPr>
        <w:t xml:space="preserve">Due to inadequate number of permanent health workers and health care infrastructure, a </w:t>
      </w:r>
      <w:r w:rsidR="00F127D0" w:rsidRPr="004D407A">
        <w:rPr>
          <w:rFonts w:ascii="Arial" w:hAnsi="Arial"/>
        </w:rPr>
        <w:t xml:space="preserve">greater part of the </w:t>
      </w:r>
      <w:r w:rsidRPr="004D407A">
        <w:rPr>
          <w:rFonts w:ascii="Arial" w:hAnsi="Arial"/>
        </w:rPr>
        <w:t xml:space="preserve">HPN services </w:t>
      </w:r>
      <w:r w:rsidR="00E717CB" w:rsidRPr="004D407A">
        <w:rPr>
          <w:rFonts w:ascii="Arial" w:hAnsi="Arial"/>
        </w:rPr>
        <w:t>is</w:t>
      </w:r>
      <w:r w:rsidRPr="004D407A">
        <w:rPr>
          <w:rFonts w:ascii="Arial" w:hAnsi="Arial"/>
        </w:rPr>
        <w:t xml:space="preserve"> provided through the network of NGOs, contracted for this purpose by the local governments.</w:t>
      </w:r>
    </w:p>
    <w:p w14:paraId="64900370" w14:textId="33DA3637" w:rsidR="00665F44" w:rsidRPr="004D407A" w:rsidRDefault="00665F44" w:rsidP="00665F44">
      <w:pPr>
        <w:pStyle w:val="BodyText"/>
        <w:rPr>
          <w:rFonts w:ascii="Arial" w:hAnsi="Arial"/>
        </w:rPr>
      </w:pPr>
      <w:r w:rsidRPr="004D407A">
        <w:rPr>
          <w:rFonts w:ascii="Arial" w:hAnsi="Arial"/>
        </w:rPr>
        <w:t xml:space="preserve">The service delivery is organized through the network of clinics and outreach posts established across the administrative zones of City Corporations. The NGO facilities operating in an urban slum and non-slum areas, covering 58% of slum and 53 % of non-slum communities. The remaining areas are covered by the government and private health facilities. </w:t>
      </w:r>
    </w:p>
    <w:p w14:paraId="03E0DEEB" w14:textId="0CEAF5CA" w:rsidR="00665F44" w:rsidRPr="004D407A" w:rsidRDefault="00665F44" w:rsidP="00665F44">
      <w:pPr>
        <w:pStyle w:val="BodyText"/>
        <w:rPr>
          <w:rFonts w:ascii="Arial" w:hAnsi="Arial"/>
        </w:rPr>
      </w:pPr>
      <w:proofErr w:type="gramStart"/>
      <w:r w:rsidRPr="004D407A">
        <w:rPr>
          <w:rFonts w:ascii="Arial" w:hAnsi="Arial"/>
        </w:rPr>
        <w:t>A number of</w:t>
      </w:r>
      <w:proofErr w:type="gramEnd"/>
      <w:r w:rsidRPr="004D407A">
        <w:rPr>
          <w:rFonts w:ascii="Arial" w:hAnsi="Arial"/>
        </w:rPr>
        <w:t xml:space="preserve"> recent surveys found</w:t>
      </w:r>
      <w:r w:rsidRPr="004D407A">
        <w:rPr>
          <w:rStyle w:val="FootnoteReference"/>
          <w:rFonts w:ascii="Arial" w:hAnsi="Arial"/>
        </w:rPr>
        <w:footnoteReference w:id="31"/>
      </w:r>
      <w:r w:rsidRPr="004D407A">
        <w:rPr>
          <w:rFonts w:ascii="Arial" w:hAnsi="Arial"/>
        </w:rPr>
        <w:t xml:space="preserve"> general improvement of public health service delivery in urban areas of the country, but also revealed </w:t>
      </w:r>
      <w:r w:rsidR="001E4E36" w:rsidRPr="004D407A">
        <w:rPr>
          <w:rFonts w:ascii="Arial" w:hAnsi="Arial"/>
        </w:rPr>
        <w:t xml:space="preserve">critical </w:t>
      </w:r>
      <w:r w:rsidRPr="004D407A">
        <w:rPr>
          <w:rFonts w:ascii="Arial" w:hAnsi="Arial"/>
        </w:rPr>
        <w:t>weaknesses and need for major improvements for</w:t>
      </w:r>
      <w:r w:rsidR="001E4E36" w:rsidRPr="004D407A">
        <w:rPr>
          <w:rFonts w:ascii="Arial" w:hAnsi="Arial"/>
        </w:rPr>
        <w:t xml:space="preserve"> achievement of</w:t>
      </w:r>
      <w:r w:rsidRPr="004D407A">
        <w:rPr>
          <w:rFonts w:ascii="Arial" w:hAnsi="Arial"/>
        </w:rPr>
        <w:t xml:space="preserve"> health and immunization system objectives in city corporations and municipalities. </w:t>
      </w:r>
    </w:p>
    <w:p w14:paraId="3F04E17D" w14:textId="150B9885" w:rsidR="00071E96" w:rsidRPr="004D407A" w:rsidRDefault="00071E96" w:rsidP="00071E96">
      <w:pPr>
        <w:pStyle w:val="BodyText"/>
        <w:rPr>
          <w:rFonts w:ascii="Arial" w:hAnsi="Arial"/>
        </w:rPr>
      </w:pPr>
      <w:r w:rsidRPr="004D407A">
        <w:rPr>
          <w:rFonts w:ascii="Arial" w:hAnsi="Arial"/>
          <w:b/>
        </w:rPr>
        <w:t>Internal migration:</w:t>
      </w:r>
      <w:r w:rsidRPr="004D407A">
        <w:rPr>
          <w:rFonts w:ascii="Arial" w:hAnsi="Arial"/>
        </w:rPr>
        <w:t xml:space="preserve"> Internal migration to the larger cities and towns raises ongoing concerns with regard of effectiveness of service delivery and its outcome in urban slum areas. According to the Urban Health Survey (2013) crowded living conditions and chronic malnutrition remains persistent public health problem, which is aggravated by the growth of peri-urban populations around the developing city </w:t>
      </w:r>
      <w:r w:rsidR="00E717CB" w:rsidRPr="004D407A">
        <w:rPr>
          <w:rFonts w:ascii="Arial" w:hAnsi="Arial"/>
        </w:rPr>
        <w:t>Centers</w:t>
      </w:r>
      <w:r w:rsidRPr="004D407A">
        <w:rPr>
          <w:rFonts w:ascii="Arial" w:hAnsi="Arial"/>
        </w:rPr>
        <w:t xml:space="preserve">, </w:t>
      </w:r>
      <w:proofErr w:type="gramStart"/>
      <w:r w:rsidRPr="004D407A">
        <w:rPr>
          <w:rFonts w:ascii="Arial" w:hAnsi="Arial"/>
        </w:rPr>
        <w:t>taking into account</w:t>
      </w:r>
      <w:proofErr w:type="gramEnd"/>
      <w:r w:rsidRPr="004D407A">
        <w:rPr>
          <w:rFonts w:ascii="Arial" w:hAnsi="Arial"/>
        </w:rPr>
        <w:t xml:space="preserve"> that these areas lack adequate basic health care infrastructure and health personnel. </w:t>
      </w:r>
    </w:p>
    <w:p w14:paraId="394B4F41" w14:textId="77777777" w:rsidR="00071E96" w:rsidRPr="004D407A" w:rsidRDefault="00071E96" w:rsidP="00071E96">
      <w:pPr>
        <w:pStyle w:val="BodyText"/>
        <w:rPr>
          <w:rFonts w:ascii="Arial" w:hAnsi="Arial"/>
        </w:rPr>
      </w:pPr>
      <w:r w:rsidRPr="004D407A">
        <w:rPr>
          <w:rFonts w:ascii="Arial" w:hAnsi="Arial"/>
          <w:b/>
        </w:rPr>
        <w:t>Registration:</w:t>
      </w:r>
      <w:r w:rsidRPr="004D407A">
        <w:rPr>
          <w:rFonts w:ascii="Arial" w:hAnsi="Arial"/>
        </w:rPr>
        <w:t xml:space="preserve"> Inadequate systems for effective recording and registration and lack of capacity among urban service providers to maintain registration systems, limits capacity of immunization system to reach out the migrant population with immunization services. </w:t>
      </w:r>
    </w:p>
    <w:p w14:paraId="5E82EFC3" w14:textId="7F5AB9EA" w:rsidR="00B50AE8" w:rsidRPr="004D407A" w:rsidRDefault="00071E96" w:rsidP="00071E96">
      <w:pPr>
        <w:pStyle w:val="BodyText"/>
        <w:rPr>
          <w:rFonts w:ascii="Arial" w:hAnsi="Arial"/>
        </w:rPr>
      </w:pPr>
      <w:r w:rsidRPr="004D407A">
        <w:rPr>
          <w:rFonts w:ascii="Arial" w:hAnsi="Arial"/>
          <w:b/>
        </w:rPr>
        <w:lastRenderedPageBreak/>
        <w:t>Organization of Service delivery and communication:</w:t>
      </w:r>
      <w:r w:rsidRPr="004D407A">
        <w:rPr>
          <w:rFonts w:ascii="Arial" w:hAnsi="Arial"/>
        </w:rPr>
        <w:t xml:space="preserve"> In most </w:t>
      </w:r>
      <w:r w:rsidR="003B7A64" w:rsidRPr="004D407A">
        <w:rPr>
          <w:rFonts w:ascii="Arial" w:hAnsi="Arial"/>
        </w:rPr>
        <w:t xml:space="preserve">of the </w:t>
      </w:r>
      <w:r w:rsidRPr="004D407A">
        <w:rPr>
          <w:rFonts w:ascii="Arial" w:hAnsi="Arial"/>
        </w:rPr>
        <w:t xml:space="preserve">urban areas </w:t>
      </w:r>
      <w:r w:rsidR="00B50AE8" w:rsidRPr="004D407A">
        <w:rPr>
          <w:rFonts w:ascii="Arial" w:hAnsi="Arial"/>
        </w:rPr>
        <w:t xml:space="preserve">service delivery is not coordinated. The work performed by </w:t>
      </w:r>
      <w:r w:rsidRPr="004D407A">
        <w:rPr>
          <w:rFonts w:ascii="Arial" w:hAnsi="Arial"/>
        </w:rPr>
        <w:t xml:space="preserve">satellite/outreach centers is not properly organized leading to the overlapping of immunization activities by different providers. </w:t>
      </w:r>
      <w:r w:rsidR="00B50AE8" w:rsidRPr="004D407A">
        <w:rPr>
          <w:rFonts w:ascii="Arial" w:hAnsi="Arial"/>
        </w:rPr>
        <w:t xml:space="preserve">According to the documented evidence, </w:t>
      </w:r>
      <w:r w:rsidR="00411F17" w:rsidRPr="004D407A">
        <w:rPr>
          <w:rFonts w:ascii="Arial" w:hAnsi="Arial"/>
        </w:rPr>
        <w:t xml:space="preserve">in many of urban areas, the number of satellite/outreach </w:t>
      </w:r>
      <w:r w:rsidR="00E717CB" w:rsidRPr="004D407A">
        <w:rPr>
          <w:rFonts w:ascii="Arial" w:hAnsi="Arial"/>
        </w:rPr>
        <w:t>centers</w:t>
      </w:r>
      <w:r w:rsidR="00411F17" w:rsidRPr="004D407A">
        <w:rPr>
          <w:rFonts w:ascii="Arial" w:hAnsi="Arial"/>
        </w:rPr>
        <w:t xml:space="preserve"> is not sufficient to cover all target geographic areas in a ward, however the immunization sessions are conducted are conducted 3-4 times in the same location rather than in hard-to-reach areas. The number of immunization target population in the urban areas is much lower than in the rural parts of the country. The awareness and knowledge of parents on immunization and vaccination sessions is lower than in rural areas. No attempts are made by service providers to follow-up and reach missing children.</w:t>
      </w:r>
      <w:r w:rsidR="00411F17" w:rsidRPr="004D407A">
        <w:rPr>
          <w:rStyle w:val="FootnoteReference"/>
          <w:rFonts w:ascii="Arial" w:hAnsi="Arial"/>
        </w:rPr>
        <w:footnoteReference w:id="32"/>
      </w:r>
    </w:p>
    <w:p w14:paraId="2D5A6375" w14:textId="2E62A8C0" w:rsidR="00660F31" w:rsidRPr="004D407A" w:rsidRDefault="00411F17" w:rsidP="00660F31">
      <w:pPr>
        <w:pStyle w:val="BodyText"/>
      </w:pPr>
      <w:r w:rsidRPr="004D407A">
        <w:rPr>
          <w:rFonts w:ascii="Arial" w:hAnsi="Arial"/>
          <w:b/>
        </w:rPr>
        <w:t>Financial sustainability:</w:t>
      </w:r>
      <w:r w:rsidRPr="004D407A">
        <w:rPr>
          <w:rFonts w:ascii="Arial" w:hAnsi="Arial"/>
        </w:rPr>
        <w:t xml:space="preserve"> T</w:t>
      </w:r>
      <w:r w:rsidR="00660F31" w:rsidRPr="004D407A">
        <w:rPr>
          <w:rFonts w:ascii="Arial" w:hAnsi="Arial"/>
        </w:rPr>
        <w:t>here are concerns regarding the over reliance on international financing and NGO service provision in urban areas,</w:t>
      </w:r>
      <w:r w:rsidR="00660F31" w:rsidRPr="004D407A">
        <w:rPr>
          <w:rStyle w:val="FootnoteReference"/>
          <w:rFonts w:ascii="Arial" w:hAnsi="Arial"/>
        </w:rPr>
        <w:footnoteReference w:id="33"/>
      </w:r>
      <w:r w:rsidR="00660F31" w:rsidRPr="004D407A">
        <w:rPr>
          <w:rFonts w:ascii="Arial" w:hAnsi="Arial"/>
        </w:rPr>
        <w:t xml:space="preserve"> raising concerns regarding the vulnerability of the urban health care systems to external political or financial shocks.</w:t>
      </w:r>
      <w:r w:rsidR="00660F31" w:rsidRPr="004D407A">
        <w:rPr>
          <w:rStyle w:val="FootnoteReference"/>
          <w:rFonts w:ascii="Arial" w:hAnsi="Arial"/>
        </w:rPr>
        <w:footnoteReference w:id="34"/>
      </w:r>
    </w:p>
    <w:p w14:paraId="6D5DEC40" w14:textId="7DF978ED" w:rsidR="00660F31" w:rsidRPr="004D407A" w:rsidRDefault="00660F31" w:rsidP="00526CCA">
      <w:pPr>
        <w:pStyle w:val="Heading4"/>
        <w:numPr>
          <w:ilvl w:val="3"/>
          <w:numId w:val="10"/>
        </w:numPr>
        <w:spacing w:after="160"/>
        <w:rPr>
          <w:color w:val="auto"/>
        </w:rPr>
      </w:pPr>
      <w:bookmarkStart w:id="146" w:name="_Toc489491509"/>
      <w:bookmarkStart w:id="147" w:name="_Toc111910249"/>
      <w:bookmarkStart w:id="148" w:name="_Hlk102032698"/>
      <w:r w:rsidRPr="004D407A">
        <w:rPr>
          <w:color w:val="auto"/>
        </w:rPr>
        <w:t>Program management</w:t>
      </w:r>
      <w:bookmarkEnd w:id="132"/>
      <w:bookmarkEnd w:id="146"/>
      <w:bookmarkEnd w:id="147"/>
    </w:p>
    <w:p w14:paraId="071D8D8F" w14:textId="77777777" w:rsidR="009768EF" w:rsidRPr="004D407A" w:rsidRDefault="009768EF" w:rsidP="009768EF">
      <w:pPr>
        <w:pStyle w:val="BodyText"/>
        <w:rPr>
          <w:rFonts w:ascii="Arial" w:hAnsi="Arial"/>
          <w:lang w:eastAsia="zh-CN"/>
        </w:rPr>
      </w:pPr>
      <w:r w:rsidRPr="004D407A">
        <w:rPr>
          <w:rFonts w:ascii="Arial" w:hAnsi="Arial"/>
          <w:lang w:eastAsia="zh-CN"/>
        </w:rPr>
        <w:t xml:space="preserve">The National EPI of Bangladesh has strong, centralized management system. The overall management functions of EPI are assigned to the Line Director of the MNC&amp;AH OP, who is also responsible for overseeing implementation of the other major components of the MNC&amp;AH OP such as: Maternal health, National Newborn Health Program (NNHP), Integrated Management of Childhood Illness (IMCI), Adolescent Health and School Health (AH&amp;SH). </w:t>
      </w:r>
    </w:p>
    <w:p w14:paraId="13CC606C" w14:textId="77777777" w:rsidR="009768EF" w:rsidRPr="004D407A" w:rsidRDefault="009768EF" w:rsidP="009768EF">
      <w:pPr>
        <w:pStyle w:val="BodyText"/>
        <w:rPr>
          <w:rFonts w:ascii="Arial" w:hAnsi="Arial"/>
          <w:lang w:eastAsia="zh-CN"/>
        </w:rPr>
      </w:pPr>
      <w:r w:rsidRPr="004D407A">
        <w:rPr>
          <w:rFonts w:ascii="Arial" w:hAnsi="Arial"/>
          <w:lang w:eastAsia="zh-CN"/>
        </w:rPr>
        <w:t>Responsibility for day-to-day management of EPI at all levels is assigned to the EPI Program Manager and four Deputy Program Managers (DPM): DPM-EPI and Surveillance, DPM- Procurement and Supplies, DPM- Field Services and DPM- IEC and SBC</w:t>
      </w:r>
      <w:r w:rsidRPr="004D407A">
        <w:rPr>
          <w:rStyle w:val="FootnoteReference"/>
          <w:rFonts w:ascii="Arial" w:eastAsiaTheme="majorEastAsia" w:hAnsi="Arial"/>
          <w:lang w:eastAsia="zh-CN"/>
        </w:rPr>
        <w:footnoteReference w:id="35"/>
      </w:r>
      <w:r w:rsidRPr="004D407A">
        <w:rPr>
          <w:rFonts w:ascii="Arial" w:hAnsi="Arial"/>
          <w:lang w:eastAsia="zh-CN"/>
        </w:rPr>
        <w:t>.</w:t>
      </w:r>
    </w:p>
    <w:p w14:paraId="229BCEED" w14:textId="1E485F92" w:rsidR="009768EF" w:rsidRPr="004D407A" w:rsidRDefault="009768EF" w:rsidP="00A42BC1">
      <w:pPr>
        <w:pStyle w:val="BodyText"/>
        <w:rPr>
          <w:rFonts w:ascii="Arial" w:hAnsi="Arial"/>
          <w:lang w:eastAsia="zh-CN"/>
        </w:rPr>
      </w:pPr>
      <w:r w:rsidRPr="004D407A">
        <w:rPr>
          <w:rFonts w:ascii="Arial" w:hAnsi="Arial"/>
          <w:lang w:eastAsia="zh-CN"/>
        </w:rPr>
        <w:t>At the district level</w:t>
      </w:r>
      <w:r w:rsidR="001E432A" w:rsidRPr="004D407A">
        <w:rPr>
          <w:rFonts w:ascii="Arial" w:hAnsi="Arial"/>
          <w:lang w:eastAsia="zh-CN"/>
        </w:rPr>
        <w:t>,</w:t>
      </w:r>
      <w:r w:rsidRPr="004D407A">
        <w:rPr>
          <w:rFonts w:ascii="Arial" w:hAnsi="Arial"/>
          <w:lang w:eastAsia="zh-CN"/>
        </w:rPr>
        <w:t xml:space="preserve"> Civil Surgeon is responsible for implementation of EPI program. The District EPI superintendent </w:t>
      </w:r>
      <w:r w:rsidR="00A42BC1" w:rsidRPr="004D407A">
        <w:rPr>
          <w:rFonts w:ascii="Arial" w:hAnsi="Arial"/>
          <w:lang w:eastAsia="zh-CN"/>
        </w:rPr>
        <w:t>is</w:t>
      </w:r>
      <w:r w:rsidRPr="004D407A">
        <w:rPr>
          <w:rFonts w:ascii="Arial" w:hAnsi="Arial"/>
          <w:lang w:eastAsia="zh-CN"/>
        </w:rPr>
        <w:t xml:space="preserve"> responsible for management of vaccine, cold-chain </w:t>
      </w:r>
      <w:r w:rsidR="00E717CB" w:rsidRPr="004D407A">
        <w:rPr>
          <w:rFonts w:ascii="Arial" w:hAnsi="Arial"/>
          <w:lang w:eastAsia="zh-CN"/>
        </w:rPr>
        <w:t>operations,</w:t>
      </w:r>
      <w:r w:rsidRPr="004D407A">
        <w:rPr>
          <w:rFonts w:ascii="Arial" w:hAnsi="Arial"/>
          <w:lang w:eastAsia="zh-CN"/>
        </w:rPr>
        <w:t xml:space="preserve"> and logistics, while the Assistant Storekeeper carries out all vaccine logistics related activities. </w:t>
      </w:r>
      <w:r w:rsidR="00A42BC1" w:rsidRPr="004D407A">
        <w:rPr>
          <w:rFonts w:ascii="Arial" w:hAnsi="Arial"/>
          <w:lang w:eastAsia="zh-CN"/>
        </w:rPr>
        <w:t xml:space="preserve">Cold chain technician specially maintains the functionality of the cold chain equipment.    </w:t>
      </w:r>
    </w:p>
    <w:p w14:paraId="4E5E1CB5" w14:textId="3FEAF268" w:rsidR="009768EF" w:rsidRPr="004D407A" w:rsidRDefault="009768EF" w:rsidP="009768EF">
      <w:pPr>
        <w:pStyle w:val="BodyText"/>
        <w:rPr>
          <w:lang w:val="ka-GE" w:eastAsia="zh-CN"/>
        </w:rPr>
      </w:pPr>
      <w:r w:rsidRPr="004D407A">
        <w:rPr>
          <w:rFonts w:ascii="Arial" w:hAnsi="Arial"/>
          <w:lang w:eastAsia="zh-CN"/>
        </w:rPr>
        <w:t xml:space="preserve">At Upazila level, Upazila Health and Family Planning Officer (UHFPO) is </w:t>
      </w:r>
      <w:r w:rsidR="00A42BC1" w:rsidRPr="004D407A">
        <w:rPr>
          <w:rFonts w:ascii="Arial" w:hAnsi="Arial"/>
          <w:lang w:eastAsia="zh-CN"/>
        </w:rPr>
        <w:t xml:space="preserve">overall </w:t>
      </w:r>
      <w:r w:rsidRPr="004D407A">
        <w:rPr>
          <w:rFonts w:ascii="Arial" w:hAnsi="Arial"/>
          <w:lang w:eastAsia="zh-CN"/>
        </w:rPr>
        <w:t xml:space="preserve">responsible for implementation of EPI program. Medical Technologist-EPI </w:t>
      </w:r>
      <w:r w:rsidR="00A42BC1" w:rsidRPr="004D407A">
        <w:rPr>
          <w:rFonts w:ascii="Arial" w:hAnsi="Arial"/>
          <w:lang w:eastAsia="zh-CN"/>
        </w:rPr>
        <w:t xml:space="preserve">maintain immunization supply chain and </w:t>
      </w:r>
      <w:r w:rsidRPr="004D407A">
        <w:rPr>
          <w:rFonts w:ascii="Arial" w:hAnsi="Arial"/>
          <w:lang w:eastAsia="zh-CN"/>
        </w:rPr>
        <w:t xml:space="preserve">supervise vaccine distribution and cold chain management issues and </w:t>
      </w:r>
      <w:r w:rsidR="00A42BC1" w:rsidRPr="004D407A">
        <w:rPr>
          <w:rFonts w:ascii="Arial" w:hAnsi="Arial"/>
          <w:lang w:eastAsia="zh-CN"/>
        </w:rPr>
        <w:t xml:space="preserve">reporting. Health Inspector at the </w:t>
      </w:r>
      <w:proofErr w:type="spellStart"/>
      <w:r w:rsidR="00A42BC1" w:rsidRPr="004D407A">
        <w:rPr>
          <w:rFonts w:ascii="Arial" w:hAnsi="Arial"/>
          <w:lang w:eastAsia="zh-CN"/>
        </w:rPr>
        <w:t>upazila</w:t>
      </w:r>
      <w:proofErr w:type="spellEnd"/>
      <w:r w:rsidR="00A42BC1" w:rsidRPr="004D407A">
        <w:rPr>
          <w:rFonts w:ascii="Arial" w:hAnsi="Arial"/>
          <w:lang w:eastAsia="zh-CN"/>
        </w:rPr>
        <w:t xml:space="preserve"> level supervise </w:t>
      </w:r>
      <w:proofErr w:type="gramStart"/>
      <w:r w:rsidR="00A42BC1" w:rsidRPr="004D407A">
        <w:rPr>
          <w:rFonts w:ascii="Arial" w:hAnsi="Arial"/>
          <w:lang w:eastAsia="zh-CN"/>
        </w:rPr>
        <w:t>the  health</w:t>
      </w:r>
      <w:proofErr w:type="gramEnd"/>
      <w:r w:rsidR="00A42BC1" w:rsidRPr="004D407A">
        <w:rPr>
          <w:rFonts w:ascii="Arial" w:hAnsi="Arial"/>
          <w:lang w:eastAsia="zh-CN"/>
        </w:rPr>
        <w:t xml:space="preserve"> activities of the Assistant Health Inspectors. </w:t>
      </w:r>
    </w:p>
    <w:p w14:paraId="7AFBD1E8" w14:textId="033C7DC1" w:rsidR="00971121" w:rsidRPr="004D407A" w:rsidRDefault="009768EF" w:rsidP="00D35081">
      <w:r w:rsidRPr="004D407A">
        <w:rPr>
          <w:rFonts w:ascii="Arial" w:hAnsi="Arial"/>
        </w:rPr>
        <w:t>Union level supervision of immunization service delivery is provided by the Assistant Health Inspector (AHI), employed by the DGHS and Family Planning Inspector (FPI) – employed by the DGFP</w:t>
      </w:r>
      <w:r w:rsidR="00971121" w:rsidRPr="004D407A">
        <w:rPr>
          <w:rFonts w:ascii="Arial" w:hAnsi="Arial"/>
        </w:rPr>
        <w:t>.</w:t>
      </w:r>
      <w:bookmarkEnd w:id="148"/>
    </w:p>
    <w:p w14:paraId="34B979E8" w14:textId="4E491735" w:rsidR="00002B03" w:rsidRPr="004D407A" w:rsidRDefault="00002B03" w:rsidP="00006349">
      <w:pPr>
        <w:pStyle w:val="Heading4"/>
        <w:rPr>
          <w:color w:val="auto"/>
        </w:rPr>
      </w:pPr>
      <w:bookmarkStart w:id="149" w:name="_Toc111910250"/>
      <w:bookmarkStart w:id="150" w:name="_Hlk102032729"/>
      <w:bookmarkStart w:id="151" w:name="_Toc489491510"/>
      <w:r w:rsidRPr="004D407A">
        <w:rPr>
          <w:color w:val="auto"/>
        </w:rPr>
        <w:t>Workforce</w:t>
      </w:r>
      <w:bookmarkEnd w:id="149"/>
    </w:p>
    <w:p w14:paraId="231793B7" w14:textId="25402125" w:rsidR="002D42E4" w:rsidRPr="004D407A" w:rsidRDefault="00A42BC1" w:rsidP="002D42E4">
      <w:pPr>
        <w:pStyle w:val="BodyText"/>
        <w:rPr>
          <w:rFonts w:ascii="Arial" w:hAnsi="Arial"/>
        </w:rPr>
      </w:pPr>
      <w:r w:rsidRPr="004D407A">
        <w:rPr>
          <w:rFonts w:ascii="Arial" w:hAnsi="Arial"/>
        </w:rPr>
        <w:t xml:space="preserve">Routine </w:t>
      </w:r>
      <w:r w:rsidR="005B43C6" w:rsidRPr="004D407A">
        <w:rPr>
          <w:rFonts w:ascii="Arial" w:hAnsi="Arial"/>
        </w:rPr>
        <w:t xml:space="preserve">vaccination coverage </w:t>
      </w:r>
      <w:r w:rsidRPr="004D407A">
        <w:rPr>
          <w:rFonts w:ascii="Arial" w:hAnsi="Arial"/>
        </w:rPr>
        <w:t>is high in Bangladesh, however h</w:t>
      </w:r>
      <w:r w:rsidR="00002B03" w:rsidRPr="004D407A">
        <w:rPr>
          <w:rFonts w:ascii="Arial" w:hAnsi="Arial"/>
        </w:rPr>
        <w:t xml:space="preserve">igh rates of staff turnover remain problematic for adequate implementation of </w:t>
      </w:r>
      <w:r w:rsidR="00E717CB" w:rsidRPr="004D407A">
        <w:rPr>
          <w:rFonts w:ascii="Arial" w:hAnsi="Arial"/>
        </w:rPr>
        <w:t>high-quality</w:t>
      </w:r>
      <w:r w:rsidR="00002B03" w:rsidRPr="004D407A">
        <w:rPr>
          <w:rFonts w:ascii="Arial" w:hAnsi="Arial"/>
        </w:rPr>
        <w:t xml:space="preserve"> immunization services at all levels.  Although the NGOs provide substantial support for immunization service </w:t>
      </w:r>
      <w:r w:rsidR="00002B03" w:rsidRPr="004D407A">
        <w:rPr>
          <w:rFonts w:ascii="Arial" w:hAnsi="Arial"/>
        </w:rPr>
        <w:lastRenderedPageBreak/>
        <w:t>delivery</w:t>
      </w:r>
      <w:r w:rsidR="005B43C6" w:rsidRPr="004D407A">
        <w:rPr>
          <w:rFonts w:ascii="Arial" w:hAnsi="Arial"/>
        </w:rPr>
        <w:t xml:space="preserve"> in</w:t>
      </w:r>
      <w:r w:rsidRPr="004D407A">
        <w:rPr>
          <w:rFonts w:ascii="Arial" w:hAnsi="Arial"/>
        </w:rPr>
        <w:t xml:space="preserve"> urban areas</w:t>
      </w:r>
      <w:r w:rsidR="00002B03" w:rsidRPr="004D407A">
        <w:rPr>
          <w:rFonts w:ascii="Arial" w:hAnsi="Arial"/>
        </w:rPr>
        <w:t xml:space="preserve">, but </w:t>
      </w:r>
      <w:r w:rsidRPr="004D407A">
        <w:rPr>
          <w:rFonts w:ascii="Arial" w:hAnsi="Arial"/>
        </w:rPr>
        <w:t>the shortage of health assistant is very difficult to overcome in rural areas</w:t>
      </w:r>
      <w:r w:rsidR="00002B03" w:rsidRPr="004D407A">
        <w:rPr>
          <w:rFonts w:ascii="Arial" w:hAnsi="Arial"/>
        </w:rPr>
        <w:t xml:space="preserve">. </w:t>
      </w:r>
    </w:p>
    <w:p w14:paraId="4403A551" w14:textId="2FF4B914" w:rsidR="005C648C" w:rsidRPr="004D407A" w:rsidRDefault="005C648C" w:rsidP="002D42E4">
      <w:pPr>
        <w:pStyle w:val="BodyText"/>
        <w:rPr>
          <w:rFonts w:ascii="Arial" w:hAnsi="Arial"/>
          <w:lang w:val="en-GB"/>
        </w:rPr>
      </w:pPr>
      <w:r w:rsidRPr="004D407A">
        <w:rPr>
          <w:rFonts w:ascii="Arial" w:hAnsi="Arial"/>
          <w:lang w:val="en-GB"/>
        </w:rPr>
        <w:t xml:space="preserve">As per Strategic Plan for Measles, Rubella and CRS Elimination, other human resource issues relate to the insufficient allocation of funds for human resources. During the formative years of EPI (until the mid-2000s), in additional to the EPI National Staff, every Upazila health complex had the EPI Medical Officer (MO) and Medical Officer-Disease Control (MODC) (for surveillance). Now there are only </w:t>
      </w:r>
      <w:r w:rsidR="00A42BC1" w:rsidRPr="004D407A">
        <w:rPr>
          <w:rFonts w:ascii="Arial" w:hAnsi="Arial"/>
          <w:lang w:val="en-GB"/>
        </w:rPr>
        <w:t>two</w:t>
      </w:r>
      <w:r w:rsidRPr="004D407A">
        <w:rPr>
          <w:rFonts w:ascii="Arial" w:hAnsi="Arial"/>
          <w:lang w:val="en-GB"/>
        </w:rPr>
        <w:t xml:space="preserve"> MO posts at the National EPI Office and </w:t>
      </w:r>
      <w:r w:rsidR="00A42BC1" w:rsidRPr="004D407A">
        <w:rPr>
          <w:rFonts w:ascii="Arial" w:hAnsi="Arial"/>
          <w:lang w:val="en-GB"/>
        </w:rPr>
        <w:t>there are no sanction posts</w:t>
      </w:r>
      <w:r w:rsidRPr="004D407A">
        <w:rPr>
          <w:rFonts w:ascii="Arial" w:hAnsi="Arial"/>
          <w:lang w:val="en-GB"/>
        </w:rPr>
        <w:t xml:space="preserve"> of MO and MODC at the Upazila.</w:t>
      </w:r>
    </w:p>
    <w:p w14:paraId="5AE9E3B3" w14:textId="301BFDDD" w:rsidR="005C648C" w:rsidRPr="004D407A" w:rsidRDefault="005C648C" w:rsidP="005C648C">
      <w:pPr>
        <w:pStyle w:val="BodyText"/>
        <w:rPr>
          <w:lang w:val="en-GB"/>
        </w:rPr>
      </w:pPr>
      <w:r w:rsidRPr="004D407A">
        <w:rPr>
          <w:rFonts w:ascii="Arial" w:hAnsi="Arial"/>
          <w:lang w:val="en-GB"/>
        </w:rPr>
        <w:t>Since 1998 approximately 32 WHO-supported Surveillance Medical Officers</w:t>
      </w:r>
      <w:r w:rsidRPr="004D407A">
        <w:rPr>
          <w:rStyle w:val="FootnoteReference"/>
          <w:rFonts w:ascii="Arial" w:hAnsi="Arial"/>
          <w:lang w:val="en-GB"/>
        </w:rPr>
        <w:footnoteReference w:id="36"/>
      </w:r>
      <w:r w:rsidRPr="004D407A">
        <w:rPr>
          <w:rFonts w:ascii="Arial" w:hAnsi="Arial"/>
          <w:lang w:val="en-GB"/>
        </w:rPr>
        <w:t xml:space="preserve"> (SMO) and approximately 32 Gavi-supported District Maternal Child Health and Immunization Officers (DMCHIOs providing service since 2013)</w:t>
      </w:r>
      <w:r w:rsidRPr="004D407A">
        <w:rPr>
          <w:rStyle w:val="FootnoteReference"/>
          <w:rFonts w:ascii="Arial" w:hAnsi="Arial"/>
          <w:lang w:val="en-GB"/>
        </w:rPr>
        <w:footnoteReference w:id="37"/>
      </w:r>
      <w:r w:rsidRPr="004D407A">
        <w:rPr>
          <w:rFonts w:ascii="Arial" w:hAnsi="Arial"/>
          <w:lang w:val="en-GB"/>
        </w:rPr>
        <w:t xml:space="preserve"> have been providing technical and operational assistance to the immunization program in various fields, such as surveillance, outbreak investigation, supplementary immunization </w:t>
      </w:r>
      <w:r w:rsidR="00BC5190" w:rsidRPr="004D407A">
        <w:rPr>
          <w:rFonts w:ascii="Arial" w:hAnsi="Arial"/>
          <w:lang w:val="en-GB"/>
        </w:rPr>
        <w:t>activities, and</w:t>
      </w:r>
      <w:r w:rsidRPr="004D407A">
        <w:rPr>
          <w:rFonts w:ascii="Arial" w:hAnsi="Arial"/>
          <w:lang w:val="en-GB"/>
        </w:rPr>
        <w:t xml:space="preserve"> response activities at the district, city corporation, municipality and Upazila level. Direct management of SMOs was provided by the WHO CO and the government was responsible for management of the DMCHIOs.  To optimize </w:t>
      </w:r>
      <w:r w:rsidR="00BC5190" w:rsidRPr="004D407A">
        <w:rPr>
          <w:rFonts w:ascii="Arial" w:hAnsi="Arial"/>
          <w:lang w:val="en-GB"/>
        </w:rPr>
        <w:t>immunization,</w:t>
      </w:r>
      <w:r w:rsidRPr="004D407A">
        <w:rPr>
          <w:rFonts w:ascii="Arial" w:hAnsi="Arial"/>
          <w:lang w:val="en-GB"/>
        </w:rPr>
        <w:t xml:space="preserve"> function the term of reference of SMO were changed and title was changed to Surveillance and Immunization Medical Officer</w:t>
      </w:r>
      <w:r w:rsidR="005B43C6" w:rsidRPr="004D407A">
        <w:rPr>
          <w:rFonts w:ascii="Arial" w:hAnsi="Arial"/>
          <w:lang w:val="en-GB"/>
        </w:rPr>
        <w:t xml:space="preserve"> (SIMO)</w:t>
      </w:r>
      <w:r w:rsidRPr="004D407A">
        <w:rPr>
          <w:rFonts w:ascii="Arial" w:hAnsi="Arial"/>
          <w:lang w:val="en-GB"/>
        </w:rPr>
        <w:t xml:space="preserve"> and started implementation of the plan for deployment of 64 SIMOs in all districts of the country.</w:t>
      </w:r>
    </w:p>
    <w:p w14:paraId="045769A1" w14:textId="0840B056" w:rsidR="00006349" w:rsidRPr="004D407A" w:rsidRDefault="00006349" w:rsidP="00006349">
      <w:pPr>
        <w:pStyle w:val="Heading4"/>
        <w:rPr>
          <w:color w:val="auto"/>
        </w:rPr>
      </w:pPr>
      <w:bookmarkStart w:id="152" w:name="_Toc111910251"/>
      <w:bookmarkStart w:id="153" w:name="_Hlk102032927"/>
      <w:bookmarkEnd w:id="150"/>
      <w:r w:rsidRPr="004D407A">
        <w:rPr>
          <w:color w:val="auto"/>
        </w:rPr>
        <w:t>Reporting</w:t>
      </w:r>
      <w:bookmarkEnd w:id="151"/>
      <w:bookmarkEnd w:id="152"/>
    </w:p>
    <w:p w14:paraId="287BFBF7" w14:textId="7C9A255C" w:rsidR="00660F31" w:rsidRPr="004D407A" w:rsidRDefault="00660F31" w:rsidP="00660F31">
      <w:pPr>
        <w:pStyle w:val="BodyText"/>
        <w:tabs>
          <w:tab w:val="left" w:pos="7230"/>
        </w:tabs>
        <w:rPr>
          <w:rFonts w:ascii="Arial" w:hAnsi="Arial"/>
        </w:rPr>
      </w:pPr>
      <w:bookmarkStart w:id="154" w:name="_Hlk488779615"/>
      <w:r w:rsidRPr="004D407A">
        <w:rPr>
          <w:rFonts w:ascii="Arial" w:hAnsi="Arial"/>
        </w:rPr>
        <w:t xml:space="preserve">Bangladesh shows ongoing commitment for strong monitoring and evaluation of its immunization program, maintaining administrative data on immunization and </w:t>
      </w:r>
      <w:r w:rsidR="003174EA" w:rsidRPr="004D407A">
        <w:rPr>
          <w:rFonts w:ascii="Arial" w:hAnsi="Arial"/>
        </w:rPr>
        <w:t>implementing Coverage</w:t>
      </w:r>
      <w:r w:rsidRPr="004D407A">
        <w:rPr>
          <w:rFonts w:ascii="Arial" w:hAnsi="Arial"/>
        </w:rPr>
        <w:t xml:space="preserve"> Evaluation </w:t>
      </w:r>
      <w:proofErr w:type="gramStart"/>
      <w:r w:rsidRPr="004D407A">
        <w:rPr>
          <w:rFonts w:ascii="Arial" w:hAnsi="Arial"/>
        </w:rPr>
        <w:t>Surveys</w:t>
      </w:r>
      <w:r w:rsidR="005B43C6" w:rsidRPr="004D407A">
        <w:rPr>
          <w:rFonts w:ascii="Arial" w:hAnsi="Arial"/>
        </w:rPr>
        <w:t>(</w:t>
      </w:r>
      <w:proofErr w:type="gramEnd"/>
      <w:r w:rsidR="005B43C6" w:rsidRPr="004D407A">
        <w:rPr>
          <w:rFonts w:ascii="Arial" w:hAnsi="Arial"/>
        </w:rPr>
        <w:t>CES)</w:t>
      </w:r>
      <w:r w:rsidR="00851134" w:rsidRPr="004D407A">
        <w:rPr>
          <w:rStyle w:val="FootnoteReference"/>
          <w:rFonts w:ascii="Arial" w:hAnsi="Arial"/>
        </w:rPr>
        <w:footnoteReference w:id="38"/>
      </w:r>
      <w:r w:rsidRPr="004D407A">
        <w:rPr>
          <w:rFonts w:ascii="Arial" w:hAnsi="Arial"/>
        </w:rPr>
        <w:t xml:space="preserve"> on an annual basis </w:t>
      </w:r>
      <w:r w:rsidR="00E717CB" w:rsidRPr="004D407A">
        <w:rPr>
          <w:rFonts w:ascii="Arial" w:hAnsi="Arial"/>
        </w:rPr>
        <w:t>to</w:t>
      </w:r>
      <w:r w:rsidRPr="004D407A">
        <w:rPr>
          <w:rFonts w:ascii="Arial" w:hAnsi="Arial"/>
        </w:rPr>
        <w:t xml:space="preserve"> strengthen in-country capacity for evidence- based planning, progress monitoring and decision making. Routine immunization data management is maintained through the strong and effective Management Information System which has been established in 1995. </w:t>
      </w:r>
    </w:p>
    <w:p w14:paraId="377DE83B" w14:textId="05594F60" w:rsidR="00660F31" w:rsidRPr="004D407A" w:rsidRDefault="00660F31" w:rsidP="00660F31">
      <w:pPr>
        <w:pStyle w:val="BodyText"/>
        <w:tabs>
          <w:tab w:val="left" w:pos="7230"/>
        </w:tabs>
        <w:rPr>
          <w:rFonts w:ascii="Arial" w:hAnsi="Arial"/>
        </w:rPr>
      </w:pPr>
      <w:r w:rsidRPr="004D407A">
        <w:rPr>
          <w:rFonts w:ascii="Arial" w:hAnsi="Arial"/>
        </w:rPr>
        <w:t>The information on the immu</w:t>
      </w:r>
      <w:r w:rsidR="003174EA" w:rsidRPr="004D407A">
        <w:rPr>
          <w:rFonts w:ascii="Arial" w:hAnsi="Arial"/>
        </w:rPr>
        <w:t>nization target population (new</w:t>
      </w:r>
      <w:r w:rsidRPr="004D407A">
        <w:rPr>
          <w:rFonts w:ascii="Arial" w:hAnsi="Arial"/>
        </w:rPr>
        <w:t xml:space="preserve">borns and CBAW) and their vaccination status are recorded, </w:t>
      </w:r>
      <w:r w:rsidR="00E717CB" w:rsidRPr="004D407A">
        <w:rPr>
          <w:rFonts w:ascii="Arial" w:hAnsi="Arial"/>
        </w:rPr>
        <w:t>collected,</w:t>
      </w:r>
      <w:r w:rsidRPr="004D407A">
        <w:rPr>
          <w:rFonts w:ascii="Arial" w:hAnsi="Arial"/>
        </w:rPr>
        <w:t xml:space="preserve"> and </w:t>
      </w:r>
      <w:r w:rsidR="00BF214D" w:rsidRPr="004D407A">
        <w:rPr>
          <w:rFonts w:ascii="Arial" w:hAnsi="Arial"/>
        </w:rPr>
        <w:t>analyzed</w:t>
      </w:r>
      <w:r w:rsidRPr="004D407A">
        <w:rPr>
          <w:rFonts w:ascii="Arial" w:hAnsi="Arial"/>
        </w:rPr>
        <w:t xml:space="preserve"> at all levels of the immunization system. At the union level, two separate registers are maintained by the Health Assistants, for registration </w:t>
      </w:r>
      <w:r w:rsidR="00356E09" w:rsidRPr="004D407A">
        <w:rPr>
          <w:rFonts w:ascii="Arial" w:hAnsi="Arial"/>
        </w:rPr>
        <w:t xml:space="preserve">of </w:t>
      </w:r>
      <w:r w:rsidRPr="004D407A">
        <w:rPr>
          <w:rFonts w:ascii="Arial" w:hAnsi="Arial"/>
        </w:rPr>
        <w:t>immunization target groups in their respective wards and sub-blocks. These records are used as basis for targeting, tracking and following-up children for vaccination as well as for building and maintenance of communication between the immunization service providers and parents. Similarly, the CBAW register is used to record and track TT vaccination status of the childbearing age women, as well as for monitoring of outcome of the pregnancies. Two separate tally sheets are maintained for reporting daily vaccination from routine vaccination sessions for immunization target groups. Based on these daily reports the immunization service provider</w:t>
      </w:r>
      <w:r w:rsidR="00FC29AD" w:rsidRPr="004D407A">
        <w:rPr>
          <w:rFonts w:ascii="Arial" w:hAnsi="Arial"/>
        </w:rPr>
        <w:t>s develop</w:t>
      </w:r>
      <w:r w:rsidRPr="004D407A">
        <w:rPr>
          <w:rFonts w:ascii="Arial" w:hAnsi="Arial"/>
        </w:rPr>
        <w:t xml:space="preserve"> monthly reports for each reporting site. The reports are developed separately for children and CBAW. </w:t>
      </w:r>
    </w:p>
    <w:p w14:paraId="7442ED6E" w14:textId="77777777" w:rsidR="00660F31" w:rsidRPr="004D407A" w:rsidRDefault="00660F31" w:rsidP="00660F31">
      <w:pPr>
        <w:pStyle w:val="BodyText"/>
        <w:tabs>
          <w:tab w:val="left" w:pos="7230"/>
        </w:tabs>
        <w:rPr>
          <w:rFonts w:ascii="Arial" w:hAnsi="Arial"/>
        </w:rPr>
      </w:pPr>
      <w:r w:rsidRPr="004D407A">
        <w:rPr>
          <w:rFonts w:ascii="Arial" w:hAnsi="Arial"/>
        </w:rPr>
        <w:t>The registration system on house-to-house visits, detailed tally sheets of daily vaccination records and a monthly report on vaccination are the key components (instruments) of the ward level management information system.</w:t>
      </w:r>
    </w:p>
    <w:p w14:paraId="469B9889" w14:textId="2CD716CC" w:rsidR="00660F31" w:rsidRPr="004D407A" w:rsidRDefault="00660F31" w:rsidP="00660F31">
      <w:pPr>
        <w:pStyle w:val="BodyText"/>
        <w:tabs>
          <w:tab w:val="left" w:pos="7230"/>
        </w:tabs>
        <w:rPr>
          <w:rFonts w:ascii="Arial" w:hAnsi="Arial"/>
        </w:rPr>
      </w:pPr>
      <w:r w:rsidRPr="004D407A">
        <w:rPr>
          <w:rFonts w:ascii="Arial" w:hAnsi="Arial"/>
        </w:rPr>
        <w:t xml:space="preserve">The wards prepare and submit daily reports to the respective Upazilas, through a tally </w:t>
      </w:r>
      <w:r w:rsidR="00E717CB" w:rsidRPr="004D407A">
        <w:rPr>
          <w:rFonts w:ascii="Arial" w:hAnsi="Arial"/>
        </w:rPr>
        <w:t>form</w:t>
      </w:r>
      <w:r w:rsidRPr="004D407A">
        <w:rPr>
          <w:rFonts w:ascii="Arial" w:hAnsi="Arial"/>
        </w:rPr>
        <w:t xml:space="preserve">. In </w:t>
      </w:r>
      <w:r w:rsidR="00723041" w:rsidRPr="004D407A">
        <w:rPr>
          <w:rFonts w:ascii="Arial" w:hAnsi="Arial"/>
        </w:rPr>
        <w:t>addition,</w:t>
      </w:r>
      <w:r w:rsidRPr="004D407A">
        <w:rPr>
          <w:rFonts w:ascii="Arial" w:hAnsi="Arial"/>
        </w:rPr>
        <w:t xml:space="preserve"> the wards prepare monthly reports for submission to Upazilas </w:t>
      </w:r>
      <w:r w:rsidR="00E717CB" w:rsidRPr="004D407A">
        <w:rPr>
          <w:rFonts w:ascii="Arial" w:hAnsi="Arial"/>
        </w:rPr>
        <w:t>monthly</w:t>
      </w:r>
      <w:r w:rsidRPr="004D407A">
        <w:rPr>
          <w:rFonts w:ascii="Arial" w:hAnsi="Arial"/>
        </w:rPr>
        <w:t>.</w:t>
      </w:r>
    </w:p>
    <w:p w14:paraId="5A37981C" w14:textId="77777777" w:rsidR="00660F31" w:rsidRPr="004D407A" w:rsidRDefault="00660F31" w:rsidP="00660F31">
      <w:pPr>
        <w:pStyle w:val="BodyText"/>
        <w:tabs>
          <w:tab w:val="left" w:pos="7230"/>
        </w:tabs>
      </w:pPr>
      <w:r w:rsidRPr="004D407A">
        <w:rPr>
          <w:rFonts w:ascii="Arial" w:hAnsi="Arial"/>
        </w:rPr>
        <w:t xml:space="preserve">Upazilas forward these reports to the upper level of the system – districts. At the district level reports are computerized and the electronic version, with supporting hard copies are sent </w:t>
      </w:r>
      <w:r w:rsidRPr="004D407A">
        <w:rPr>
          <w:rFonts w:ascii="Arial" w:hAnsi="Arial"/>
        </w:rPr>
        <w:lastRenderedPageBreak/>
        <w:t xml:space="preserve">to the central (national) level. A computer-software for data entry and analysis is efficiently used in all 64 districts. </w:t>
      </w:r>
    </w:p>
    <w:p w14:paraId="21D349EF" w14:textId="73D80E78" w:rsidR="00660F31" w:rsidRPr="004D407A" w:rsidRDefault="00660F31" w:rsidP="00526CCA">
      <w:pPr>
        <w:pStyle w:val="Heading4"/>
        <w:numPr>
          <w:ilvl w:val="3"/>
          <w:numId w:val="10"/>
        </w:numPr>
        <w:spacing w:after="160"/>
        <w:rPr>
          <w:color w:val="auto"/>
        </w:rPr>
      </w:pPr>
      <w:bookmarkStart w:id="155" w:name="_Toc439638786"/>
      <w:bookmarkStart w:id="156" w:name="_Toc489491511"/>
      <w:bookmarkStart w:id="157" w:name="_Toc111910252"/>
      <w:bookmarkEnd w:id="154"/>
      <w:r w:rsidRPr="004D407A">
        <w:rPr>
          <w:color w:val="auto"/>
        </w:rPr>
        <w:t>Data quality</w:t>
      </w:r>
      <w:bookmarkEnd w:id="155"/>
      <w:bookmarkEnd w:id="156"/>
      <w:bookmarkEnd w:id="157"/>
    </w:p>
    <w:p w14:paraId="364593A7" w14:textId="4542A042" w:rsidR="00266FE1" w:rsidRPr="004D407A" w:rsidRDefault="00266FE1" w:rsidP="00266FE1">
      <w:pPr>
        <w:pStyle w:val="BodyText"/>
        <w:rPr>
          <w:rFonts w:ascii="Arial" w:hAnsi="Arial"/>
        </w:rPr>
      </w:pPr>
      <w:r w:rsidRPr="004D407A">
        <w:rPr>
          <w:rFonts w:ascii="Arial" w:hAnsi="Arial"/>
        </w:rPr>
        <w:t xml:space="preserve">WHO and UNICEF have been facilitating the implementation of data quality self-assessments across the country and more than a half of all districts have been covered in this </w:t>
      </w:r>
      <w:proofErr w:type="gramStart"/>
      <w:r w:rsidRPr="004D407A">
        <w:rPr>
          <w:rFonts w:ascii="Arial" w:hAnsi="Arial"/>
        </w:rPr>
        <w:t>effort.</w:t>
      </w:r>
      <w:proofErr w:type="gramEnd"/>
      <w:r w:rsidRPr="004D407A">
        <w:rPr>
          <w:rFonts w:ascii="Arial" w:hAnsi="Arial"/>
        </w:rPr>
        <w:t xml:space="preserve"> Trainings are provided to help orientation of the district and Upazila immunization managers in data collection and reporting. In addition, EPI seeks to validate the data quality self-assessments by requiring surveillance immunization medical officers (SIMOs)</w:t>
      </w:r>
      <w:r w:rsidRPr="004D407A">
        <w:rPr>
          <w:rStyle w:val="FootnoteReference"/>
          <w:rFonts w:ascii="Arial" w:eastAsiaTheme="majorEastAsia" w:hAnsi="Arial"/>
        </w:rPr>
        <w:footnoteReference w:id="39"/>
      </w:r>
      <w:r w:rsidRPr="004D407A">
        <w:rPr>
          <w:rFonts w:ascii="Arial" w:hAnsi="Arial"/>
        </w:rPr>
        <w:t xml:space="preserve"> to re-conduct data quality self-assessments (</w:t>
      </w:r>
      <w:r w:rsidR="00851134" w:rsidRPr="004D407A">
        <w:rPr>
          <w:rFonts w:ascii="Arial" w:hAnsi="Arial"/>
        </w:rPr>
        <w:t>at least two times per month)</w:t>
      </w:r>
      <w:r w:rsidRPr="004D407A">
        <w:rPr>
          <w:rFonts w:ascii="Arial" w:hAnsi="Arial"/>
        </w:rPr>
        <w:t>. Results of the self-assessments are</w:t>
      </w:r>
      <w:r w:rsidR="00E61955" w:rsidRPr="004D407A">
        <w:rPr>
          <w:rFonts w:ascii="Arial" w:hAnsi="Arial"/>
        </w:rPr>
        <w:t xml:space="preserve"> regularly</w:t>
      </w:r>
      <w:r w:rsidRPr="004D407A">
        <w:rPr>
          <w:rFonts w:ascii="Arial" w:hAnsi="Arial"/>
        </w:rPr>
        <w:t xml:space="preserve"> compared for consistency</w:t>
      </w:r>
      <w:r w:rsidR="00DC357F" w:rsidRPr="004D407A">
        <w:rPr>
          <w:rFonts w:ascii="Arial" w:hAnsi="Arial"/>
        </w:rPr>
        <w:t xml:space="preserve"> and all issues</w:t>
      </w:r>
      <w:r w:rsidRPr="004D407A">
        <w:rPr>
          <w:rFonts w:ascii="Arial" w:hAnsi="Arial"/>
        </w:rPr>
        <w:t xml:space="preserve"> are discussed between the district and immunization managers. The monitoring continues until the improvements are documented by IENIC estimates and CES.</w:t>
      </w:r>
    </w:p>
    <w:p w14:paraId="0F6DC340" w14:textId="2B7AA9BE" w:rsidR="00266FE1" w:rsidRPr="004D407A" w:rsidRDefault="00266FE1" w:rsidP="00266FE1">
      <w:pPr>
        <w:pStyle w:val="BodyText"/>
      </w:pPr>
      <w:r w:rsidRPr="004D407A">
        <w:rPr>
          <w:rFonts w:ascii="Arial" w:hAnsi="Arial"/>
        </w:rPr>
        <w:t>Over the recent years administrative coverage has been repeatedly reported over 100%, which could be attributed to the</w:t>
      </w:r>
      <w:r w:rsidR="009E66AF" w:rsidRPr="004D407A">
        <w:rPr>
          <w:rFonts w:ascii="Arial" w:hAnsi="Arial"/>
        </w:rPr>
        <w:t xml:space="preserve"> denominator related problems.</w:t>
      </w:r>
      <w:r w:rsidR="0019242B" w:rsidRPr="004D407A">
        <w:rPr>
          <w:rFonts w:ascii="Arial" w:hAnsi="Arial"/>
        </w:rPr>
        <w:t xml:space="preserve"> </w:t>
      </w:r>
      <w:r w:rsidRPr="004D407A">
        <w:rPr>
          <w:rFonts w:ascii="Arial" w:hAnsi="Arial"/>
        </w:rPr>
        <w:t xml:space="preserve">Data management of health statistics across </w:t>
      </w:r>
      <w:proofErr w:type="gramStart"/>
      <w:r w:rsidRPr="004D407A">
        <w:rPr>
          <w:rFonts w:ascii="Arial" w:hAnsi="Arial"/>
        </w:rPr>
        <w:t>a number of</w:t>
      </w:r>
      <w:proofErr w:type="gramEnd"/>
      <w:r w:rsidRPr="004D407A">
        <w:rPr>
          <w:rFonts w:ascii="Arial" w:hAnsi="Arial"/>
        </w:rPr>
        <w:t xml:space="preserve"> disciplines in Bangladesh is undergoing major reform with good progress made towards an eHealth system.</w:t>
      </w:r>
    </w:p>
    <w:p w14:paraId="00E83343" w14:textId="7AB520D7" w:rsidR="00266FE1" w:rsidRPr="004D407A" w:rsidRDefault="00266FE1" w:rsidP="00266FE1">
      <w:pPr>
        <w:pStyle w:val="BodyText"/>
        <w:rPr>
          <w:rFonts w:ascii="Arial" w:hAnsi="Arial"/>
        </w:rPr>
      </w:pPr>
      <w:r w:rsidRPr="004D407A">
        <w:rPr>
          <w:rFonts w:ascii="Arial" w:hAnsi="Arial"/>
        </w:rPr>
        <w:t>Bangladesh is progressing with DHIS2 as a health information system management package. This data warehousing and data integration package</w:t>
      </w:r>
      <w:r w:rsidR="00C46B31" w:rsidRPr="004D407A">
        <w:rPr>
          <w:rFonts w:ascii="Arial" w:hAnsi="Arial"/>
        </w:rPr>
        <w:t xml:space="preserve"> is</w:t>
      </w:r>
      <w:r w:rsidRPr="004D407A">
        <w:rPr>
          <w:rFonts w:ascii="Arial" w:hAnsi="Arial"/>
        </w:rPr>
        <w:t xml:space="preserve"> well adapted to the real time dynamic needs of EPI data. </w:t>
      </w:r>
    </w:p>
    <w:p w14:paraId="67034FFA" w14:textId="165BD31A" w:rsidR="00266FE1" w:rsidRPr="004D407A" w:rsidRDefault="00266FE1" w:rsidP="00266FE1">
      <w:pPr>
        <w:pStyle w:val="BodyText"/>
        <w:rPr>
          <w:rFonts w:ascii="Arial" w:hAnsi="Arial"/>
        </w:rPr>
      </w:pPr>
      <w:r w:rsidRPr="004D407A">
        <w:rPr>
          <w:rFonts w:ascii="Arial" w:hAnsi="Arial"/>
        </w:rPr>
        <w:t xml:space="preserve">The number of substantial </w:t>
      </w:r>
      <w:r w:rsidR="006E6951" w:rsidRPr="004D407A">
        <w:rPr>
          <w:rFonts w:ascii="Arial" w:hAnsi="Arial"/>
        </w:rPr>
        <w:t xml:space="preserve">improvements were made </w:t>
      </w:r>
      <w:r w:rsidRPr="004D407A">
        <w:rPr>
          <w:rFonts w:ascii="Arial" w:hAnsi="Arial"/>
        </w:rPr>
        <w:t>to ensure smooth transition and integration of a paper-based system into the DHIS2:</w:t>
      </w:r>
    </w:p>
    <w:p w14:paraId="05E43EE8" w14:textId="77777777" w:rsidR="006E6951" w:rsidRPr="004D407A" w:rsidRDefault="006E6951" w:rsidP="00266FE1">
      <w:pPr>
        <w:pStyle w:val="BodyText"/>
        <w:rPr>
          <w:rFonts w:ascii="Arial" w:hAnsi="Arial"/>
        </w:rPr>
      </w:pPr>
      <w:r w:rsidRPr="004D407A">
        <w:rPr>
          <w:rFonts w:ascii="Arial" w:hAnsi="Arial"/>
        </w:rPr>
        <w:t xml:space="preserve">DHIS2 is upgraded with real-time Immunization Supply Chain and Logistics (ISCL) management Information System (MIS) that includes data management for vaccine, cold-chain equipment, storage, temperature, distribution, vaccination coverage and other logistics. Cold chain and logistics MIS system (DHIS2) implemented across the country in 2016 and all the cold-chain equipment are part of this database and being monitored. </w:t>
      </w:r>
    </w:p>
    <w:p w14:paraId="4709A172" w14:textId="1A56BF86" w:rsidR="008F760A" w:rsidRPr="004D407A" w:rsidRDefault="006E6951" w:rsidP="006E6951">
      <w:pPr>
        <w:pStyle w:val="BodyText"/>
      </w:pPr>
      <w:r w:rsidRPr="004D407A">
        <w:rPr>
          <w:rFonts w:ascii="Arial" w:hAnsi="Arial"/>
        </w:rPr>
        <w:t xml:space="preserve">Online immunization data management system initially to district level and progressively to Upazila level and linked or integrated this with DHIS2. UNICEF supported the </w:t>
      </w:r>
      <w:proofErr w:type="spellStart"/>
      <w:r w:rsidRPr="004D407A">
        <w:rPr>
          <w:rFonts w:ascii="Arial" w:hAnsi="Arial"/>
        </w:rPr>
        <w:t>BoG</w:t>
      </w:r>
      <w:proofErr w:type="spellEnd"/>
      <w:r w:rsidRPr="004D407A">
        <w:rPr>
          <w:rFonts w:ascii="Arial" w:hAnsi="Arial"/>
        </w:rPr>
        <w:t xml:space="preserve"> for capacity building in 64 District Supervisors and Cold-chain personnel. Recruited national MIS consultant to support and oversee the process of transition to DHIS2 data management and timely entry </w:t>
      </w:r>
      <w:r w:rsidR="00CE7AA5" w:rsidRPr="004D407A">
        <w:rPr>
          <w:rFonts w:ascii="Arial" w:hAnsi="Arial"/>
        </w:rPr>
        <w:t>of</w:t>
      </w:r>
      <w:r w:rsidRPr="004D407A">
        <w:rPr>
          <w:rFonts w:ascii="Arial" w:hAnsi="Arial"/>
        </w:rPr>
        <w:t xml:space="preserve"> EPI data at all levels. Established functional dashboard on EPI Reporting, Cold-chain, Vaccine and Logistics Management system in national live dashboard portal of DGHS, MOH&amp;FW. Organized one orientation on Stock Management and Online reporting for EPI supervisor and </w:t>
      </w:r>
      <w:r w:rsidR="00E717CB" w:rsidRPr="004D407A">
        <w:rPr>
          <w:rFonts w:ascii="Arial" w:hAnsi="Arial"/>
        </w:rPr>
        <w:t>storekeeper</w:t>
      </w:r>
      <w:r w:rsidRPr="004D407A">
        <w:rPr>
          <w:rFonts w:ascii="Arial" w:hAnsi="Arial"/>
        </w:rPr>
        <w:t xml:space="preserve"> of 64 districts. Provided computer support for urban areas (9 Corporations) to facilitate data management in urban areas.</w:t>
      </w:r>
    </w:p>
    <w:p w14:paraId="78980B93" w14:textId="55ED7070" w:rsidR="001526E1" w:rsidRPr="004D407A" w:rsidRDefault="001526E1" w:rsidP="001526E1">
      <w:pPr>
        <w:pStyle w:val="Heading4"/>
        <w:rPr>
          <w:color w:val="auto"/>
        </w:rPr>
      </w:pPr>
      <w:bookmarkStart w:id="158" w:name="_Toc489491512"/>
      <w:bookmarkStart w:id="159" w:name="_Toc111910253"/>
      <w:bookmarkStart w:id="160" w:name="_Hlk102211366"/>
      <w:r w:rsidRPr="004D407A">
        <w:rPr>
          <w:color w:val="auto"/>
        </w:rPr>
        <w:t>Cold chain and vaccine management</w:t>
      </w:r>
      <w:bookmarkEnd w:id="158"/>
      <w:bookmarkEnd w:id="159"/>
    </w:p>
    <w:p w14:paraId="7C00FC56" w14:textId="23E9F96D" w:rsidR="001526E1" w:rsidRPr="004D407A" w:rsidRDefault="001526E1" w:rsidP="001526E1">
      <w:pPr>
        <w:pStyle w:val="myHeading1"/>
        <w:rPr>
          <w:color w:val="auto"/>
        </w:rPr>
      </w:pPr>
      <w:r w:rsidRPr="004D407A">
        <w:rPr>
          <w:color w:val="auto"/>
        </w:rPr>
        <w:t xml:space="preserve">Vaccine </w:t>
      </w:r>
      <w:r w:rsidR="00A42BC1" w:rsidRPr="004D407A">
        <w:rPr>
          <w:color w:val="auto"/>
        </w:rPr>
        <w:t xml:space="preserve">and Logistics </w:t>
      </w:r>
      <w:r w:rsidRPr="004D407A">
        <w:rPr>
          <w:color w:val="auto"/>
        </w:rPr>
        <w:t>procurement</w:t>
      </w:r>
    </w:p>
    <w:p w14:paraId="6BC6051F" w14:textId="77777777" w:rsidR="00227FD8" w:rsidRPr="004D407A" w:rsidRDefault="00227FD8" w:rsidP="00227FD8">
      <w:pPr>
        <w:pStyle w:val="BodyText"/>
        <w:rPr>
          <w:rFonts w:ascii="Arial" w:hAnsi="Arial"/>
        </w:rPr>
      </w:pPr>
      <w:r w:rsidRPr="004D407A">
        <w:rPr>
          <w:rFonts w:ascii="Arial" w:hAnsi="Arial"/>
        </w:rPr>
        <w:t>According to the national policy, the country procures only WHO pre-qualified vaccine to ensure the quality and safety of vaccines used by the EPI.</w:t>
      </w:r>
    </w:p>
    <w:p w14:paraId="5EECFB04" w14:textId="6348546C" w:rsidR="00266FE1" w:rsidRPr="004D407A" w:rsidRDefault="00227FD8" w:rsidP="00227FD8">
      <w:pPr>
        <w:pStyle w:val="BodyText"/>
        <w:rPr>
          <w:rFonts w:ascii="Arial" w:hAnsi="Arial"/>
        </w:rPr>
      </w:pPr>
      <w:r w:rsidRPr="004D407A">
        <w:rPr>
          <w:rFonts w:ascii="Arial" w:hAnsi="Arial"/>
        </w:rPr>
        <w:t>The annual forecast for vaccines and supplies is based on the number of target population that is calculated based on the National Census 2011 data and data provided by the Bangladesh Bureau of Statistics.</w:t>
      </w:r>
      <w:r w:rsidRPr="004D407A">
        <w:rPr>
          <w:rFonts w:ascii="Arial" w:hAnsi="Arial"/>
        </w:rPr>
        <w:footnoteReference w:id="40"/>
      </w:r>
      <w:r w:rsidRPr="004D407A">
        <w:rPr>
          <w:rFonts w:ascii="Arial" w:hAnsi="Arial"/>
        </w:rPr>
        <w:t xml:space="preserve"> Procurement and distribution of vaccines and supplies </w:t>
      </w:r>
      <w:r w:rsidRPr="004D407A">
        <w:rPr>
          <w:rFonts w:ascii="Arial" w:hAnsi="Arial"/>
        </w:rPr>
        <w:lastRenderedPageBreak/>
        <w:t>is carried out by the national EPI based on the request received from all districts. The Government covers costs for the procurement of traditional vaccines included in the routine immunization schedule: BCG, OPV, MR and Td while DTP-Hib-</w:t>
      </w:r>
      <w:proofErr w:type="spellStart"/>
      <w:r w:rsidRPr="004D407A">
        <w:rPr>
          <w:rFonts w:ascii="Arial" w:hAnsi="Arial"/>
        </w:rPr>
        <w:t>HepB</w:t>
      </w:r>
      <w:proofErr w:type="spellEnd"/>
      <w:r w:rsidRPr="004D407A">
        <w:rPr>
          <w:rFonts w:ascii="Arial" w:hAnsi="Arial"/>
        </w:rPr>
        <w:t xml:space="preserve"> and PCV vaccines are co-financed by the National Government and Gavi and costs of IPV vaccine is fully covered by Gavi. According to the existing plans, the newly introduced vaccines will also be co-financed by the Government and Gavi: Rotavirus, HPV, TCV and JE vaccines.</w:t>
      </w:r>
      <w:bookmarkEnd w:id="153"/>
    </w:p>
    <w:p w14:paraId="43F757C3" w14:textId="77777777" w:rsidR="00A42BC1" w:rsidRPr="004D407A" w:rsidRDefault="00A42BC1" w:rsidP="00A42BC1">
      <w:pPr>
        <w:pStyle w:val="myHeading1"/>
        <w:rPr>
          <w:color w:val="auto"/>
        </w:rPr>
      </w:pPr>
      <w:r w:rsidRPr="004D407A">
        <w:rPr>
          <w:color w:val="auto"/>
        </w:rPr>
        <w:t>Cold Chain procurement &amp; Management</w:t>
      </w:r>
    </w:p>
    <w:p w14:paraId="02EEBA1F" w14:textId="77777777" w:rsidR="00A42BC1" w:rsidRPr="004D407A" w:rsidRDefault="00A42BC1" w:rsidP="00A42BC1">
      <w:pPr>
        <w:pStyle w:val="BodyText"/>
        <w:rPr>
          <w:rFonts w:ascii="Arial" w:hAnsi="Arial"/>
        </w:rPr>
      </w:pPr>
      <w:r w:rsidRPr="004D407A">
        <w:rPr>
          <w:rFonts w:ascii="Arial" w:hAnsi="Arial"/>
        </w:rPr>
        <w:t xml:space="preserve">According to the national practice, the country procures only WHO pre-qualified Cold Chain Equipment (Walk </w:t>
      </w:r>
      <w:proofErr w:type="gramStart"/>
      <w:r w:rsidRPr="004D407A">
        <w:rPr>
          <w:rFonts w:ascii="Arial" w:hAnsi="Arial"/>
        </w:rPr>
        <w:t>In</w:t>
      </w:r>
      <w:proofErr w:type="gramEnd"/>
      <w:r w:rsidRPr="004D407A">
        <w:rPr>
          <w:rFonts w:ascii="Arial" w:hAnsi="Arial"/>
        </w:rPr>
        <w:t xml:space="preserve"> Cold Room (WICR), Walk in Freezer Room (WIFR), Ice Lined Refrigerator (ILR), Deep Freezer (DF), Cold Boxes, Vaccines Carrier, Solar Refrigerator, Remote Temperature Monitoring Device (RTMD)) to ensure the quality and safety of vaccines during transport and storage at different level used by the EPI.</w:t>
      </w:r>
    </w:p>
    <w:p w14:paraId="1B66E86B" w14:textId="5B8D0DE5" w:rsidR="00A42BC1" w:rsidRPr="004D407A" w:rsidRDefault="00A42BC1" w:rsidP="00A42BC1">
      <w:pPr>
        <w:pStyle w:val="BodyText"/>
        <w:rPr>
          <w:rFonts w:ascii="Arial" w:hAnsi="Arial"/>
        </w:rPr>
      </w:pPr>
      <w:r w:rsidRPr="004D407A">
        <w:rPr>
          <w:rFonts w:ascii="Arial" w:hAnsi="Arial"/>
        </w:rPr>
        <w:t xml:space="preserve">The Cold Chain operation and management is performing based on the country existing three tier supply chain system (Central (PR), District (LD) and Upazila (SP)). The temperature of the WICR at district level is monitored both centrally and individually (district). The maintenance of the cold chain equipment in both district and </w:t>
      </w:r>
      <w:proofErr w:type="spellStart"/>
      <w:r w:rsidRPr="004D407A">
        <w:rPr>
          <w:rFonts w:ascii="Arial" w:hAnsi="Arial"/>
        </w:rPr>
        <w:t>upazila</w:t>
      </w:r>
      <w:proofErr w:type="spellEnd"/>
      <w:r w:rsidRPr="004D407A">
        <w:rPr>
          <w:rFonts w:ascii="Arial" w:hAnsi="Arial"/>
        </w:rPr>
        <w:t xml:space="preserve"> is performed with the help of government’s owns fund. Till now the maintenance of the WICR at district level beyond warranty period is supported by UNICEF. The maintenance of the Cold chain equipment at central level is conducted by third party agency in collaboration with the Government. </w:t>
      </w:r>
    </w:p>
    <w:p w14:paraId="55EF0A58" w14:textId="77777777" w:rsidR="00A42BC1" w:rsidRPr="004D407A" w:rsidRDefault="00A42BC1" w:rsidP="00A42BC1">
      <w:pPr>
        <w:pStyle w:val="BodyText"/>
        <w:rPr>
          <w:rFonts w:ascii="Arial" w:hAnsi="Arial"/>
        </w:rPr>
      </w:pPr>
      <w:r w:rsidRPr="004D407A">
        <w:rPr>
          <w:rFonts w:ascii="Arial" w:hAnsi="Arial"/>
        </w:rPr>
        <w:t xml:space="preserve">For improvement of cold chain, solar powered energy will be used in some selected cold chain points. Cold chain inventory system will be modernize using updated computerized system. Research and development of cold chain equipment will be carried out local educational institution. Feasibility studies will be carried out as to assess the production of local cold chain equipment. </w:t>
      </w:r>
    </w:p>
    <w:p w14:paraId="4E6CA8A9" w14:textId="77777777" w:rsidR="00A42BC1" w:rsidRPr="004D407A" w:rsidRDefault="00A42BC1" w:rsidP="00A42BC1">
      <w:pPr>
        <w:pStyle w:val="BodyText"/>
        <w:rPr>
          <w:rFonts w:ascii="Arial" w:hAnsi="Arial"/>
        </w:rPr>
      </w:pPr>
      <w:r w:rsidRPr="004D407A">
        <w:rPr>
          <w:rFonts w:ascii="Arial" w:hAnsi="Arial"/>
        </w:rPr>
        <w:t xml:space="preserve">There will be a considerable extension and expansion of cold chain points in urban areas. A system of condemnation and safe disposal of cold chain equipment beyond economic repair will be established. </w:t>
      </w:r>
    </w:p>
    <w:p w14:paraId="587ED8FC" w14:textId="77777777" w:rsidR="00BD71C6" w:rsidRPr="004D407A" w:rsidRDefault="00BD71C6" w:rsidP="00BD71C6">
      <w:pPr>
        <w:pStyle w:val="myHeading1"/>
        <w:rPr>
          <w:color w:val="auto"/>
        </w:rPr>
      </w:pPr>
      <w:r w:rsidRPr="004D407A">
        <w:rPr>
          <w:color w:val="auto"/>
        </w:rPr>
        <w:t>Effective vaccine management</w:t>
      </w:r>
    </w:p>
    <w:p w14:paraId="47F04D06" w14:textId="77777777" w:rsidR="001D34B3" w:rsidRPr="004D407A" w:rsidRDefault="001D34B3" w:rsidP="001D34B3">
      <w:pPr>
        <w:pStyle w:val="BodyText"/>
        <w:rPr>
          <w:rFonts w:ascii="Arial" w:hAnsi="Arial"/>
        </w:rPr>
      </w:pPr>
      <w:r w:rsidRPr="004D407A">
        <w:rPr>
          <w:rFonts w:ascii="Arial" w:hAnsi="Arial"/>
        </w:rPr>
        <w:t>The most recent EVM assessment in Bangladesh was implemented in 2021. The assessment confirmed that the country maintained a laudable three-tier based immunization supply chain system that has demonstrated consistent progress since preceding EVMs in 2011 and 2014. Bangladesh implemented the recommendations of the previous EVMAs, met almost all key strategic recommendations and scored above or close to the WHO recommended 80% in all the criteria. Overall performance of the country is above the WHO requirement of 80%. The assessment highlighted that PR has an acute shortage of the dry storage capacity and remains responsible for conducting MLM training, refresher training, and strengthening supportive supervision at all levels, including LD and SP levels.</w:t>
      </w:r>
    </w:p>
    <w:p w14:paraId="79BE80AB" w14:textId="77777777" w:rsidR="007B6082" w:rsidRPr="004D407A" w:rsidRDefault="007B6082" w:rsidP="007B6082">
      <w:pPr>
        <w:pStyle w:val="BodyText"/>
        <w:rPr>
          <w:rFonts w:ascii="Arial" w:hAnsi="Arial"/>
        </w:rPr>
      </w:pPr>
      <w:r w:rsidRPr="004D407A">
        <w:rPr>
          <w:rFonts w:ascii="Arial" w:hAnsi="Arial"/>
        </w:rPr>
        <w:t>The recent EVM assessment identified following areas for improvement over the course of the next five-year cycle:</w:t>
      </w:r>
    </w:p>
    <w:p w14:paraId="1C5B09C6" w14:textId="77777777" w:rsidR="007B6082" w:rsidRPr="004D407A" w:rsidRDefault="007B6082">
      <w:pPr>
        <w:pStyle w:val="BodyText"/>
        <w:numPr>
          <w:ilvl w:val="0"/>
          <w:numId w:val="36"/>
        </w:numPr>
        <w:rPr>
          <w:rFonts w:ascii="Arial" w:hAnsi="Arial"/>
        </w:rPr>
      </w:pPr>
      <w:r w:rsidRPr="004D407A">
        <w:rPr>
          <w:rFonts w:ascii="Arial" w:hAnsi="Arial"/>
        </w:rPr>
        <w:t>Temperature management including temperature mapping at PR and LD. Special emphasis needs to be given to the temperature management during transportation.</w:t>
      </w:r>
    </w:p>
    <w:p w14:paraId="6B92A8E6" w14:textId="1D51A919" w:rsidR="007B6082" w:rsidRPr="004D407A" w:rsidRDefault="007B6082">
      <w:pPr>
        <w:pStyle w:val="BodyText"/>
        <w:numPr>
          <w:ilvl w:val="0"/>
          <w:numId w:val="36"/>
        </w:numPr>
        <w:rPr>
          <w:rFonts w:ascii="Arial" w:hAnsi="Arial"/>
        </w:rPr>
      </w:pPr>
      <w:r w:rsidRPr="004D407A">
        <w:rPr>
          <w:rFonts w:ascii="Arial" w:hAnsi="Arial"/>
        </w:rPr>
        <w:t xml:space="preserve">Waste management at all levels, requiring a long-term sustainable solution for mitigation of problems related to this </w:t>
      </w:r>
      <w:r w:rsidR="00723041" w:rsidRPr="004D407A">
        <w:rPr>
          <w:rFonts w:ascii="Arial" w:hAnsi="Arial"/>
        </w:rPr>
        <w:t>component.</w:t>
      </w:r>
    </w:p>
    <w:p w14:paraId="746673B1" w14:textId="6522251B" w:rsidR="007B6082" w:rsidRPr="004D407A" w:rsidRDefault="007B6082">
      <w:pPr>
        <w:pStyle w:val="BodyText"/>
        <w:numPr>
          <w:ilvl w:val="0"/>
          <w:numId w:val="36"/>
        </w:numPr>
        <w:rPr>
          <w:rFonts w:ascii="Arial" w:hAnsi="Arial"/>
        </w:rPr>
      </w:pPr>
      <w:r w:rsidRPr="004D407A">
        <w:rPr>
          <w:rFonts w:ascii="Arial" w:hAnsi="Arial"/>
        </w:rPr>
        <w:lastRenderedPageBreak/>
        <w:t xml:space="preserve">Preventive and corrective maintenance of Cold Chain Equipment including WICR, WIFR, ILR etc. need to be sustainable by the transfer of ownership of the maintenance work to EPI </w:t>
      </w:r>
      <w:r w:rsidR="00723041" w:rsidRPr="004D407A">
        <w:rPr>
          <w:rFonts w:ascii="Arial" w:hAnsi="Arial"/>
        </w:rPr>
        <w:t>DGHS.</w:t>
      </w:r>
    </w:p>
    <w:p w14:paraId="19713C1F" w14:textId="69662FF9" w:rsidR="007B6082" w:rsidRPr="004D407A" w:rsidRDefault="007B6082">
      <w:pPr>
        <w:pStyle w:val="BodyText"/>
        <w:numPr>
          <w:ilvl w:val="0"/>
          <w:numId w:val="36"/>
        </w:numPr>
        <w:rPr>
          <w:rFonts w:ascii="Arial" w:hAnsi="Arial"/>
        </w:rPr>
      </w:pPr>
      <w:r w:rsidRPr="004D407A">
        <w:rPr>
          <w:rFonts w:ascii="Arial" w:hAnsi="Arial"/>
        </w:rPr>
        <w:t xml:space="preserve">Cold chain Equipment beyond economic repair, occupying usable space, needs to be systemically disposed </w:t>
      </w:r>
      <w:r w:rsidR="00F34FF1" w:rsidRPr="004D407A">
        <w:rPr>
          <w:rFonts w:ascii="Arial" w:hAnsi="Arial"/>
        </w:rPr>
        <w:t>of.</w:t>
      </w:r>
    </w:p>
    <w:p w14:paraId="281C3D9E" w14:textId="569BFD2E" w:rsidR="007B6082" w:rsidRPr="004D407A" w:rsidRDefault="007B6082">
      <w:pPr>
        <w:pStyle w:val="BodyText"/>
        <w:numPr>
          <w:ilvl w:val="0"/>
          <w:numId w:val="36"/>
        </w:numPr>
        <w:rPr>
          <w:rFonts w:ascii="Arial" w:hAnsi="Arial"/>
        </w:rPr>
      </w:pPr>
      <w:r w:rsidRPr="004D407A">
        <w:rPr>
          <w:rFonts w:ascii="Arial" w:hAnsi="Arial"/>
        </w:rPr>
        <w:t xml:space="preserve">Cold Chain Volume capacity to be assessed at each level considering new vaccine introduction and capacity to be augmented </w:t>
      </w:r>
      <w:r w:rsidR="00F34FF1" w:rsidRPr="004D407A">
        <w:rPr>
          <w:rFonts w:ascii="Arial" w:hAnsi="Arial"/>
        </w:rPr>
        <w:t>accordingly.</w:t>
      </w:r>
    </w:p>
    <w:p w14:paraId="09252607" w14:textId="5E748D65" w:rsidR="001D34B3" w:rsidRPr="004D407A" w:rsidRDefault="007B6082">
      <w:pPr>
        <w:pStyle w:val="BodyText"/>
        <w:numPr>
          <w:ilvl w:val="0"/>
          <w:numId w:val="36"/>
        </w:numPr>
      </w:pPr>
      <w:r w:rsidRPr="004D407A">
        <w:rPr>
          <w:rFonts w:ascii="Arial" w:hAnsi="Arial"/>
        </w:rPr>
        <w:t>Filling up vacant posts at all levels – a problem that poses a vital weakness with a lack of adequate, skilled, and trained HR</w:t>
      </w:r>
      <w:r w:rsidR="001D34B3" w:rsidRPr="004D407A">
        <w:rPr>
          <w:rFonts w:ascii="Arial" w:hAnsi="Arial"/>
        </w:rPr>
        <w:t>.</w:t>
      </w:r>
    </w:p>
    <w:p w14:paraId="1C2B09BE" w14:textId="2D42B584" w:rsidR="006E6951" w:rsidRPr="004D407A" w:rsidRDefault="001D34B3" w:rsidP="001D34B3">
      <w:pPr>
        <w:pStyle w:val="BodyText"/>
        <w:rPr>
          <w:rFonts w:ascii="Arial" w:hAnsi="Arial"/>
        </w:rPr>
      </w:pPr>
      <w:r w:rsidRPr="004D407A">
        <w:rPr>
          <w:rFonts w:ascii="Arial" w:hAnsi="Arial"/>
        </w:rPr>
        <w:t>The EVMA 2021 depicted a good history of success of the Bangladesh EPI program with ample scope for sustainable improvement elaborated in the recommendations of the EVM 2021 report. In addition to the recommendations the EVMA 2021 developed and provided the comprehensive improvement plan, which was incorporated in the NIS Bangladesh and was included in the costing and financing analysis of the NIS 2023-2027</w:t>
      </w:r>
      <w:r w:rsidR="006E6951" w:rsidRPr="004D407A">
        <w:rPr>
          <w:rFonts w:ascii="Arial" w:hAnsi="Arial"/>
        </w:rPr>
        <w:t>.</w:t>
      </w:r>
    </w:p>
    <w:p w14:paraId="1273BA99" w14:textId="50760786" w:rsidR="001526E1" w:rsidRPr="004D407A" w:rsidRDefault="001526E1" w:rsidP="00526CCA">
      <w:pPr>
        <w:pStyle w:val="Heading4"/>
        <w:numPr>
          <w:ilvl w:val="3"/>
          <w:numId w:val="10"/>
        </w:numPr>
        <w:spacing w:after="160"/>
        <w:rPr>
          <w:color w:val="auto"/>
        </w:rPr>
      </w:pPr>
      <w:bookmarkStart w:id="161" w:name="_Toc439638797"/>
      <w:bookmarkStart w:id="162" w:name="_Toc489491513"/>
      <w:bookmarkStart w:id="163" w:name="_Toc111910254"/>
      <w:bookmarkStart w:id="164" w:name="_Hlk102033065"/>
      <w:bookmarkEnd w:id="160"/>
      <w:r w:rsidRPr="004D407A">
        <w:rPr>
          <w:color w:val="auto"/>
        </w:rPr>
        <w:t xml:space="preserve">Surveillance, </w:t>
      </w:r>
      <w:r w:rsidR="00723041" w:rsidRPr="004D407A">
        <w:rPr>
          <w:color w:val="auto"/>
        </w:rPr>
        <w:t>monitoring,</w:t>
      </w:r>
      <w:r w:rsidRPr="004D407A">
        <w:rPr>
          <w:color w:val="auto"/>
        </w:rPr>
        <w:t xml:space="preserve"> and reporting</w:t>
      </w:r>
      <w:bookmarkEnd w:id="161"/>
      <w:bookmarkEnd w:id="162"/>
      <w:bookmarkEnd w:id="163"/>
    </w:p>
    <w:p w14:paraId="7CCA4496" w14:textId="77777777" w:rsidR="001526E1" w:rsidRPr="004D407A" w:rsidRDefault="001526E1" w:rsidP="001526E1">
      <w:pPr>
        <w:pStyle w:val="BodyText"/>
        <w:rPr>
          <w:rFonts w:ascii="Arial" w:hAnsi="Arial"/>
        </w:rPr>
      </w:pPr>
      <w:r w:rsidRPr="004D407A">
        <w:rPr>
          <w:rFonts w:ascii="Arial" w:hAnsi="Arial"/>
        </w:rPr>
        <w:t xml:space="preserve">Surveillance is very important for monitoring the status of vaccine preventable diseases. It requires that all reports are received complete and timely, from service provision to the central level. </w:t>
      </w:r>
    </w:p>
    <w:p w14:paraId="76B639DB" w14:textId="18BB6A42" w:rsidR="001526E1" w:rsidRPr="004D407A" w:rsidRDefault="001526E1" w:rsidP="001526E1">
      <w:pPr>
        <w:pStyle w:val="BodyText"/>
        <w:rPr>
          <w:rFonts w:ascii="Arial" w:hAnsi="Arial"/>
        </w:rPr>
      </w:pPr>
      <w:r w:rsidRPr="004D407A">
        <w:rPr>
          <w:rFonts w:ascii="Arial" w:hAnsi="Arial"/>
        </w:rPr>
        <w:t xml:space="preserve">In Bangladesh Polio Eradication and Elimination of Maternal &amp; Neonatal Tetanus (MNT) activities started in 1995. Acute Flaccid Paralysis (AFP) and Neonatal Tetanus (NT) surveillance system was established in 1997. In 1995 WHO supported the surveillance activities through deployment of five divisional surveillance officers. Surveillance included AFP, Measles and NT with the </w:t>
      </w:r>
      <w:r w:rsidR="00E717CB" w:rsidRPr="004D407A">
        <w:rPr>
          <w:rFonts w:ascii="Arial" w:hAnsi="Arial"/>
        </w:rPr>
        <w:t>focus</w:t>
      </w:r>
      <w:r w:rsidRPr="004D407A">
        <w:rPr>
          <w:rFonts w:ascii="Arial" w:hAnsi="Arial"/>
        </w:rPr>
        <w:t xml:space="preserve"> on AFP and NT surveillance. In 1997 additional, urban surveillance officers were deployed in five city corporations.</w:t>
      </w:r>
    </w:p>
    <w:p w14:paraId="0B22426B" w14:textId="46612031" w:rsidR="001526E1" w:rsidRPr="004D407A" w:rsidRDefault="00C30BDE" w:rsidP="00C30BDE">
      <w:pPr>
        <w:pStyle w:val="BodyText"/>
        <w:rPr>
          <w:rFonts w:ascii="Arial" w:hAnsi="Arial"/>
        </w:rPr>
      </w:pPr>
      <w:r w:rsidRPr="004D407A">
        <w:rPr>
          <w:rFonts w:ascii="Arial" w:hAnsi="Arial"/>
        </w:rPr>
        <w:t>Since 1998 approximately 32 WHO-supported Surveillance Medical Officers</w:t>
      </w:r>
      <w:r w:rsidRPr="004D407A">
        <w:rPr>
          <w:rStyle w:val="FootnoteReference"/>
          <w:lang w:val="en-GB"/>
        </w:rPr>
        <w:footnoteReference w:id="41"/>
      </w:r>
      <w:r w:rsidRPr="004D407A">
        <w:rPr>
          <w:lang w:val="en-GB"/>
        </w:rPr>
        <w:t xml:space="preserve"> </w:t>
      </w:r>
      <w:r w:rsidRPr="004D407A">
        <w:rPr>
          <w:rFonts w:ascii="Arial" w:hAnsi="Arial"/>
        </w:rPr>
        <w:t xml:space="preserve">(SMO) and approximately </w:t>
      </w:r>
      <w:r w:rsidR="00E717CB" w:rsidRPr="004D407A">
        <w:rPr>
          <w:rFonts w:ascii="Arial" w:hAnsi="Arial"/>
        </w:rPr>
        <w:t>32 Gavi</w:t>
      </w:r>
      <w:r w:rsidRPr="004D407A">
        <w:rPr>
          <w:rFonts w:ascii="Arial" w:hAnsi="Arial"/>
        </w:rPr>
        <w:t>-supported District Maternal Child Health and Immunization Officers (DMCHIOs providing service since 2013)</w:t>
      </w:r>
      <w:r w:rsidRPr="004D407A">
        <w:rPr>
          <w:rStyle w:val="FootnoteReference"/>
          <w:lang w:val="en-GB"/>
        </w:rPr>
        <w:footnoteReference w:id="42"/>
      </w:r>
      <w:r w:rsidRPr="004D407A">
        <w:rPr>
          <w:lang w:val="en-GB"/>
        </w:rPr>
        <w:t xml:space="preserve"> </w:t>
      </w:r>
      <w:r w:rsidRPr="004D407A">
        <w:rPr>
          <w:rFonts w:ascii="Arial" w:hAnsi="Arial"/>
        </w:rPr>
        <w:t xml:space="preserve">have been providing technical and operational assistance to the immunization program in various fields, such as surveillance, outbreak investigation, supplementary immunization </w:t>
      </w:r>
      <w:r w:rsidR="00E717CB" w:rsidRPr="004D407A">
        <w:rPr>
          <w:rFonts w:ascii="Arial" w:hAnsi="Arial"/>
        </w:rPr>
        <w:t>activities, and</w:t>
      </w:r>
      <w:r w:rsidRPr="004D407A">
        <w:rPr>
          <w:rFonts w:ascii="Arial" w:hAnsi="Arial"/>
        </w:rPr>
        <w:t xml:space="preserve"> response activities at the district, city corporation, municipality and Upazila level. Direct management of SMOs was provided by the WHO CO and the government was responsible for management of the DMCHIOs.  Recently, the management responsibility of both SIMOs and DMCHIOs was assigned to WHO CO. To optimize </w:t>
      </w:r>
      <w:r w:rsidR="00E717CB" w:rsidRPr="004D407A">
        <w:rPr>
          <w:rFonts w:ascii="Arial" w:hAnsi="Arial"/>
        </w:rPr>
        <w:t>immunization,</w:t>
      </w:r>
      <w:r w:rsidRPr="004D407A">
        <w:rPr>
          <w:rFonts w:ascii="Arial" w:hAnsi="Arial"/>
        </w:rPr>
        <w:t xml:space="preserve"> function the term of reference of SMO were changed and title was changed to Surveillance and Immunization Medical Officer and started implementation of the plan for deployment of 64 SIMOs in all districts of the country (48 positions are filled as of August 2017).  An external review of the value</w:t>
      </w:r>
      <w:r w:rsidRPr="004D407A">
        <w:rPr>
          <w:lang w:val="en-GB"/>
        </w:rPr>
        <w:t xml:space="preserve"> </w:t>
      </w:r>
      <w:r w:rsidRPr="004D407A">
        <w:rPr>
          <w:rFonts w:ascii="Arial" w:hAnsi="Arial"/>
        </w:rPr>
        <w:t xml:space="preserve">added by the WHO SMO network in 2016 concluded that SMOs were critical to the ongoing success of the EPI </w:t>
      </w:r>
      <w:proofErr w:type="spellStart"/>
      <w:r w:rsidRPr="004D407A">
        <w:rPr>
          <w:rFonts w:ascii="Arial" w:hAnsi="Arial"/>
        </w:rPr>
        <w:t>programme</w:t>
      </w:r>
      <w:proofErr w:type="spellEnd"/>
      <w:r w:rsidRPr="004D407A">
        <w:rPr>
          <w:rFonts w:ascii="Arial" w:hAnsi="Arial"/>
        </w:rPr>
        <w:t xml:space="preserve"> and should be continued for at least the next 5 years. However, considering gradual decrease of global polio eradication initiative (GPEI) funds by 2019 and availability of GAVI funds until 2019 a transition plan will be needed eventually to integrate all posts of surveillance and immunization medical officers into government health structures, taking into account critical importance of technical and operational support provided by SIMOs in achievement of EPI strategies and achievement of key objectives of the national immunization </w:t>
      </w:r>
      <w:r w:rsidRPr="004D407A">
        <w:rPr>
          <w:rFonts w:ascii="Arial" w:hAnsi="Arial"/>
        </w:rPr>
        <w:lastRenderedPageBreak/>
        <w:t>program.</w:t>
      </w:r>
      <w:r w:rsidRPr="004D407A">
        <w:rPr>
          <w:rFonts w:ascii="Arial" w:hAnsi="Arial"/>
        </w:rPr>
        <w:footnoteReference w:id="43"/>
      </w:r>
      <w:r w:rsidRPr="004D407A">
        <w:rPr>
          <w:rFonts w:ascii="Arial" w:hAnsi="Arial"/>
        </w:rPr>
        <w:t xml:space="preserve"> Until the full integration into government system the SIMO network should continue with support from government </w:t>
      </w:r>
      <w:proofErr w:type="spellStart"/>
      <w:r w:rsidRPr="004D407A">
        <w:rPr>
          <w:rFonts w:ascii="Arial" w:hAnsi="Arial"/>
        </w:rPr>
        <w:t>SWAp</w:t>
      </w:r>
      <w:proofErr w:type="spellEnd"/>
      <w:r w:rsidRPr="004D407A">
        <w:rPr>
          <w:rFonts w:ascii="Arial" w:hAnsi="Arial"/>
        </w:rPr>
        <w:t>/GAVI  fund after 2019.</w:t>
      </w:r>
    </w:p>
    <w:p w14:paraId="00FDCFE5" w14:textId="785E399E" w:rsidR="001526E1" w:rsidRPr="004D407A" w:rsidRDefault="001526E1" w:rsidP="001526E1">
      <w:pPr>
        <w:pStyle w:val="BodyText"/>
        <w:rPr>
          <w:rFonts w:ascii="Arial" w:hAnsi="Arial"/>
        </w:rPr>
      </w:pPr>
      <w:r w:rsidRPr="004D407A">
        <w:rPr>
          <w:rFonts w:ascii="Arial" w:hAnsi="Arial"/>
        </w:rPr>
        <w:t xml:space="preserve">The current state of the surveillance system of the country against the surveillance indicators is presented in the </w:t>
      </w:r>
      <w:r w:rsidRPr="004D407A">
        <w:rPr>
          <w:rFonts w:ascii="Arial" w:hAnsi="Arial"/>
        </w:rPr>
        <w:fldChar w:fldCharType="begin"/>
      </w:r>
      <w:r w:rsidRPr="004D407A">
        <w:rPr>
          <w:rFonts w:ascii="Arial" w:hAnsi="Arial"/>
        </w:rPr>
        <w:instrText xml:space="preserve"> REF _Ref452906887 \h </w:instrText>
      </w:r>
      <w:r w:rsidR="007847A9"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Figure 15</w:t>
      </w:r>
      <w:r w:rsidRPr="004D407A">
        <w:rPr>
          <w:rFonts w:ascii="Arial" w:hAnsi="Arial"/>
        </w:rPr>
        <w:fldChar w:fldCharType="end"/>
      </w:r>
      <w:r w:rsidRPr="004D407A">
        <w:rPr>
          <w:rFonts w:ascii="Arial" w:hAnsi="Arial"/>
        </w:rPr>
        <w:t xml:space="preserve"> below:</w:t>
      </w:r>
    </w:p>
    <w:p w14:paraId="241D290F" w14:textId="26EBAEDA" w:rsidR="001526E1" w:rsidRPr="004D407A" w:rsidRDefault="001526E1" w:rsidP="001526E1">
      <w:pPr>
        <w:pStyle w:val="Caption"/>
        <w:rPr>
          <w:color w:val="auto"/>
        </w:rPr>
      </w:pPr>
      <w:bookmarkStart w:id="165" w:name="_Ref452906887"/>
      <w:bookmarkStart w:id="166" w:name="_Toc439638852"/>
      <w:bookmarkStart w:id="167" w:name="_Toc489355886"/>
      <w:bookmarkStart w:id="168" w:name="_Toc489491443"/>
      <w:bookmarkStart w:id="169" w:name="_Toc490750624"/>
      <w:bookmarkStart w:id="170" w:name="_Toc111912754"/>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15</w:t>
      </w:r>
      <w:r w:rsidR="00E21383" w:rsidRPr="004D407A">
        <w:rPr>
          <w:noProof/>
          <w:color w:val="auto"/>
        </w:rPr>
        <w:fldChar w:fldCharType="end"/>
      </w:r>
      <w:bookmarkEnd w:id="165"/>
      <w:r w:rsidRPr="004D407A">
        <w:rPr>
          <w:color w:val="auto"/>
        </w:rPr>
        <w:t>:</w:t>
      </w:r>
      <w:r w:rsidR="0008310C" w:rsidRPr="004D407A">
        <w:rPr>
          <w:color w:val="auto"/>
        </w:rPr>
        <w:t xml:space="preserve"> </w:t>
      </w:r>
      <w:r w:rsidRPr="004D407A">
        <w:rPr>
          <w:color w:val="auto"/>
        </w:rPr>
        <w:t>Summary of the surveillance indicators</w:t>
      </w:r>
      <w:bookmarkEnd w:id="166"/>
      <w:bookmarkEnd w:id="167"/>
      <w:bookmarkEnd w:id="168"/>
      <w:bookmarkEnd w:id="169"/>
      <w:bookmarkEnd w:id="170"/>
    </w:p>
    <w:p w14:paraId="68BD0F4E" w14:textId="77777777" w:rsidR="00F34FF1" w:rsidRPr="004D407A" w:rsidRDefault="00F34FF1" w:rsidP="007F2716">
      <w:pPr>
        <w:spacing w:after="0" w:line="240" w:lineRule="auto"/>
      </w:pP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2718"/>
        <w:gridCol w:w="2715"/>
        <w:gridCol w:w="1882"/>
        <w:gridCol w:w="1700"/>
      </w:tblGrid>
      <w:tr w:rsidR="004D407A" w:rsidRPr="004D407A" w14:paraId="163FE398" w14:textId="77777777" w:rsidTr="00785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hideMark/>
          </w:tcPr>
          <w:p w14:paraId="3801111B" w14:textId="77777777" w:rsidR="00F34FF1" w:rsidRPr="004D407A" w:rsidRDefault="00F34FF1" w:rsidP="00785F83">
            <w:pPr>
              <w:pStyle w:val="BodyTextT"/>
              <w:rPr>
                <w:b w:val="0"/>
              </w:rPr>
            </w:pPr>
            <w:r w:rsidRPr="004D407A">
              <w:t>Component</w:t>
            </w:r>
          </w:p>
        </w:tc>
        <w:tc>
          <w:tcPr>
            <w:tcW w:w="1506" w:type="pct"/>
            <w:hideMark/>
          </w:tcPr>
          <w:p w14:paraId="1BFA169F" w14:textId="77777777" w:rsidR="00F34FF1" w:rsidRPr="004D407A" w:rsidRDefault="00F34FF1" w:rsidP="00785F83">
            <w:pPr>
              <w:pStyle w:val="BodyTextT"/>
              <w:cnfStyle w:val="100000000000" w:firstRow="1" w:lastRow="0" w:firstColumn="0" w:lastColumn="0" w:oddVBand="0" w:evenVBand="0" w:oddHBand="0" w:evenHBand="0" w:firstRowFirstColumn="0" w:firstRowLastColumn="0" w:lastRowFirstColumn="0" w:lastRowLastColumn="0"/>
              <w:rPr>
                <w:bCs/>
              </w:rPr>
            </w:pPr>
            <w:r w:rsidRPr="004D407A">
              <w:t>Suggested indicators</w:t>
            </w:r>
          </w:p>
        </w:tc>
        <w:tc>
          <w:tcPr>
            <w:tcW w:w="1044" w:type="pct"/>
            <w:hideMark/>
          </w:tcPr>
          <w:p w14:paraId="6442951F" w14:textId="77777777" w:rsidR="00F34FF1" w:rsidRPr="004D407A" w:rsidRDefault="00F34FF1" w:rsidP="00785F83">
            <w:pPr>
              <w:pStyle w:val="BodyTextT"/>
              <w:jc w:val="center"/>
              <w:cnfStyle w:val="100000000000" w:firstRow="1" w:lastRow="0" w:firstColumn="0" w:lastColumn="0" w:oddVBand="0" w:evenVBand="0" w:oddHBand="0" w:evenHBand="0" w:firstRowFirstColumn="0" w:firstRowLastColumn="0" w:lastRowFirstColumn="0" w:lastRowLastColumn="0"/>
              <w:rPr>
                <w:b w:val="0"/>
              </w:rPr>
            </w:pPr>
            <w:r w:rsidRPr="004D407A">
              <w:t>2021</w:t>
            </w:r>
          </w:p>
        </w:tc>
        <w:tc>
          <w:tcPr>
            <w:tcW w:w="944" w:type="pct"/>
            <w:hideMark/>
          </w:tcPr>
          <w:p w14:paraId="695FAB6A" w14:textId="77777777" w:rsidR="00F34FF1" w:rsidRPr="004D407A" w:rsidRDefault="00F34FF1" w:rsidP="00785F83">
            <w:pPr>
              <w:pStyle w:val="BodyTextT"/>
              <w:jc w:val="center"/>
              <w:cnfStyle w:val="100000000000" w:firstRow="1" w:lastRow="0" w:firstColumn="0" w:lastColumn="0" w:oddVBand="0" w:evenVBand="0" w:oddHBand="0" w:evenHBand="0" w:firstRowFirstColumn="0" w:firstRowLastColumn="0" w:lastRowFirstColumn="0" w:lastRowLastColumn="0"/>
              <w:rPr>
                <w:b w:val="0"/>
                <w:bCs/>
              </w:rPr>
            </w:pPr>
            <w:r w:rsidRPr="004D407A">
              <w:t>Remarks</w:t>
            </w:r>
          </w:p>
        </w:tc>
      </w:tr>
      <w:tr w:rsidR="004D407A" w:rsidRPr="004D407A" w14:paraId="26FE221C" w14:textId="77777777" w:rsidTr="0078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vMerge w:val="restart"/>
            <w:hideMark/>
          </w:tcPr>
          <w:p w14:paraId="2C0AE8C8" w14:textId="77777777" w:rsidR="00F34FF1" w:rsidRPr="004D407A" w:rsidRDefault="00F34FF1" w:rsidP="00785F83">
            <w:pPr>
              <w:pStyle w:val="BodyTextT"/>
              <w:rPr>
                <w:b w:val="0"/>
                <w:bCs/>
              </w:rPr>
            </w:pPr>
            <w:r w:rsidRPr="004D407A">
              <w:t>Routine surveillance</w:t>
            </w:r>
          </w:p>
        </w:tc>
        <w:tc>
          <w:tcPr>
            <w:tcW w:w="1506" w:type="pct"/>
            <w:hideMark/>
          </w:tcPr>
          <w:p w14:paraId="3990FABA" w14:textId="77777777" w:rsidR="00F34FF1" w:rsidRPr="004D407A" w:rsidRDefault="00F34FF1" w:rsidP="00785F83">
            <w:pPr>
              <w:pStyle w:val="BodyTextT"/>
              <w:cnfStyle w:val="000000100000" w:firstRow="0" w:lastRow="0" w:firstColumn="0" w:lastColumn="0" w:oddVBand="0" w:evenVBand="0" w:oddHBand="1" w:evenHBand="0" w:firstRowFirstColumn="0" w:firstRowLastColumn="0" w:lastRowFirstColumn="0" w:lastRowLastColumn="0"/>
            </w:pPr>
            <w:r w:rsidRPr="004D407A">
              <w:t>% (Completeness) of surveillance reports received at national level from districts/city corporations</w:t>
            </w:r>
          </w:p>
        </w:tc>
        <w:tc>
          <w:tcPr>
            <w:tcW w:w="1044" w:type="pct"/>
            <w:hideMark/>
          </w:tcPr>
          <w:p w14:paraId="09EF82A5"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rPr>
                <w:szCs w:val="18"/>
              </w:rPr>
            </w:pPr>
            <w:r w:rsidRPr="004D407A">
              <w:rPr>
                <w:szCs w:val="18"/>
              </w:rPr>
              <w:t>99%</w:t>
            </w:r>
          </w:p>
        </w:tc>
        <w:tc>
          <w:tcPr>
            <w:tcW w:w="944" w:type="pct"/>
          </w:tcPr>
          <w:p w14:paraId="4473BBF3"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rPr>
                <w:szCs w:val="18"/>
              </w:rPr>
            </w:pPr>
          </w:p>
        </w:tc>
      </w:tr>
      <w:tr w:rsidR="004D407A" w:rsidRPr="004D407A" w14:paraId="2A7ECFCD" w14:textId="77777777" w:rsidTr="00785F83">
        <w:tc>
          <w:tcPr>
            <w:cnfStyle w:val="001000000000" w:firstRow="0" w:lastRow="0" w:firstColumn="1" w:lastColumn="0" w:oddVBand="0" w:evenVBand="0" w:oddHBand="0" w:evenHBand="0" w:firstRowFirstColumn="0" w:firstRowLastColumn="0" w:lastRowFirstColumn="0" w:lastRowLastColumn="0"/>
            <w:tcW w:w="1507" w:type="pct"/>
            <w:vMerge/>
            <w:hideMark/>
          </w:tcPr>
          <w:p w14:paraId="7E6F54EC" w14:textId="77777777" w:rsidR="00F34FF1" w:rsidRPr="004D407A" w:rsidRDefault="00F34FF1" w:rsidP="00785F83">
            <w:pPr>
              <w:pStyle w:val="BodyTextT"/>
              <w:rPr>
                <w:rFonts w:ascii="Calibri" w:hAnsi="Calibri" w:cs="Calibri"/>
                <w:b w:val="0"/>
                <w:bCs/>
                <w:szCs w:val="18"/>
              </w:rPr>
            </w:pPr>
          </w:p>
        </w:tc>
        <w:tc>
          <w:tcPr>
            <w:tcW w:w="1506" w:type="pct"/>
            <w:hideMark/>
          </w:tcPr>
          <w:p w14:paraId="1019F040"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szCs w:val="18"/>
              </w:rPr>
            </w:pPr>
            <w:r w:rsidRPr="004D407A">
              <w:t>AFP detection rate / 100,000 population under 15 years of age</w:t>
            </w:r>
          </w:p>
        </w:tc>
        <w:tc>
          <w:tcPr>
            <w:tcW w:w="1044" w:type="pct"/>
            <w:hideMark/>
          </w:tcPr>
          <w:p w14:paraId="4E228D4F"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rPr>
                <w:szCs w:val="18"/>
              </w:rPr>
            </w:pPr>
            <w:r w:rsidRPr="004D407A">
              <w:rPr>
                <w:szCs w:val="18"/>
              </w:rPr>
              <w:t>2.55</w:t>
            </w:r>
          </w:p>
        </w:tc>
        <w:tc>
          <w:tcPr>
            <w:tcW w:w="944" w:type="pct"/>
          </w:tcPr>
          <w:p w14:paraId="1E93E32C"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rPr>
                <w:szCs w:val="18"/>
              </w:rPr>
            </w:pPr>
          </w:p>
        </w:tc>
      </w:tr>
      <w:tr w:rsidR="004D407A" w:rsidRPr="004D407A" w14:paraId="44D32998" w14:textId="77777777" w:rsidTr="0078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vMerge/>
            <w:hideMark/>
          </w:tcPr>
          <w:p w14:paraId="5DF6A384" w14:textId="77777777" w:rsidR="00F34FF1" w:rsidRPr="004D407A" w:rsidRDefault="00F34FF1" w:rsidP="00785F83">
            <w:pPr>
              <w:pStyle w:val="BodyTextT"/>
              <w:rPr>
                <w:rFonts w:ascii="Calibri" w:hAnsi="Calibri" w:cs="Calibri"/>
                <w:b w:val="0"/>
                <w:bCs/>
                <w:szCs w:val="18"/>
              </w:rPr>
            </w:pPr>
          </w:p>
        </w:tc>
        <w:tc>
          <w:tcPr>
            <w:tcW w:w="1506" w:type="pct"/>
            <w:hideMark/>
          </w:tcPr>
          <w:p w14:paraId="59EBFA0F" w14:textId="77777777" w:rsidR="00F34FF1" w:rsidRPr="004D407A" w:rsidRDefault="00F34FF1" w:rsidP="00785F83">
            <w:pPr>
              <w:pStyle w:val="BodyTextT"/>
              <w:cnfStyle w:val="000000100000" w:firstRow="0" w:lastRow="0" w:firstColumn="0" w:lastColumn="0" w:oddVBand="0" w:evenVBand="0" w:oddHBand="1" w:evenHBand="0" w:firstRowFirstColumn="0" w:firstRowLastColumn="0" w:lastRowFirstColumn="0" w:lastRowLastColumn="0"/>
              <w:rPr>
                <w:szCs w:val="18"/>
              </w:rPr>
            </w:pPr>
            <w:r w:rsidRPr="004D407A">
              <w:t>Percentage suspected measles cases for which a laboratory test was conducted</w:t>
            </w:r>
          </w:p>
        </w:tc>
        <w:tc>
          <w:tcPr>
            <w:tcW w:w="1044" w:type="pct"/>
            <w:hideMark/>
          </w:tcPr>
          <w:p w14:paraId="4CE4FBFF"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pPr>
            <w:r w:rsidRPr="004D407A">
              <w:t>90.2%</w:t>
            </w:r>
          </w:p>
        </w:tc>
        <w:tc>
          <w:tcPr>
            <w:tcW w:w="944" w:type="pct"/>
          </w:tcPr>
          <w:p w14:paraId="07A44AB8"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pPr>
          </w:p>
        </w:tc>
      </w:tr>
      <w:tr w:rsidR="004D407A" w:rsidRPr="004D407A" w14:paraId="0B87C643" w14:textId="77777777" w:rsidTr="00785F83">
        <w:tc>
          <w:tcPr>
            <w:cnfStyle w:val="001000000000" w:firstRow="0" w:lastRow="0" w:firstColumn="1" w:lastColumn="0" w:oddVBand="0" w:evenVBand="0" w:oddHBand="0" w:evenHBand="0" w:firstRowFirstColumn="0" w:firstRowLastColumn="0" w:lastRowFirstColumn="0" w:lastRowLastColumn="0"/>
            <w:tcW w:w="1507" w:type="pct"/>
            <w:vMerge/>
            <w:hideMark/>
          </w:tcPr>
          <w:p w14:paraId="73EF8142" w14:textId="77777777" w:rsidR="00F34FF1" w:rsidRPr="004D407A" w:rsidRDefault="00F34FF1" w:rsidP="00785F83">
            <w:pPr>
              <w:pStyle w:val="BodyTextT"/>
              <w:rPr>
                <w:rFonts w:ascii="Calibri" w:hAnsi="Calibri" w:cs="Calibri"/>
                <w:b w:val="0"/>
                <w:bCs/>
                <w:szCs w:val="18"/>
              </w:rPr>
            </w:pPr>
          </w:p>
        </w:tc>
        <w:tc>
          <w:tcPr>
            <w:tcW w:w="1506" w:type="pct"/>
            <w:hideMark/>
          </w:tcPr>
          <w:p w14:paraId="463EC766"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pPr>
            <w:r w:rsidRPr="004D407A">
              <w:t>Sentinel surveillance for rotavirus established</w:t>
            </w:r>
          </w:p>
        </w:tc>
        <w:tc>
          <w:tcPr>
            <w:tcW w:w="1044" w:type="pct"/>
            <w:noWrap/>
          </w:tcPr>
          <w:p w14:paraId="717468CC"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pPr>
          </w:p>
        </w:tc>
        <w:tc>
          <w:tcPr>
            <w:tcW w:w="944" w:type="pct"/>
          </w:tcPr>
          <w:p w14:paraId="19E544A9"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pPr>
          </w:p>
        </w:tc>
      </w:tr>
      <w:tr w:rsidR="004D407A" w:rsidRPr="004D407A" w14:paraId="44CFDD20" w14:textId="77777777" w:rsidTr="0078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vMerge/>
            <w:hideMark/>
          </w:tcPr>
          <w:p w14:paraId="72CDBB06" w14:textId="77777777" w:rsidR="00F34FF1" w:rsidRPr="004D407A" w:rsidRDefault="00F34FF1" w:rsidP="00785F83">
            <w:pPr>
              <w:pStyle w:val="BodyTextT"/>
              <w:rPr>
                <w:rFonts w:ascii="Calibri" w:hAnsi="Calibri" w:cs="Calibri"/>
                <w:b w:val="0"/>
                <w:bCs/>
                <w:szCs w:val="18"/>
              </w:rPr>
            </w:pPr>
          </w:p>
        </w:tc>
        <w:tc>
          <w:tcPr>
            <w:tcW w:w="1506" w:type="pct"/>
            <w:hideMark/>
          </w:tcPr>
          <w:p w14:paraId="598CC858" w14:textId="77777777" w:rsidR="00F34FF1" w:rsidRPr="004D407A" w:rsidRDefault="00F34FF1" w:rsidP="00785F83">
            <w:pPr>
              <w:pStyle w:val="BodyTextT"/>
              <w:cnfStyle w:val="000000100000" w:firstRow="0" w:lastRow="0" w:firstColumn="0" w:lastColumn="0" w:oddVBand="0" w:evenVBand="0" w:oddHBand="1" w:evenHBand="0" w:firstRowFirstColumn="0" w:firstRowLastColumn="0" w:lastRowFirstColumn="0" w:lastRowLastColumn="0"/>
            </w:pPr>
            <w:r w:rsidRPr="004D407A">
              <w:t>Sentinel surveillance for meningitis (Hib / PCV) established</w:t>
            </w:r>
          </w:p>
        </w:tc>
        <w:tc>
          <w:tcPr>
            <w:tcW w:w="1044" w:type="pct"/>
            <w:noWrap/>
            <w:hideMark/>
          </w:tcPr>
          <w:p w14:paraId="08EEB8DB"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pPr>
            <w:r w:rsidRPr="004D407A">
              <w:t>Yes</w:t>
            </w:r>
          </w:p>
        </w:tc>
        <w:tc>
          <w:tcPr>
            <w:tcW w:w="944" w:type="pct"/>
          </w:tcPr>
          <w:p w14:paraId="493657B7"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pPr>
          </w:p>
        </w:tc>
      </w:tr>
      <w:tr w:rsidR="004D407A" w:rsidRPr="004D407A" w14:paraId="4AEE6CFE" w14:textId="77777777" w:rsidTr="00785F83">
        <w:trPr>
          <w:trHeight w:val="566"/>
        </w:trPr>
        <w:tc>
          <w:tcPr>
            <w:cnfStyle w:val="001000000000" w:firstRow="0" w:lastRow="0" w:firstColumn="1" w:lastColumn="0" w:oddVBand="0" w:evenVBand="0" w:oddHBand="0" w:evenHBand="0" w:firstRowFirstColumn="0" w:firstRowLastColumn="0" w:lastRowFirstColumn="0" w:lastRowLastColumn="0"/>
            <w:tcW w:w="1507" w:type="pct"/>
            <w:vMerge/>
            <w:hideMark/>
          </w:tcPr>
          <w:p w14:paraId="7562DFB3" w14:textId="77777777" w:rsidR="00F34FF1" w:rsidRPr="004D407A" w:rsidRDefault="00F34FF1" w:rsidP="00785F83">
            <w:pPr>
              <w:pStyle w:val="BodyTextT"/>
              <w:rPr>
                <w:rFonts w:ascii="Calibri" w:hAnsi="Calibri" w:cs="Calibri"/>
                <w:b w:val="0"/>
                <w:bCs/>
                <w:szCs w:val="18"/>
              </w:rPr>
            </w:pPr>
          </w:p>
        </w:tc>
        <w:tc>
          <w:tcPr>
            <w:tcW w:w="1506" w:type="pct"/>
            <w:hideMark/>
          </w:tcPr>
          <w:p w14:paraId="6D2CD661"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pPr>
            <w:r w:rsidRPr="004D407A">
              <w:t>Percentage of suspected meningitis cases tested for Hib / pneumococcal diseases according to standard protocol.</w:t>
            </w:r>
          </w:p>
        </w:tc>
        <w:tc>
          <w:tcPr>
            <w:tcW w:w="1044" w:type="pct"/>
            <w:hideMark/>
          </w:tcPr>
          <w:p w14:paraId="6C2926EB"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pPr>
            <w:r w:rsidRPr="004D407A">
              <w:t>Yes</w:t>
            </w:r>
          </w:p>
        </w:tc>
        <w:tc>
          <w:tcPr>
            <w:tcW w:w="944" w:type="pct"/>
          </w:tcPr>
          <w:p w14:paraId="01C703EE"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pPr>
          </w:p>
        </w:tc>
      </w:tr>
      <w:tr w:rsidR="004D407A" w:rsidRPr="004D407A" w14:paraId="3F4DD13B" w14:textId="77777777" w:rsidTr="0078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vMerge/>
            <w:hideMark/>
          </w:tcPr>
          <w:p w14:paraId="37D83A92" w14:textId="77777777" w:rsidR="00F34FF1" w:rsidRPr="004D407A" w:rsidRDefault="00F34FF1" w:rsidP="00785F83">
            <w:pPr>
              <w:pStyle w:val="BodyTextT"/>
              <w:rPr>
                <w:rFonts w:ascii="Calibri" w:hAnsi="Calibri" w:cs="Calibri"/>
                <w:b w:val="0"/>
                <w:bCs/>
                <w:szCs w:val="18"/>
              </w:rPr>
            </w:pPr>
          </w:p>
        </w:tc>
        <w:tc>
          <w:tcPr>
            <w:tcW w:w="1506" w:type="pct"/>
            <w:hideMark/>
          </w:tcPr>
          <w:p w14:paraId="7D4BCBE7" w14:textId="77777777" w:rsidR="00F34FF1" w:rsidRPr="004D407A" w:rsidRDefault="00F34FF1" w:rsidP="00785F83">
            <w:pPr>
              <w:pStyle w:val="BodyTextT"/>
              <w:cnfStyle w:val="000000100000" w:firstRow="0" w:lastRow="0" w:firstColumn="0" w:lastColumn="0" w:oddVBand="0" w:evenVBand="0" w:oddHBand="1" w:evenHBand="0" w:firstRowFirstColumn="0" w:firstRowLastColumn="0" w:lastRowFirstColumn="0" w:lastRowLastColumn="0"/>
            </w:pPr>
            <w:r w:rsidRPr="004D407A">
              <w:t xml:space="preserve">% </w:t>
            </w:r>
            <w:proofErr w:type="gramStart"/>
            <w:r w:rsidRPr="004D407A">
              <w:t>weekly</w:t>
            </w:r>
            <w:proofErr w:type="gramEnd"/>
            <w:r w:rsidRPr="004D407A">
              <w:t xml:space="preserve"> timeliness of reports</w:t>
            </w:r>
          </w:p>
        </w:tc>
        <w:tc>
          <w:tcPr>
            <w:tcW w:w="1044" w:type="pct"/>
            <w:hideMark/>
          </w:tcPr>
          <w:p w14:paraId="5FDA4717"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rPr>
                <w:szCs w:val="18"/>
              </w:rPr>
            </w:pPr>
            <w:r w:rsidRPr="004D407A">
              <w:rPr>
                <w:szCs w:val="18"/>
              </w:rPr>
              <w:t>97%</w:t>
            </w:r>
          </w:p>
        </w:tc>
        <w:tc>
          <w:tcPr>
            <w:tcW w:w="944" w:type="pct"/>
            <w:hideMark/>
          </w:tcPr>
          <w:p w14:paraId="53E62608"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rPr>
                <w:szCs w:val="18"/>
              </w:rPr>
            </w:pPr>
            <w:r w:rsidRPr="004D407A">
              <w:rPr>
                <w:szCs w:val="18"/>
              </w:rPr>
              <w:t>Weekly reporting system established</w:t>
            </w:r>
          </w:p>
        </w:tc>
      </w:tr>
      <w:tr w:rsidR="004D407A" w:rsidRPr="004D407A" w14:paraId="672A8AB6" w14:textId="77777777" w:rsidTr="00785F83">
        <w:tc>
          <w:tcPr>
            <w:cnfStyle w:val="001000000000" w:firstRow="0" w:lastRow="0" w:firstColumn="1" w:lastColumn="0" w:oddVBand="0" w:evenVBand="0" w:oddHBand="0" w:evenHBand="0" w:firstRowFirstColumn="0" w:firstRowLastColumn="0" w:lastRowFirstColumn="0" w:lastRowLastColumn="0"/>
            <w:tcW w:w="1507" w:type="pct"/>
            <w:vMerge/>
            <w:hideMark/>
          </w:tcPr>
          <w:p w14:paraId="2760937C" w14:textId="77777777" w:rsidR="00F34FF1" w:rsidRPr="004D407A" w:rsidRDefault="00F34FF1" w:rsidP="00785F83">
            <w:pPr>
              <w:pStyle w:val="BodyTextT"/>
              <w:rPr>
                <w:rFonts w:ascii="Calibri" w:hAnsi="Calibri" w:cs="Calibri"/>
                <w:b w:val="0"/>
                <w:bCs/>
                <w:szCs w:val="18"/>
              </w:rPr>
            </w:pPr>
          </w:p>
        </w:tc>
        <w:tc>
          <w:tcPr>
            <w:tcW w:w="1506" w:type="pct"/>
            <w:hideMark/>
          </w:tcPr>
          <w:p w14:paraId="3F06C7BA"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szCs w:val="18"/>
              </w:rPr>
            </w:pPr>
            <w:r w:rsidRPr="004D407A">
              <w:t xml:space="preserve">% </w:t>
            </w:r>
            <w:proofErr w:type="gramStart"/>
            <w:r w:rsidRPr="004D407A">
              <w:t>weekly</w:t>
            </w:r>
            <w:proofErr w:type="gramEnd"/>
            <w:r w:rsidRPr="004D407A">
              <w:t xml:space="preserve"> completeness of reports</w:t>
            </w:r>
          </w:p>
        </w:tc>
        <w:tc>
          <w:tcPr>
            <w:tcW w:w="1044" w:type="pct"/>
            <w:hideMark/>
          </w:tcPr>
          <w:p w14:paraId="0228EF95"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rPr>
                <w:szCs w:val="18"/>
              </w:rPr>
            </w:pPr>
            <w:r w:rsidRPr="004D407A">
              <w:rPr>
                <w:szCs w:val="18"/>
              </w:rPr>
              <w:t>99%</w:t>
            </w:r>
          </w:p>
        </w:tc>
        <w:tc>
          <w:tcPr>
            <w:tcW w:w="944" w:type="pct"/>
            <w:hideMark/>
          </w:tcPr>
          <w:p w14:paraId="777BE5C4"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rPr>
                <w:szCs w:val="18"/>
              </w:rPr>
            </w:pPr>
            <w:r w:rsidRPr="004D407A">
              <w:rPr>
                <w:szCs w:val="18"/>
              </w:rPr>
              <w:t>Weekly reporting system established</w:t>
            </w:r>
          </w:p>
        </w:tc>
      </w:tr>
      <w:tr w:rsidR="004D407A" w:rsidRPr="004D407A" w14:paraId="25066EAE" w14:textId="77777777" w:rsidTr="0078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hideMark/>
          </w:tcPr>
          <w:p w14:paraId="66185848" w14:textId="77777777" w:rsidR="00F34FF1" w:rsidRPr="004D407A" w:rsidRDefault="00F34FF1" w:rsidP="00785F83">
            <w:pPr>
              <w:pStyle w:val="BodyTextT"/>
              <w:rPr>
                <w:b w:val="0"/>
                <w:szCs w:val="18"/>
              </w:rPr>
            </w:pPr>
            <w:r w:rsidRPr="004D407A">
              <w:t>Coverage monitoring</w:t>
            </w:r>
          </w:p>
        </w:tc>
        <w:tc>
          <w:tcPr>
            <w:tcW w:w="1506" w:type="pct"/>
            <w:hideMark/>
          </w:tcPr>
          <w:p w14:paraId="4EFFBF23" w14:textId="77777777" w:rsidR="00F34FF1" w:rsidRPr="004D407A" w:rsidRDefault="00F34FF1" w:rsidP="00785F83">
            <w:pPr>
              <w:pStyle w:val="BodyTextT"/>
              <w:cnfStyle w:val="000000100000" w:firstRow="0" w:lastRow="0" w:firstColumn="0" w:lastColumn="0" w:oddVBand="0" w:evenVBand="0" w:oddHBand="1" w:evenHBand="0" w:firstRowFirstColumn="0" w:firstRowLastColumn="0" w:lastRowFirstColumn="0" w:lastRowLastColumn="0"/>
            </w:pPr>
            <w:r w:rsidRPr="004D407A">
              <w:t xml:space="preserve">% </w:t>
            </w:r>
            <w:proofErr w:type="gramStart"/>
            <w:r w:rsidRPr="004D407A">
              <w:t>gap</w:t>
            </w:r>
            <w:proofErr w:type="gramEnd"/>
            <w:r w:rsidRPr="004D407A">
              <w:t xml:space="preserve"> in match between DPT3 survey coverage and official reported figure</w:t>
            </w:r>
          </w:p>
        </w:tc>
        <w:tc>
          <w:tcPr>
            <w:tcW w:w="1044" w:type="pct"/>
            <w:hideMark/>
          </w:tcPr>
          <w:p w14:paraId="44547AA8"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rPr>
                <w:szCs w:val="18"/>
              </w:rPr>
            </w:pPr>
            <w:r w:rsidRPr="004D407A">
              <w:rPr>
                <w:szCs w:val="18"/>
              </w:rPr>
              <w:t>118-97.9=20.2</w:t>
            </w:r>
          </w:p>
        </w:tc>
        <w:tc>
          <w:tcPr>
            <w:tcW w:w="944" w:type="pct"/>
            <w:hideMark/>
          </w:tcPr>
          <w:p w14:paraId="77F249CE"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rPr>
                <w:szCs w:val="18"/>
              </w:rPr>
            </w:pPr>
            <w:r w:rsidRPr="004D407A">
              <w:rPr>
                <w:szCs w:val="18"/>
              </w:rPr>
              <w:t>Reported DPT3 is 118% and as per CES 2016, DPT3 crude coverage is 97.9%</w:t>
            </w:r>
          </w:p>
        </w:tc>
      </w:tr>
      <w:tr w:rsidR="004D407A" w:rsidRPr="004D407A" w14:paraId="115656A5" w14:textId="77777777" w:rsidTr="00785F83">
        <w:tc>
          <w:tcPr>
            <w:cnfStyle w:val="001000000000" w:firstRow="0" w:lastRow="0" w:firstColumn="1" w:lastColumn="0" w:oddVBand="0" w:evenVBand="0" w:oddHBand="0" w:evenHBand="0" w:firstRowFirstColumn="0" w:firstRowLastColumn="0" w:lastRowFirstColumn="0" w:lastRowLastColumn="0"/>
            <w:tcW w:w="1507" w:type="pct"/>
            <w:hideMark/>
          </w:tcPr>
          <w:p w14:paraId="02D0D305" w14:textId="77777777" w:rsidR="00F34FF1" w:rsidRPr="004D407A" w:rsidRDefault="00F34FF1" w:rsidP="00785F83">
            <w:pPr>
              <w:pStyle w:val="BodyTextT"/>
              <w:rPr>
                <w:b w:val="0"/>
                <w:szCs w:val="18"/>
              </w:rPr>
            </w:pPr>
            <w:r w:rsidRPr="004D407A">
              <w:t>Immunization safety</w:t>
            </w:r>
          </w:p>
        </w:tc>
        <w:tc>
          <w:tcPr>
            <w:tcW w:w="1506" w:type="pct"/>
            <w:hideMark/>
          </w:tcPr>
          <w:p w14:paraId="203C1713"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pPr>
            <w:r w:rsidRPr="004D407A">
              <w:t>Percentage of states that have been supplied with adequate number of AD syringes for all routine vaccines</w:t>
            </w:r>
          </w:p>
        </w:tc>
        <w:tc>
          <w:tcPr>
            <w:tcW w:w="1044" w:type="pct"/>
            <w:hideMark/>
          </w:tcPr>
          <w:p w14:paraId="3C4DE67B"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pPr>
          </w:p>
        </w:tc>
        <w:tc>
          <w:tcPr>
            <w:tcW w:w="944" w:type="pct"/>
          </w:tcPr>
          <w:p w14:paraId="138FDE78"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p>
        </w:tc>
      </w:tr>
      <w:tr w:rsidR="004D407A" w:rsidRPr="004D407A" w14:paraId="25616BB5" w14:textId="77777777" w:rsidTr="0078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vMerge w:val="restart"/>
            <w:noWrap/>
            <w:hideMark/>
          </w:tcPr>
          <w:p w14:paraId="3846C27F" w14:textId="77777777" w:rsidR="00F34FF1" w:rsidRPr="004D407A" w:rsidRDefault="00F34FF1" w:rsidP="00785F83">
            <w:pPr>
              <w:pStyle w:val="BodyTextT"/>
              <w:rPr>
                <w:b w:val="0"/>
                <w:szCs w:val="18"/>
              </w:rPr>
            </w:pPr>
            <w:r w:rsidRPr="004D407A">
              <w:t xml:space="preserve">Adverse events </w:t>
            </w:r>
          </w:p>
        </w:tc>
        <w:tc>
          <w:tcPr>
            <w:tcW w:w="1506" w:type="pct"/>
            <w:hideMark/>
          </w:tcPr>
          <w:p w14:paraId="0DA051B7" w14:textId="77777777" w:rsidR="00F34FF1" w:rsidRPr="004D407A" w:rsidRDefault="00F34FF1" w:rsidP="00785F83">
            <w:pPr>
              <w:pStyle w:val="BodyTextT"/>
              <w:cnfStyle w:val="000000100000" w:firstRow="0" w:lastRow="0" w:firstColumn="0" w:lastColumn="0" w:oddVBand="0" w:evenVBand="0" w:oddHBand="1" w:evenHBand="0" w:firstRowFirstColumn="0" w:firstRowLastColumn="0" w:lastRowFirstColumn="0" w:lastRowLastColumn="0"/>
            </w:pPr>
            <w:r w:rsidRPr="004D407A">
              <w:t>National AEFI system is active with a designated national committee</w:t>
            </w:r>
          </w:p>
        </w:tc>
        <w:tc>
          <w:tcPr>
            <w:tcW w:w="1044" w:type="pct"/>
            <w:noWrap/>
            <w:hideMark/>
          </w:tcPr>
          <w:p w14:paraId="5A6B8935"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pPr>
            <w:r w:rsidRPr="004D407A">
              <w:t>Yes</w:t>
            </w:r>
          </w:p>
        </w:tc>
        <w:tc>
          <w:tcPr>
            <w:tcW w:w="944" w:type="pct"/>
          </w:tcPr>
          <w:p w14:paraId="6A7BAB24" w14:textId="77777777" w:rsidR="00F34FF1" w:rsidRPr="004D407A" w:rsidRDefault="00F34FF1" w:rsidP="00785F83">
            <w:pPr>
              <w:pStyle w:val="BodyTextT"/>
              <w:jc w:val="center"/>
              <w:cnfStyle w:val="000000100000" w:firstRow="0" w:lastRow="0" w:firstColumn="0" w:lastColumn="0" w:oddVBand="0" w:evenVBand="0" w:oddHBand="1" w:evenHBand="0" w:firstRowFirstColumn="0" w:firstRowLastColumn="0" w:lastRowFirstColumn="0" w:lastRowLastColumn="0"/>
            </w:pPr>
          </w:p>
        </w:tc>
      </w:tr>
      <w:tr w:rsidR="004D407A" w:rsidRPr="004D407A" w14:paraId="03B2926D" w14:textId="77777777" w:rsidTr="00785F83">
        <w:tc>
          <w:tcPr>
            <w:cnfStyle w:val="001000000000" w:firstRow="0" w:lastRow="0" w:firstColumn="1" w:lastColumn="0" w:oddVBand="0" w:evenVBand="0" w:oddHBand="0" w:evenHBand="0" w:firstRowFirstColumn="0" w:firstRowLastColumn="0" w:lastRowFirstColumn="0" w:lastRowLastColumn="0"/>
            <w:tcW w:w="1507" w:type="pct"/>
            <w:vMerge/>
            <w:hideMark/>
          </w:tcPr>
          <w:p w14:paraId="256DBA40" w14:textId="77777777" w:rsidR="00F34FF1" w:rsidRPr="004D407A" w:rsidRDefault="00F34FF1" w:rsidP="00785F83">
            <w:pPr>
              <w:pStyle w:val="BodyTextT"/>
              <w:rPr>
                <w:rFonts w:ascii="Calibri" w:hAnsi="Calibri" w:cs="Calibri"/>
                <w:b w:val="0"/>
                <w:bCs/>
                <w:szCs w:val="18"/>
              </w:rPr>
            </w:pPr>
          </w:p>
        </w:tc>
        <w:tc>
          <w:tcPr>
            <w:tcW w:w="1506" w:type="pct"/>
            <w:hideMark/>
          </w:tcPr>
          <w:p w14:paraId="7D8EE544"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pPr>
            <w:r w:rsidRPr="004D407A">
              <w:t>Number of serious AEFI cases reported and investigated</w:t>
            </w:r>
          </w:p>
        </w:tc>
        <w:tc>
          <w:tcPr>
            <w:tcW w:w="1044" w:type="pct"/>
            <w:noWrap/>
            <w:hideMark/>
          </w:tcPr>
          <w:p w14:paraId="6DFE4E7F"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rPr>
                <w:szCs w:val="18"/>
              </w:rPr>
            </w:pPr>
            <w:r w:rsidRPr="004D407A">
              <w:rPr>
                <w:szCs w:val="18"/>
              </w:rPr>
              <w:t>54</w:t>
            </w:r>
          </w:p>
        </w:tc>
        <w:tc>
          <w:tcPr>
            <w:tcW w:w="944" w:type="pct"/>
          </w:tcPr>
          <w:p w14:paraId="50165473" w14:textId="77777777" w:rsidR="00F34FF1" w:rsidRPr="004D407A" w:rsidRDefault="00F34FF1" w:rsidP="00785F83">
            <w:pPr>
              <w:pStyle w:val="BodyTextT"/>
              <w:jc w:val="center"/>
              <w:cnfStyle w:val="000000000000" w:firstRow="0" w:lastRow="0" w:firstColumn="0" w:lastColumn="0" w:oddVBand="0" w:evenVBand="0" w:oddHBand="0" w:evenHBand="0" w:firstRowFirstColumn="0" w:firstRowLastColumn="0" w:lastRowFirstColumn="0" w:lastRowLastColumn="0"/>
              <w:rPr>
                <w:szCs w:val="18"/>
              </w:rPr>
            </w:pPr>
          </w:p>
        </w:tc>
      </w:tr>
    </w:tbl>
    <w:p w14:paraId="68A4721E" w14:textId="0CD1D3F5" w:rsidR="007F2716" w:rsidRPr="004D407A" w:rsidRDefault="007F2716" w:rsidP="007F2716">
      <w:pPr>
        <w:spacing w:after="0" w:line="240" w:lineRule="auto"/>
      </w:pPr>
    </w:p>
    <w:p w14:paraId="4A5F3881" w14:textId="7CC7DB7A" w:rsidR="001526E1" w:rsidRPr="004D407A" w:rsidRDefault="001526E1" w:rsidP="001526E1">
      <w:pPr>
        <w:pStyle w:val="mySource"/>
        <w:spacing w:after="0"/>
        <w:rPr>
          <w:color w:val="auto"/>
        </w:rPr>
      </w:pPr>
      <w:r w:rsidRPr="004D407A">
        <w:rPr>
          <w:color w:val="auto"/>
        </w:rPr>
        <w:t xml:space="preserve">Source: </w:t>
      </w:r>
      <w:r w:rsidR="00543750" w:rsidRPr="004D407A">
        <w:rPr>
          <w:color w:val="auto"/>
        </w:rPr>
        <w:t>WHO CO 2022</w:t>
      </w:r>
    </w:p>
    <w:p w14:paraId="420776F8" w14:textId="77777777" w:rsidR="001526E1" w:rsidRPr="004D407A" w:rsidRDefault="001526E1" w:rsidP="001526E1">
      <w:pPr>
        <w:pStyle w:val="myHeading1"/>
        <w:rPr>
          <w:color w:val="auto"/>
        </w:rPr>
      </w:pPr>
      <w:r w:rsidRPr="004D407A">
        <w:rPr>
          <w:color w:val="auto"/>
        </w:rPr>
        <w:t>VPD and AFP Surveillance System</w:t>
      </w:r>
    </w:p>
    <w:p w14:paraId="336BD439" w14:textId="77777777" w:rsidR="001526E1" w:rsidRPr="004D407A" w:rsidRDefault="001526E1" w:rsidP="001526E1">
      <w:pPr>
        <w:pStyle w:val="BodyText"/>
        <w:rPr>
          <w:rFonts w:ascii="Arial" w:hAnsi="Arial"/>
        </w:rPr>
      </w:pPr>
      <w:r w:rsidRPr="004D407A">
        <w:rPr>
          <w:rFonts w:ascii="Arial" w:hAnsi="Arial"/>
        </w:rPr>
        <w:t>Currently Bangladesh operates AFP and VDP Reporting systems:</w:t>
      </w:r>
    </w:p>
    <w:p w14:paraId="4AB9572A" w14:textId="757EA226" w:rsidR="001526E1" w:rsidRPr="004D407A" w:rsidRDefault="001526E1" w:rsidP="00526CCA">
      <w:pPr>
        <w:pStyle w:val="BodyText"/>
        <w:numPr>
          <w:ilvl w:val="6"/>
          <w:numId w:val="16"/>
        </w:numPr>
        <w:spacing w:before="0" w:line="240" w:lineRule="auto"/>
        <w:ind w:left="1134" w:hanging="425"/>
        <w:rPr>
          <w:rFonts w:ascii="Arial" w:hAnsi="Arial"/>
        </w:rPr>
      </w:pPr>
      <w:r w:rsidRPr="004D407A">
        <w:rPr>
          <w:rFonts w:ascii="Arial" w:hAnsi="Arial"/>
        </w:rPr>
        <w:t xml:space="preserve">Internal system of notifying and reporting of cases within all public hospitals (UHC, District and Medical College hospital) and selected </w:t>
      </w:r>
      <w:r w:rsidR="00B579CC" w:rsidRPr="004D407A">
        <w:rPr>
          <w:rFonts w:ascii="Arial" w:hAnsi="Arial"/>
        </w:rPr>
        <w:t>792</w:t>
      </w:r>
      <w:r w:rsidRPr="004D407A">
        <w:rPr>
          <w:rFonts w:ascii="Arial" w:hAnsi="Arial"/>
        </w:rPr>
        <w:t xml:space="preserve"> major private health </w:t>
      </w:r>
      <w:r w:rsidR="00783EEF" w:rsidRPr="004D407A">
        <w:rPr>
          <w:rFonts w:ascii="Arial" w:hAnsi="Arial"/>
        </w:rPr>
        <w:t>facilities.</w:t>
      </w:r>
    </w:p>
    <w:p w14:paraId="4351B289" w14:textId="76742DC4" w:rsidR="001526E1" w:rsidRPr="004D407A" w:rsidRDefault="001526E1" w:rsidP="00526CCA">
      <w:pPr>
        <w:pStyle w:val="BodyText"/>
        <w:numPr>
          <w:ilvl w:val="7"/>
          <w:numId w:val="16"/>
        </w:numPr>
        <w:spacing w:before="0" w:line="240" w:lineRule="auto"/>
        <w:ind w:left="1418" w:hanging="284"/>
        <w:rPr>
          <w:rFonts w:ascii="Arial" w:hAnsi="Arial"/>
        </w:rPr>
      </w:pPr>
      <w:r w:rsidRPr="004D407A">
        <w:rPr>
          <w:rFonts w:ascii="Arial" w:hAnsi="Arial"/>
        </w:rPr>
        <w:t xml:space="preserve">Routine/passive reporting of AFP and VPD is conducted on a weekly basis through application of structured format, including ZERO </w:t>
      </w:r>
      <w:r w:rsidR="00783EEF" w:rsidRPr="004D407A">
        <w:rPr>
          <w:rFonts w:ascii="Arial" w:hAnsi="Arial"/>
        </w:rPr>
        <w:t>reporting.</w:t>
      </w:r>
    </w:p>
    <w:p w14:paraId="303B082A" w14:textId="5854DC2C" w:rsidR="001526E1" w:rsidRPr="004D407A" w:rsidRDefault="001526E1" w:rsidP="00526CCA">
      <w:pPr>
        <w:pStyle w:val="BodyText"/>
        <w:numPr>
          <w:ilvl w:val="7"/>
          <w:numId w:val="16"/>
        </w:numPr>
        <w:spacing w:before="0" w:line="240" w:lineRule="auto"/>
        <w:ind w:left="1418" w:hanging="284"/>
        <w:rPr>
          <w:rFonts w:ascii="Arial" w:hAnsi="Arial"/>
        </w:rPr>
      </w:pPr>
      <w:r w:rsidRPr="004D407A">
        <w:rPr>
          <w:rFonts w:ascii="Arial" w:hAnsi="Arial"/>
        </w:rPr>
        <w:lastRenderedPageBreak/>
        <w:t>Active case search reporting for AFP, NT, Measles &amp; CRS from selected 16</w:t>
      </w:r>
      <w:r w:rsidR="00B579CC" w:rsidRPr="004D407A">
        <w:rPr>
          <w:rFonts w:ascii="Arial" w:hAnsi="Arial"/>
        </w:rPr>
        <w:t xml:space="preserve">7 </w:t>
      </w:r>
      <w:r w:rsidRPr="004D407A">
        <w:rPr>
          <w:rFonts w:ascii="Arial" w:hAnsi="Arial"/>
        </w:rPr>
        <w:t>health facilities (</w:t>
      </w:r>
      <w:r w:rsidR="00B579CC" w:rsidRPr="004D407A">
        <w:rPr>
          <w:rFonts w:ascii="Arial" w:hAnsi="Arial"/>
        </w:rPr>
        <w:t>20</w:t>
      </w:r>
      <w:r w:rsidRPr="004D407A">
        <w:rPr>
          <w:rFonts w:ascii="Arial" w:hAnsi="Arial"/>
        </w:rPr>
        <w:t xml:space="preserve"> of these facilities are CRS specific specialized facility) is conducted on a weekly basis through application of the structured format, including ZERO </w:t>
      </w:r>
      <w:r w:rsidR="00783EEF" w:rsidRPr="004D407A">
        <w:rPr>
          <w:rFonts w:ascii="Arial" w:hAnsi="Arial"/>
        </w:rPr>
        <w:t>reporting.</w:t>
      </w:r>
    </w:p>
    <w:p w14:paraId="63B4F74A" w14:textId="34459DE6" w:rsidR="001526E1" w:rsidRPr="004D407A" w:rsidRDefault="001526E1" w:rsidP="00526CCA">
      <w:pPr>
        <w:pStyle w:val="BodyText"/>
        <w:numPr>
          <w:ilvl w:val="6"/>
          <w:numId w:val="16"/>
        </w:numPr>
        <w:spacing w:before="0" w:line="240" w:lineRule="auto"/>
        <w:ind w:left="1134" w:hanging="425"/>
        <w:rPr>
          <w:rFonts w:ascii="Arial" w:hAnsi="Arial"/>
        </w:rPr>
      </w:pPr>
      <w:r w:rsidRPr="004D407A">
        <w:rPr>
          <w:rFonts w:ascii="Arial" w:hAnsi="Arial"/>
        </w:rPr>
        <w:t xml:space="preserve">EPI Disease reporting is carried out </w:t>
      </w:r>
      <w:r w:rsidR="00B579CC" w:rsidRPr="004D407A">
        <w:rPr>
          <w:rFonts w:ascii="Arial" w:hAnsi="Arial"/>
        </w:rPr>
        <w:t>monthly,</w:t>
      </w:r>
      <w:r w:rsidRPr="004D407A">
        <w:rPr>
          <w:rFonts w:ascii="Arial" w:hAnsi="Arial"/>
        </w:rPr>
        <w:t xml:space="preserve"> as well as MIS information system reporting.</w:t>
      </w:r>
    </w:p>
    <w:p w14:paraId="307FCF64" w14:textId="77777777" w:rsidR="001526E1" w:rsidRPr="004D407A" w:rsidRDefault="001526E1" w:rsidP="00783EEF">
      <w:pPr>
        <w:pStyle w:val="BodyText"/>
        <w:rPr>
          <w:rFonts w:ascii="Arial" w:hAnsi="Arial"/>
        </w:rPr>
      </w:pPr>
      <w:r w:rsidRPr="004D407A">
        <w:rPr>
          <w:rFonts w:ascii="Arial" w:hAnsi="Arial"/>
        </w:rPr>
        <w:t>The following key personnel is involved in AFP and VPD surveillance:</w:t>
      </w:r>
    </w:p>
    <w:p w14:paraId="3243EC52" w14:textId="77777777" w:rsidR="001526E1" w:rsidRPr="004D407A" w:rsidRDefault="001526E1">
      <w:pPr>
        <w:pStyle w:val="BodyText"/>
        <w:numPr>
          <w:ilvl w:val="0"/>
          <w:numId w:val="17"/>
        </w:numPr>
        <w:rPr>
          <w:rFonts w:ascii="Arial" w:hAnsi="Arial"/>
        </w:rPr>
      </w:pPr>
      <w:r w:rsidRPr="004D407A">
        <w:rPr>
          <w:rFonts w:ascii="Arial" w:hAnsi="Arial"/>
          <w:b/>
        </w:rPr>
        <w:t>Disease Surveillance Focal Person (DSFP)</w:t>
      </w:r>
      <w:r w:rsidRPr="004D407A">
        <w:rPr>
          <w:rFonts w:ascii="Arial" w:hAnsi="Arial"/>
        </w:rPr>
        <w:t xml:space="preserve"> is the local health official responsible for disease surveillance activities and serves as key focal point. At the district level, these functions are assigned to the Civil Surgeon (CS), while at the City Corporation and Upazila levels the Chief Health Officer (CHO) of Upazila Health and Family Planning Office is responsible for coordination of surveillance activities. The same functions in Municipalities are assigned to the Municipal Medical Officer (MMO).</w:t>
      </w:r>
      <w:r w:rsidRPr="004D407A">
        <w:rPr>
          <w:rStyle w:val="FootnoteReference"/>
          <w:rFonts w:ascii="Arial" w:hAnsi="Arial"/>
        </w:rPr>
        <w:footnoteReference w:id="44"/>
      </w:r>
      <w:r w:rsidRPr="004D407A">
        <w:rPr>
          <w:rFonts w:ascii="Arial" w:hAnsi="Arial"/>
        </w:rPr>
        <w:t xml:space="preserve"> </w:t>
      </w:r>
    </w:p>
    <w:p w14:paraId="5E343EBB" w14:textId="276CC23E" w:rsidR="001526E1" w:rsidRPr="004D407A" w:rsidRDefault="001526E1">
      <w:pPr>
        <w:pStyle w:val="BodyText"/>
        <w:numPr>
          <w:ilvl w:val="0"/>
          <w:numId w:val="17"/>
        </w:numPr>
        <w:rPr>
          <w:rFonts w:ascii="Arial" w:hAnsi="Arial"/>
        </w:rPr>
      </w:pPr>
      <w:r w:rsidRPr="004D407A">
        <w:rPr>
          <w:rFonts w:ascii="Arial" w:hAnsi="Arial"/>
          <w:b/>
        </w:rPr>
        <w:t>Local Surveillance Officer (LSO)</w:t>
      </w:r>
      <w:r w:rsidRPr="004D407A">
        <w:rPr>
          <w:rFonts w:ascii="Arial" w:hAnsi="Arial"/>
        </w:rPr>
        <w:t xml:space="preserve"> functions include implementation of following surveillance activities: conduct active surveillance, monitor passive surveillance, carry out case/outbreak investigation, ensure sample collection, response and prepare reports for submission to the DSFP. In districts LSO functions are assigned to the Medical Officer Civil Surgeon (MO-CS) while in the City Corporations these functions are performed by Health Officer (HO) and Assistant Health Officer (AHO). At the Upazila level, LSO functions are performed by the Medical Officer Disease Control (MO-DC). The Municipal Medical </w:t>
      </w:r>
      <w:r w:rsidR="00E717CB" w:rsidRPr="004D407A">
        <w:rPr>
          <w:rFonts w:ascii="Arial" w:hAnsi="Arial"/>
        </w:rPr>
        <w:t>Officers</w:t>
      </w:r>
      <w:r w:rsidRPr="004D407A">
        <w:rPr>
          <w:rFonts w:ascii="Arial" w:hAnsi="Arial"/>
        </w:rPr>
        <w:t xml:space="preserve"> are responsible for the LSO functions in some of municipalities of the country.</w:t>
      </w:r>
    </w:p>
    <w:p w14:paraId="15576361" w14:textId="77A35207" w:rsidR="001526E1" w:rsidRPr="004D407A" w:rsidRDefault="001526E1">
      <w:pPr>
        <w:pStyle w:val="BodyText"/>
        <w:numPr>
          <w:ilvl w:val="0"/>
          <w:numId w:val="17"/>
        </w:numPr>
        <w:rPr>
          <w:rFonts w:ascii="Arial" w:hAnsi="Arial"/>
        </w:rPr>
      </w:pPr>
      <w:r w:rsidRPr="004D407A">
        <w:rPr>
          <w:rFonts w:ascii="Arial" w:hAnsi="Arial"/>
          <w:b/>
        </w:rPr>
        <w:t xml:space="preserve">Hospital Surveillance Officer (HSO) </w:t>
      </w:r>
      <w:r w:rsidRPr="004D407A">
        <w:rPr>
          <w:rFonts w:ascii="Arial" w:hAnsi="Arial"/>
        </w:rPr>
        <w:t xml:space="preserve">is responsible for implementation surveillance activities such as: facilitation and coordination of surveillance activities at hospital, </w:t>
      </w:r>
      <w:r w:rsidR="00E717CB" w:rsidRPr="004D407A">
        <w:rPr>
          <w:rFonts w:ascii="Arial" w:hAnsi="Arial"/>
        </w:rPr>
        <w:t>development,</w:t>
      </w:r>
      <w:r w:rsidRPr="004D407A">
        <w:rPr>
          <w:rFonts w:ascii="Arial" w:hAnsi="Arial"/>
        </w:rPr>
        <w:t xml:space="preserve"> and submission of Weekly Reports (routine passive reporting) to DSFP, RMO/RP supporting and monitoring entire process.</w:t>
      </w:r>
      <w:r w:rsidRPr="004D407A">
        <w:rPr>
          <w:rFonts w:ascii="Arial" w:hAnsi="Arial"/>
          <w:vertAlign w:val="superscript"/>
        </w:rPr>
        <w:t>78</w:t>
      </w:r>
    </w:p>
    <w:p w14:paraId="548C32BD" w14:textId="77777777" w:rsidR="001526E1" w:rsidRPr="004D407A" w:rsidRDefault="001526E1">
      <w:pPr>
        <w:pStyle w:val="BodyText"/>
        <w:numPr>
          <w:ilvl w:val="0"/>
          <w:numId w:val="17"/>
        </w:numPr>
      </w:pPr>
      <w:r w:rsidRPr="004D407A">
        <w:rPr>
          <w:rFonts w:ascii="Arial" w:hAnsi="Arial"/>
        </w:rPr>
        <w:t>Surveillance and Immunization Medical Officer is responsible in providing technical and operational support as well as monitoring the entire surveillance and reporting process.</w:t>
      </w:r>
    </w:p>
    <w:p w14:paraId="218366D6" w14:textId="1F9D746C" w:rsidR="001526E1" w:rsidRPr="004D407A" w:rsidRDefault="001526E1" w:rsidP="001526E1">
      <w:pPr>
        <w:pStyle w:val="Caption"/>
        <w:rPr>
          <w:color w:val="auto"/>
        </w:rPr>
      </w:pPr>
      <w:bookmarkStart w:id="171" w:name="_Toc489355887"/>
      <w:bookmarkStart w:id="172" w:name="_Toc489491444"/>
      <w:bookmarkStart w:id="173" w:name="_Toc490750625"/>
      <w:bookmarkStart w:id="174" w:name="_Toc111912755"/>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16</w:t>
      </w:r>
      <w:r w:rsidR="00E21383" w:rsidRPr="004D407A">
        <w:rPr>
          <w:noProof/>
          <w:color w:val="auto"/>
        </w:rPr>
        <w:fldChar w:fldCharType="end"/>
      </w:r>
      <w:r w:rsidRPr="004D407A">
        <w:rPr>
          <w:color w:val="auto"/>
        </w:rPr>
        <w:t>:</w:t>
      </w:r>
      <w:r w:rsidR="0008310C" w:rsidRPr="004D407A">
        <w:rPr>
          <w:color w:val="auto"/>
        </w:rPr>
        <w:t xml:space="preserve"> </w:t>
      </w:r>
      <w:r w:rsidRPr="004D407A">
        <w:rPr>
          <w:color w:val="auto"/>
        </w:rPr>
        <w:t>Surveillance Staff by Administration Level</w:t>
      </w:r>
      <w:bookmarkEnd w:id="171"/>
      <w:bookmarkEnd w:id="172"/>
      <w:bookmarkEnd w:id="173"/>
      <w:bookmarkEnd w:id="174"/>
    </w:p>
    <w:tbl>
      <w:tblPr>
        <w:tblStyle w:val="GridTable4-Accent512"/>
        <w:tblW w:w="5000" w:type="pct"/>
        <w:tblLook w:val="0420" w:firstRow="1" w:lastRow="0" w:firstColumn="0" w:lastColumn="0" w:noHBand="0" w:noVBand="1"/>
      </w:tblPr>
      <w:tblGrid>
        <w:gridCol w:w="3006"/>
        <w:gridCol w:w="2838"/>
        <w:gridCol w:w="3171"/>
      </w:tblGrid>
      <w:tr w:rsidR="004D407A" w:rsidRPr="004D407A" w14:paraId="0952D3A4" w14:textId="77777777" w:rsidTr="00A731B7">
        <w:trPr>
          <w:cnfStyle w:val="100000000000" w:firstRow="1" w:lastRow="0" w:firstColumn="0" w:lastColumn="0" w:oddVBand="0" w:evenVBand="0" w:oddHBand="0" w:evenHBand="0" w:firstRowFirstColumn="0" w:firstRowLastColumn="0" w:lastRowFirstColumn="0" w:lastRowLastColumn="0"/>
        </w:trPr>
        <w:tc>
          <w:tcPr>
            <w:tcW w:w="1667" w:type="pct"/>
            <w:hideMark/>
          </w:tcPr>
          <w:p w14:paraId="490CE1FB" w14:textId="77777777" w:rsidR="001526E1" w:rsidRPr="004D407A" w:rsidRDefault="001526E1" w:rsidP="00E873E5">
            <w:pPr>
              <w:rPr>
                <w:rFonts w:ascii="Calibri" w:hAnsi="Calibri"/>
                <w:bCs w:val="0"/>
                <w:color w:val="auto"/>
              </w:rPr>
            </w:pPr>
            <w:r w:rsidRPr="004D407A">
              <w:rPr>
                <w:rFonts w:ascii="Calibri" w:hAnsi="Calibri"/>
                <w:color w:val="auto"/>
              </w:rPr>
              <w:t>Admin. Level</w:t>
            </w:r>
          </w:p>
        </w:tc>
        <w:tc>
          <w:tcPr>
            <w:tcW w:w="1574" w:type="pct"/>
            <w:hideMark/>
          </w:tcPr>
          <w:p w14:paraId="0E46238B" w14:textId="77777777" w:rsidR="001526E1" w:rsidRPr="004D407A" w:rsidRDefault="001526E1" w:rsidP="00E873E5">
            <w:pPr>
              <w:rPr>
                <w:rFonts w:ascii="Calibri" w:hAnsi="Calibri"/>
                <w:bCs w:val="0"/>
                <w:color w:val="auto"/>
              </w:rPr>
            </w:pPr>
            <w:r w:rsidRPr="004D407A">
              <w:rPr>
                <w:rFonts w:ascii="Calibri" w:hAnsi="Calibri"/>
                <w:color w:val="auto"/>
              </w:rPr>
              <w:t>DSFP</w:t>
            </w:r>
          </w:p>
        </w:tc>
        <w:tc>
          <w:tcPr>
            <w:tcW w:w="1759" w:type="pct"/>
            <w:hideMark/>
          </w:tcPr>
          <w:p w14:paraId="33CE384E" w14:textId="77777777" w:rsidR="001526E1" w:rsidRPr="004D407A" w:rsidRDefault="001526E1" w:rsidP="00E873E5">
            <w:pPr>
              <w:rPr>
                <w:rFonts w:ascii="Calibri" w:hAnsi="Calibri"/>
                <w:bCs w:val="0"/>
                <w:color w:val="auto"/>
              </w:rPr>
            </w:pPr>
            <w:r w:rsidRPr="004D407A">
              <w:rPr>
                <w:rFonts w:ascii="Calibri" w:hAnsi="Calibri"/>
                <w:color w:val="auto"/>
              </w:rPr>
              <w:t>LSO</w:t>
            </w:r>
          </w:p>
        </w:tc>
      </w:tr>
      <w:tr w:rsidR="004D407A" w:rsidRPr="004D407A" w14:paraId="243BDADA" w14:textId="77777777" w:rsidTr="00A731B7">
        <w:trPr>
          <w:cnfStyle w:val="000000100000" w:firstRow="0" w:lastRow="0" w:firstColumn="0" w:lastColumn="0" w:oddVBand="0" w:evenVBand="0" w:oddHBand="1" w:evenHBand="0" w:firstRowFirstColumn="0" w:firstRowLastColumn="0" w:lastRowFirstColumn="0" w:lastRowLastColumn="0"/>
        </w:trPr>
        <w:tc>
          <w:tcPr>
            <w:tcW w:w="1667" w:type="pct"/>
            <w:hideMark/>
          </w:tcPr>
          <w:p w14:paraId="498E031C" w14:textId="77777777" w:rsidR="001526E1" w:rsidRPr="004D407A" w:rsidRDefault="001526E1" w:rsidP="00E873E5">
            <w:pPr>
              <w:rPr>
                <w:rFonts w:ascii="Calibri" w:hAnsi="Calibri"/>
                <w:bCs/>
                <w:sz w:val="20"/>
              </w:rPr>
            </w:pPr>
            <w:r w:rsidRPr="004D407A">
              <w:rPr>
                <w:rFonts w:ascii="Calibri" w:hAnsi="Calibri"/>
                <w:bCs/>
                <w:sz w:val="20"/>
              </w:rPr>
              <w:t>Upazila</w:t>
            </w:r>
          </w:p>
        </w:tc>
        <w:tc>
          <w:tcPr>
            <w:tcW w:w="1574" w:type="pct"/>
            <w:hideMark/>
          </w:tcPr>
          <w:p w14:paraId="681A1C6A" w14:textId="77777777" w:rsidR="001526E1" w:rsidRPr="004D407A" w:rsidRDefault="001526E1" w:rsidP="00E873E5">
            <w:pPr>
              <w:rPr>
                <w:rFonts w:ascii="Calibri" w:hAnsi="Calibri"/>
                <w:bCs/>
                <w:sz w:val="20"/>
              </w:rPr>
            </w:pPr>
            <w:r w:rsidRPr="004D407A">
              <w:rPr>
                <w:rFonts w:ascii="Calibri" w:hAnsi="Calibri"/>
                <w:bCs/>
                <w:sz w:val="20"/>
              </w:rPr>
              <w:t>UH&amp;FPO</w:t>
            </w:r>
          </w:p>
        </w:tc>
        <w:tc>
          <w:tcPr>
            <w:tcW w:w="1759" w:type="pct"/>
            <w:hideMark/>
          </w:tcPr>
          <w:p w14:paraId="4CC10724" w14:textId="77777777" w:rsidR="001526E1" w:rsidRPr="004D407A" w:rsidRDefault="001526E1" w:rsidP="00E873E5">
            <w:pPr>
              <w:rPr>
                <w:rFonts w:ascii="Calibri" w:hAnsi="Calibri"/>
                <w:bCs/>
                <w:sz w:val="20"/>
              </w:rPr>
            </w:pPr>
            <w:r w:rsidRPr="004D407A">
              <w:rPr>
                <w:rFonts w:ascii="Calibri" w:hAnsi="Calibri"/>
                <w:bCs/>
                <w:sz w:val="20"/>
              </w:rPr>
              <w:t>MO-DC</w:t>
            </w:r>
          </w:p>
        </w:tc>
      </w:tr>
      <w:tr w:rsidR="004D407A" w:rsidRPr="004D407A" w14:paraId="583FD5F2" w14:textId="77777777" w:rsidTr="00A731B7">
        <w:tc>
          <w:tcPr>
            <w:tcW w:w="1667" w:type="pct"/>
            <w:hideMark/>
          </w:tcPr>
          <w:p w14:paraId="2747B0D1" w14:textId="77777777" w:rsidR="001526E1" w:rsidRPr="004D407A" w:rsidRDefault="001526E1" w:rsidP="00E873E5">
            <w:pPr>
              <w:rPr>
                <w:rFonts w:ascii="Calibri" w:hAnsi="Calibri"/>
                <w:bCs/>
                <w:sz w:val="20"/>
              </w:rPr>
            </w:pPr>
            <w:r w:rsidRPr="004D407A">
              <w:rPr>
                <w:rFonts w:ascii="Calibri" w:hAnsi="Calibri"/>
                <w:bCs/>
                <w:sz w:val="20"/>
              </w:rPr>
              <w:t xml:space="preserve">City Corporation </w:t>
            </w:r>
          </w:p>
        </w:tc>
        <w:tc>
          <w:tcPr>
            <w:tcW w:w="1574" w:type="pct"/>
            <w:hideMark/>
          </w:tcPr>
          <w:p w14:paraId="045710AE" w14:textId="77777777" w:rsidR="001526E1" w:rsidRPr="004D407A" w:rsidRDefault="001526E1" w:rsidP="00E873E5">
            <w:pPr>
              <w:rPr>
                <w:rFonts w:ascii="Calibri" w:hAnsi="Calibri"/>
                <w:bCs/>
                <w:sz w:val="20"/>
              </w:rPr>
            </w:pPr>
            <w:r w:rsidRPr="004D407A">
              <w:rPr>
                <w:rFonts w:ascii="Calibri" w:hAnsi="Calibri"/>
                <w:bCs/>
                <w:sz w:val="20"/>
              </w:rPr>
              <w:t>Chief Health Officer (CHO)</w:t>
            </w:r>
          </w:p>
        </w:tc>
        <w:tc>
          <w:tcPr>
            <w:tcW w:w="1759" w:type="pct"/>
            <w:hideMark/>
          </w:tcPr>
          <w:p w14:paraId="1B279305" w14:textId="77777777" w:rsidR="001526E1" w:rsidRPr="004D407A" w:rsidRDefault="001526E1" w:rsidP="00E873E5">
            <w:pPr>
              <w:rPr>
                <w:rFonts w:ascii="Calibri" w:hAnsi="Calibri"/>
                <w:bCs/>
                <w:sz w:val="20"/>
              </w:rPr>
            </w:pPr>
            <w:r w:rsidRPr="004D407A">
              <w:rPr>
                <w:rFonts w:ascii="Calibri" w:hAnsi="Calibri"/>
                <w:bCs/>
                <w:sz w:val="20"/>
              </w:rPr>
              <w:t>AHO)/Health Officer (HO)/ EPI-MO</w:t>
            </w:r>
          </w:p>
        </w:tc>
      </w:tr>
      <w:tr w:rsidR="004D407A" w:rsidRPr="004D407A" w14:paraId="53B8E787" w14:textId="77777777" w:rsidTr="00A731B7">
        <w:trPr>
          <w:cnfStyle w:val="000000100000" w:firstRow="0" w:lastRow="0" w:firstColumn="0" w:lastColumn="0" w:oddVBand="0" w:evenVBand="0" w:oddHBand="1" w:evenHBand="0" w:firstRowFirstColumn="0" w:firstRowLastColumn="0" w:lastRowFirstColumn="0" w:lastRowLastColumn="0"/>
        </w:trPr>
        <w:tc>
          <w:tcPr>
            <w:tcW w:w="1667" w:type="pct"/>
            <w:hideMark/>
          </w:tcPr>
          <w:p w14:paraId="23FF886C" w14:textId="77777777" w:rsidR="001526E1" w:rsidRPr="004D407A" w:rsidRDefault="001526E1" w:rsidP="00E873E5">
            <w:pPr>
              <w:rPr>
                <w:rFonts w:ascii="Calibri" w:hAnsi="Calibri"/>
                <w:bCs/>
                <w:sz w:val="20"/>
              </w:rPr>
            </w:pPr>
            <w:r w:rsidRPr="004D407A">
              <w:rPr>
                <w:rFonts w:ascii="Calibri" w:hAnsi="Calibri"/>
                <w:bCs/>
                <w:sz w:val="20"/>
              </w:rPr>
              <w:t xml:space="preserve">Municipalities with MO </w:t>
            </w:r>
          </w:p>
        </w:tc>
        <w:tc>
          <w:tcPr>
            <w:tcW w:w="1574" w:type="pct"/>
            <w:hideMark/>
          </w:tcPr>
          <w:p w14:paraId="1D21531B" w14:textId="77777777" w:rsidR="001526E1" w:rsidRPr="004D407A" w:rsidRDefault="001526E1" w:rsidP="00E873E5">
            <w:pPr>
              <w:rPr>
                <w:rFonts w:ascii="Calibri" w:hAnsi="Calibri"/>
                <w:bCs/>
                <w:sz w:val="20"/>
              </w:rPr>
            </w:pPr>
            <w:r w:rsidRPr="004D407A">
              <w:rPr>
                <w:rFonts w:ascii="Calibri" w:hAnsi="Calibri"/>
                <w:bCs/>
                <w:sz w:val="20"/>
              </w:rPr>
              <w:t>Municipal Medical Officer (MMO)</w:t>
            </w:r>
          </w:p>
        </w:tc>
        <w:tc>
          <w:tcPr>
            <w:tcW w:w="1759" w:type="pct"/>
            <w:hideMark/>
          </w:tcPr>
          <w:p w14:paraId="227DEB4F" w14:textId="77777777" w:rsidR="001526E1" w:rsidRPr="004D407A" w:rsidRDefault="001526E1" w:rsidP="00E873E5">
            <w:pPr>
              <w:rPr>
                <w:rFonts w:ascii="Calibri" w:hAnsi="Calibri"/>
                <w:bCs/>
                <w:sz w:val="20"/>
              </w:rPr>
            </w:pPr>
            <w:r w:rsidRPr="004D407A">
              <w:rPr>
                <w:rFonts w:ascii="Calibri" w:hAnsi="Calibri"/>
                <w:bCs/>
                <w:sz w:val="20"/>
              </w:rPr>
              <w:t>Municipal Medical Officer (MMO)</w:t>
            </w:r>
          </w:p>
        </w:tc>
      </w:tr>
      <w:tr w:rsidR="004D407A" w:rsidRPr="004D407A" w14:paraId="426C2544" w14:textId="77777777" w:rsidTr="00A731B7">
        <w:tc>
          <w:tcPr>
            <w:tcW w:w="1667" w:type="pct"/>
            <w:hideMark/>
          </w:tcPr>
          <w:p w14:paraId="7796F7DD" w14:textId="77777777" w:rsidR="001526E1" w:rsidRPr="004D407A" w:rsidRDefault="001526E1" w:rsidP="00E873E5">
            <w:pPr>
              <w:rPr>
                <w:rFonts w:ascii="Calibri" w:hAnsi="Calibri"/>
                <w:bCs/>
                <w:sz w:val="20"/>
              </w:rPr>
            </w:pPr>
            <w:r w:rsidRPr="004D407A">
              <w:rPr>
                <w:rFonts w:ascii="Calibri" w:hAnsi="Calibri"/>
                <w:bCs/>
                <w:sz w:val="20"/>
              </w:rPr>
              <w:t>District (including district without MMO)</w:t>
            </w:r>
          </w:p>
        </w:tc>
        <w:tc>
          <w:tcPr>
            <w:tcW w:w="1574" w:type="pct"/>
            <w:hideMark/>
          </w:tcPr>
          <w:p w14:paraId="75AFC09C" w14:textId="77777777" w:rsidR="001526E1" w:rsidRPr="004D407A" w:rsidRDefault="001526E1" w:rsidP="00E873E5">
            <w:pPr>
              <w:rPr>
                <w:rFonts w:ascii="Calibri" w:hAnsi="Calibri"/>
                <w:bCs/>
                <w:sz w:val="20"/>
              </w:rPr>
            </w:pPr>
            <w:r w:rsidRPr="004D407A">
              <w:rPr>
                <w:rFonts w:ascii="Calibri" w:hAnsi="Calibri"/>
                <w:bCs/>
                <w:sz w:val="20"/>
              </w:rPr>
              <w:t>Civil Surgeon</w:t>
            </w:r>
          </w:p>
        </w:tc>
        <w:tc>
          <w:tcPr>
            <w:tcW w:w="1759" w:type="pct"/>
            <w:hideMark/>
          </w:tcPr>
          <w:p w14:paraId="727D0D17" w14:textId="77777777" w:rsidR="001526E1" w:rsidRPr="004D407A" w:rsidRDefault="001526E1" w:rsidP="00E873E5">
            <w:pPr>
              <w:rPr>
                <w:rFonts w:ascii="Calibri" w:hAnsi="Calibri"/>
                <w:bCs/>
                <w:sz w:val="20"/>
              </w:rPr>
            </w:pPr>
            <w:r w:rsidRPr="004D407A">
              <w:rPr>
                <w:rFonts w:ascii="Calibri" w:hAnsi="Calibri"/>
                <w:bCs/>
                <w:sz w:val="20"/>
              </w:rPr>
              <w:t>MO-CS or as designated by local health authority</w:t>
            </w:r>
          </w:p>
        </w:tc>
      </w:tr>
    </w:tbl>
    <w:p w14:paraId="49DE698F" w14:textId="629AC013" w:rsidR="001526E1" w:rsidRPr="004D407A" w:rsidRDefault="001526E1" w:rsidP="001526E1">
      <w:pPr>
        <w:pStyle w:val="BodyText"/>
        <w:rPr>
          <w:rFonts w:ascii="Arial" w:hAnsi="Arial"/>
        </w:rPr>
      </w:pPr>
      <w:r w:rsidRPr="004D407A">
        <w:rPr>
          <w:rFonts w:ascii="Arial" w:hAnsi="Arial"/>
        </w:rPr>
        <w:t>The reporting forms are completed at all levels. Surveillance</w:t>
      </w:r>
      <w:r w:rsidR="00C30BDE" w:rsidRPr="004D407A">
        <w:rPr>
          <w:rFonts w:ascii="Arial" w:hAnsi="Arial"/>
        </w:rPr>
        <w:t xml:space="preserve"> and Immunization</w:t>
      </w:r>
      <w:r w:rsidRPr="004D407A">
        <w:rPr>
          <w:rFonts w:ascii="Arial" w:hAnsi="Arial"/>
        </w:rPr>
        <w:t xml:space="preserve"> Medical Officers (S</w:t>
      </w:r>
      <w:r w:rsidR="00C30BDE" w:rsidRPr="004D407A">
        <w:rPr>
          <w:rFonts w:ascii="Arial" w:hAnsi="Arial"/>
        </w:rPr>
        <w:t>I</w:t>
      </w:r>
      <w:r w:rsidRPr="004D407A">
        <w:rPr>
          <w:rFonts w:ascii="Arial" w:hAnsi="Arial"/>
        </w:rPr>
        <w:t xml:space="preserve">MO) conduct active surveillance. Supervision for surveillance activities is sufficient in most reporting </w:t>
      </w:r>
      <w:r w:rsidR="00E717CB" w:rsidRPr="004D407A">
        <w:rPr>
          <w:rFonts w:ascii="Arial" w:hAnsi="Arial"/>
        </w:rPr>
        <w:t>centers</w:t>
      </w:r>
      <w:r w:rsidRPr="004D407A">
        <w:rPr>
          <w:rFonts w:ascii="Arial" w:hAnsi="Arial"/>
        </w:rPr>
        <w:t xml:space="preserve"> and AFP is well established. Specific performance indicators are monitored on a regular basis. Public health staff is motivated and well trained and aware about AFP notification and investigation procedures at all levels. Laboratory surveillance is well linked to the field surveillance with timely collection and transportation of stool samples to the national laboratory. The national Laboratory has been accredited over the years and reports are sent to the national </w:t>
      </w:r>
      <w:proofErr w:type="spellStart"/>
      <w:r w:rsidRPr="004D407A">
        <w:rPr>
          <w:rFonts w:ascii="Arial" w:hAnsi="Arial"/>
        </w:rPr>
        <w:t>programme</w:t>
      </w:r>
      <w:proofErr w:type="spellEnd"/>
      <w:r w:rsidRPr="004D407A">
        <w:rPr>
          <w:rFonts w:ascii="Arial" w:hAnsi="Arial"/>
        </w:rPr>
        <w:t xml:space="preserve"> on time. Surveillance system is depending on Surveillance Medical Officers recruited by WHO, who are providing technical support since 1999. The government has a good structure for AFP surveillance to be implemented by local surveillance </w:t>
      </w:r>
      <w:r w:rsidRPr="004D407A">
        <w:rPr>
          <w:rFonts w:ascii="Arial" w:hAnsi="Arial"/>
        </w:rPr>
        <w:lastRenderedPageBreak/>
        <w:t xml:space="preserve">officer and guided by Disease Surveillance Focal Persons. At present, however, the structure is not fully </w:t>
      </w:r>
      <w:r w:rsidR="00E717CB" w:rsidRPr="004D407A">
        <w:rPr>
          <w:rFonts w:ascii="Arial" w:hAnsi="Arial"/>
        </w:rPr>
        <w:t>functional,</w:t>
      </w:r>
      <w:r w:rsidRPr="004D407A">
        <w:rPr>
          <w:rFonts w:ascii="Arial" w:hAnsi="Arial"/>
        </w:rPr>
        <w:t xml:space="preserve"> and its utilization is not fully explored.</w:t>
      </w:r>
    </w:p>
    <w:p w14:paraId="74847434" w14:textId="12914669" w:rsidR="001526E1" w:rsidRPr="004D407A" w:rsidRDefault="001526E1" w:rsidP="001526E1">
      <w:pPr>
        <w:pStyle w:val="Caption"/>
        <w:rPr>
          <w:color w:val="auto"/>
          <w:lang w:val="fr-CH"/>
        </w:rPr>
      </w:pPr>
      <w:bookmarkStart w:id="175" w:name="_Toc489355888"/>
      <w:bookmarkStart w:id="176" w:name="_Toc489491445"/>
      <w:bookmarkStart w:id="177" w:name="_Toc490750626"/>
      <w:bookmarkStart w:id="178" w:name="_Toc111912756"/>
      <w:r w:rsidRPr="004D407A">
        <w:rPr>
          <w:color w:val="auto"/>
          <w:lang w:val="fr-CH"/>
        </w:rPr>
        <w:t xml:space="preserve">Figure </w:t>
      </w:r>
      <w:r w:rsidR="007502DD" w:rsidRPr="004D407A">
        <w:rPr>
          <w:color w:val="auto"/>
        </w:rPr>
        <w:fldChar w:fldCharType="begin"/>
      </w:r>
      <w:r w:rsidR="007502DD" w:rsidRPr="004D407A">
        <w:rPr>
          <w:color w:val="auto"/>
          <w:lang w:val="fr-CH"/>
        </w:rPr>
        <w:instrText xml:space="preserve"> SEQ Figure \* ARABIC </w:instrText>
      </w:r>
      <w:r w:rsidR="007502DD" w:rsidRPr="004D407A">
        <w:rPr>
          <w:color w:val="auto"/>
        </w:rPr>
        <w:fldChar w:fldCharType="separate"/>
      </w:r>
      <w:r w:rsidR="00D80429" w:rsidRPr="004D407A">
        <w:rPr>
          <w:noProof/>
          <w:color w:val="auto"/>
          <w:lang w:val="fr-CH"/>
        </w:rPr>
        <w:t>17</w:t>
      </w:r>
      <w:r w:rsidR="007502DD" w:rsidRPr="004D407A">
        <w:rPr>
          <w:noProof/>
          <w:color w:val="auto"/>
        </w:rPr>
        <w:fldChar w:fldCharType="end"/>
      </w:r>
      <w:r w:rsidRPr="004D407A">
        <w:rPr>
          <w:color w:val="auto"/>
          <w:lang w:val="fr-CH"/>
        </w:rPr>
        <w:t>:</w:t>
      </w:r>
      <w:r w:rsidR="0008310C" w:rsidRPr="004D407A">
        <w:rPr>
          <w:color w:val="auto"/>
          <w:lang w:val="fr-CH"/>
        </w:rPr>
        <w:t xml:space="preserve"> </w:t>
      </w:r>
      <w:r w:rsidRPr="004D407A">
        <w:rPr>
          <w:color w:val="auto"/>
          <w:lang w:val="fr-CH"/>
        </w:rPr>
        <w:t xml:space="preserve">AFP Surveillance Performance </w:t>
      </w:r>
      <w:r w:rsidR="00ED2596" w:rsidRPr="004D407A">
        <w:rPr>
          <w:color w:val="auto"/>
          <w:lang w:val="fr-CH"/>
        </w:rPr>
        <w:t>Indicator</w:t>
      </w:r>
      <w:r w:rsidRPr="004D407A">
        <w:rPr>
          <w:color w:val="auto"/>
          <w:lang w:val="fr-CH"/>
        </w:rPr>
        <w:t>, 2011-20</w:t>
      </w:r>
      <w:bookmarkEnd w:id="175"/>
      <w:bookmarkEnd w:id="176"/>
      <w:bookmarkEnd w:id="177"/>
      <w:r w:rsidR="001477F1" w:rsidRPr="004D407A">
        <w:rPr>
          <w:color w:val="auto"/>
          <w:lang w:val="fr-CH"/>
        </w:rPr>
        <w:t>21</w:t>
      </w:r>
      <w:bookmarkEnd w:id="178"/>
    </w:p>
    <w:p w14:paraId="763BA8D3" w14:textId="4A66C83F" w:rsidR="00F831EF" w:rsidRPr="004D407A" w:rsidRDefault="00F831EF" w:rsidP="00F831EF">
      <w:pPr>
        <w:spacing w:after="0" w:line="240" w:lineRule="auto"/>
        <w:rPr>
          <w:lang w:val="fr-CH"/>
        </w:rPr>
      </w:pPr>
      <w:r w:rsidRPr="004D407A">
        <w:rPr>
          <w:noProof/>
        </w:rPr>
        <w:drawing>
          <wp:inline distT="0" distB="0" distL="0" distR="0" wp14:anchorId="641CF9C4" wp14:editId="59121F53">
            <wp:extent cx="5257838" cy="1628787"/>
            <wp:effectExtent l="0" t="0" r="0" b="952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4"/>
                    <a:stretch>
                      <a:fillRect/>
                    </a:stretch>
                  </pic:blipFill>
                  <pic:spPr>
                    <a:xfrm>
                      <a:off x="0" y="0"/>
                      <a:ext cx="5257838" cy="1628787"/>
                    </a:xfrm>
                    <a:prstGeom prst="rect">
                      <a:avLst/>
                    </a:prstGeom>
                  </pic:spPr>
                </pic:pic>
              </a:graphicData>
            </a:graphic>
          </wp:inline>
        </w:drawing>
      </w:r>
    </w:p>
    <w:p w14:paraId="7C3B2C55" w14:textId="77777777" w:rsidR="001526E1" w:rsidRPr="004D407A" w:rsidRDefault="001526E1" w:rsidP="001526E1">
      <w:pPr>
        <w:pStyle w:val="mySource"/>
        <w:spacing w:after="0"/>
        <w:rPr>
          <w:color w:val="auto"/>
        </w:rPr>
      </w:pPr>
      <w:r w:rsidRPr="004D407A">
        <w:rPr>
          <w:color w:val="auto"/>
        </w:rPr>
        <w:t>Source, EPI Fact Sheet 2017</w:t>
      </w:r>
    </w:p>
    <w:p w14:paraId="0520BB2F" w14:textId="77777777" w:rsidR="001526E1" w:rsidRPr="004D407A" w:rsidRDefault="001526E1" w:rsidP="001526E1">
      <w:pPr>
        <w:pStyle w:val="myHeading1"/>
        <w:rPr>
          <w:color w:val="auto"/>
        </w:rPr>
      </w:pPr>
      <w:r w:rsidRPr="004D407A">
        <w:rPr>
          <w:color w:val="auto"/>
        </w:rPr>
        <w:t>Measles surveillance</w:t>
      </w:r>
    </w:p>
    <w:p w14:paraId="53B9A8C1" w14:textId="77777777" w:rsidR="001526E1" w:rsidRPr="004D407A" w:rsidRDefault="001526E1" w:rsidP="001526E1">
      <w:pPr>
        <w:pStyle w:val="BodyText"/>
        <w:rPr>
          <w:rFonts w:ascii="Arial" w:hAnsi="Arial"/>
        </w:rPr>
      </w:pPr>
      <w:r w:rsidRPr="004D407A">
        <w:rPr>
          <w:rFonts w:ascii="Arial" w:hAnsi="Arial"/>
        </w:rPr>
        <w:t xml:space="preserve">Bangladesh has made significant progress in measles control. Measles surveillance is fully integrated with AFP and other VPDs surveillance. All activities of measles case-based surveillance (case identification, reporting, investigation, and specimen collection) are conducted by staff at health facilities indicating a step forward towards developing a sustainable surveillance system. </w:t>
      </w:r>
    </w:p>
    <w:p w14:paraId="148BD42D" w14:textId="77777777" w:rsidR="001526E1" w:rsidRPr="004D407A" w:rsidRDefault="001526E1" w:rsidP="001526E1">
      <w:pPr>
        <w:pStyle w:val="myHeading1"/>
        <w:rPr>
          <w:color w:val="auto"/>
        </w:rPr>
      </w:pPr>
      <w:r w:rsidRPr="004D407A">
        <w:rPr>
          <w:color w:val="auto"/>
        </w:rPr>
        <w:t>Neonatal tetanus surveillance</w:t>
      </w:r>
    </w:p>
    <w:p w14:paraId="53577094" w14:textId="65DF92F0" w:rsidR="001526E1" w:rsidRPr="004D407A" w:rsidRDefault="001526E1" w:rsidP="001526E1">
      <w:pPr>
        <w:pStyle w:val="BodyText"/>
        <w:rPr>
          <w:rFonts w:ascii="Arial" w:hAnsi="Arial"/>
        </w:rPr>
      </w:pPr>
      <w:r w:rsidRPr="004D407A">
        <w:rPr>
          <w:rFonts w:ascii="Arial" w:hAnsi="Arial"/>
        </w:rPr>
        <w:t>Active surveillance for neonatal tetanus is also carried out by S</w:t>
      </w:r>
      <w:r w:rsidR="002062E2" w:rsidRPr="004D407A">
        <w:rPr>
          <w:rFonts w:ascii="Arial" w:hAnsi="Arial"/>
        </w:rPr>
        <w:t>I</w:t>
      </w:r>
      <w:r w:rsidRPr="004D407A">
        <w:rPr>
          <w:rFonts w:ascii="Arial" w:hAnsi="Arial"/>
        </w:rPr>
        <w:t xml:space="preserve">MOs/LSOs. The country has a successful MNT elimination </w:t>
      </w:r>
      <w:proofErr w:type="spellStart"/>
      <w:r w:rsidRPr="004D407A">
        <w:rPr>
          <w:rFonts w:ascii="Arial" w:hAnsi="Arial"/>
        </w:rPr>
        <w:t>programme</w:t>
      </w:r>
      <w:proofErr w:type="spellEnd"/>
      <w:r w:rsidR="00B10025" w:rsidRPr="004D407A">
        <w:rPr>
          <w:rFonts w:ascii="Arial" w:hAnsi="Arial"/>
        </w:rPr>
        <w:t xml:space="preserve"> and was validated for elimination </w:t>
      </w:r>
      <w:r w:rsidR="00E717CB" w:rsidRPr="004D407A">
        <w:rPr>
          <w:rFonts w:ascii="Arial" w:hAnsi="Arial"/>
        </w:rPr>
        <w:t>of maternal</w:t>
      </w:r>
      <w:r w:rsidRPr="004D407A">
        <w:rPr>
          <w:rFonts w:ascii="Arial" w:hAnsi="Arial"/>
        </w:rPr>
        <w:t xml:space="preserve"> and neonatal tetanus </w:t>
      </w:r>
      <w:r w:rsidR="00B10025" w:rsidRPr="004D407A">
        <w:rPr>
          <w:rFonts w:ascii="Arial" w:hAnsi="Arial"/>
        </w:rPr>
        <w:t>in 2008.</w:t>
      </w:r>
      <w:r w:rsidRPr="004D407A">
        <w:rPr>
          <w:rFonts w:ascii="Arial" w:hAnsi="Arial"/>
        </w:rPr>
        <w:t xml:space="preserve"> </w:t>
      </w:r>
      <w:r w:rsidR="002A3300" w:rsidRPr="004D407A">
        <w:rPr>
          <w:rFonts w:ascii="Arial" w:hAnsi="Arial"/>
        </w:rPr>
        <w:t>S</w:t>
      </w:r>
      <w:r w:rsidR="00FF1103" w:rsidRPr="004D407A">
        <w:rPr>
          <w:rFonts w:ascii="Arial" w:hAnsi="Arial"/>
        </w:rPr>
        <w:t>urveillance will continue at required quality levels to complete eradication of tetanus</w:t>
      </w:r>
      <w:r w:rsidR="002A3300" w:rsidRPr="004D407A">
        <w:rPr>
          <w:rFonts w:ascii="Arial" w:hAnsi="Arial"/>
        </w:rPr>
        <w:t>, finding and detection of the NT cases</w:t>
      </w:r>
      <w:r w:rsidR="00FF1103" w:rsidRPr="004D407A">
        <w:rPr>
          <w:rFonts w:ascii="Arial" w:hAnsi="Arial"/>
        </w:rPr>
        <w:t xml:space="preserve"> through sensitive and reliable surveillance</w:t>
      </w:r>
      <w:r w:rsidR="002A3300" w:rsidRPr="004D407A">
        <w:rPr>
          <w:rFonts w:ascii="Arial" w:hAnsi="Arial"/>
        </w:rPr>
        <w:t xml:space="preserve"> system </w:t>
      </w:r>
      <w:r w:rsidR="00FF1103" w:rsidRPr="004D407A">
        <w:rPr>
          <w:rFonts w:ascii="Arial" w:hAnsi="Arial"/>
        </w:rPr>
        <w:t xml:space="preserve">to implement corrective measures and prevent further cases. </w:t>
      </w:r>
    </w:p>
    <w:p w14:paraId="5C86BA60" w14:textId="77777777" w:rsidR="001526E1" w:rsidRPr="004D407A" w:rsidRDefault="001526E1" w:rsidP="001526E1">
      <w:pPr>
        <w:pStyle w:val="myHeading1"/>
        <w:rPr>
          <w:color w:val="auto"/>
        </w:rPr>
      </w:pPr>
      <w:r w:rsidRPr="004D407A">
        <w:rPr>
          <w:color w:val="auto"/>
        </w:rPr>
        <w:t>AEFI Surveillance</w:t>
      </w:r>
    </w:p>
    <w:p w14:paraId="37A8E232" w14:textId="7294EBF9" w:rsidR="001526E1" w:rsidRPr="004D407A" w:rsidRDefault="001526E1" w:rsidP="001526E1">
      <w:pPr>
        <w:pStyle w:val="BodyText"/>
        <w:rPr>
          <w:rFonts w:ascii="Arial" w:hAnsi="Arial"/>
        </w:rPr>
      </w:pPr>
      <w:r w:rsidRPr="004D407A">
        <w:rPr>
          <w:rFonts w:ascii="Arial" w:hAnsi="Arial"/>
        </w:rPr>
        <w:t>Bangladesh has a well-established system for Adverse Events Following Immunization (AEFI) surveillance. As vaccine coverage increases over the time, and new vaccines being introduced, reports on AEFI also increases</w:t>
      </w:r>
      <w:r w:rsidR="00A42BC1" w:rsidRPr="004D407A">
        <w:rPr>
          <w:rFonts w:ascii="Arial" w:hAnsi="Arial"/>
        </w:rPr>
        <w:t xml:space="preserve">. </w:t>
      </w:r>
      <w:r w:rsidR="00B11B53" w:rsidRPr="004D407A">
        <w:rPr>
          <w:rFonts w:ascii="Arial" w:hAnsi="Arial"/>
        </w:rPr>
        <w:t>Rapid and effective response to any serious AEFI is pivotal to boost the confidence in the administered vaccine and prevent negative impacts on the immunization coverage and the incidence of the diseases targeted by the vaccine</w:t>
      </w:r>
      <w:r w:rsidRPr="004D407A">
        <w:rPr>
          <w:rFonts w:ascii="Arial" w:hAnsi="Arial"/>
        </w:rPr>
        <w:t xml:space="preserve">. </w:t>
      </w:r>
    </w:p>
    <w:p w14:paraId="7D6A1046" w14:textId="570BBEAE" w:rsidR="00F33FDC" w:rsidRPr="004D407A" w:rsidRDefault="001526E1" w:rsidP="001203F0">
      <w:pPr>
        <w:pStyle w:val="BodyText"/>
        <w:rPr>
          <w:rFonts w:ascii="Arial" w:hAnsi="Arial"/>
        </w:rPr>
      </w:pPr>
      <w:r w:rsidRPr="004D407A">
        <w:rPr>
          <w:rFonts w:ascii="Arial" w:hAnsi="Arial"/>
        </w:rPr>
        <w:t xml:space="preserve">AEFI management guidelines and reporting forms </w:t>
      </w:r>
      <w:r w:rsidR="001203F0" w:rsidRPr="004D407A">
        <w:rPr>
          <w:rFonts w:ascii="Arial" w:hAnsi="Arial"/>
        </w:rPr>
        <w:t>are</w:t>
      </w:r>
      <w:r w:rsidRPr="004D407A">
        <w:rPr>
          <w:rFonts w:ascii="Arial" w:hAnsi="Arial"/>
        </w:rPr>
        <w:t xml:space="preserve"> available at all facilities and HCWs respectively. HCWs knowledge on AEFI appears to be adequate and they </w:t>
      </w:r>
      <w:r w:rsidR="001203F0" w:rsidRPr="004D407A">
        <w:rPr>
          <w:rFonts w:ascii="Arial" w:hAnsi="Arial"/>
        </w:rPr>
        <w:t>know</w:t>
      </w:r>
      <w:r w:rsidRPr="004D407A">
        <w:rPr>
          <w:rFonts w:ascii="Arial" w:hAnsi="Arial"/>
        </w:rPr>
        <w:t xml:space="preserve"> how to report and refer AEFI cases.</w:t>
      </w:r>
    </w:p>
    <w:p w14:paraId="68FF3B6C" w14:textId="3B80126F" w:rsidR="00F33FDC" w:rsidRPr="004D407A" w:rsidRDefault="001203F0" w:rsidP="00E05479">
      <w:pPr>
        <w:pStyle w:val="BodyText"/>
        <w:rPr>
          <w:rFonts w:ascii="Arial" w:hAnsi="Arial"/>
        </w:rPr>
      </w:pPr>
      <w:r w:rsidRPr="004D407A">
        <w:rPr>
          <w:rFonts w:ascii="Arial" w:hAnsi="Arial"/>
        </w:rPr>
        <w:t xml:space="preserve">During the Post-Introduction Evaluation of </w:t>
      </w:r>
      <w:r w:rsidR="00B11B53" w:rsidRPr="004D407A">
        <w:rPr>
          <w:rFonts w:ascii="Arial" w:hAnsi="Arial"/>
        </w:rPr>
        <w:t>PCV/IPV</w:t>
      </w:r>
      <w:r w:rsidRPr="004D407A">
        <w:rPr>
          <w:rFonts w:ascii="Arial" w:hAnsi="Arial"/>
        </w:rPr>
        <w:t xml:space="preserve"> introduction the evaluation </w:t>
      </w:r>
      <w:r w:rsidR="00B11B53" w:rsidRPr="004D407A">
        <w:rPr>
          <w:rFonts w:ascii="Arial" w:hAnsi="Arial"/>
        </w:rPr>
        <w:t xml:space="preserve">team assessed the AEFI monitoring and reporting in Bangladesh in the context of </w:t>
      </w:r>
      <w:r w:rsidR="00222459" w:rsidRPr="004D407A">
        <w:rPr>
          <w:rFonts w:ascii="Arial" w:hAnsi="Arial"/>
        </w:rPr>
        <w:t xml:space="preserve">new vaccine </w:t>
      </w:r>
      <w:r w:rsidR="00B11B53" w:rsidRPr="004D407A">
        <w:rPr>
          <w:rFonts w:ascii="Arial" w:hAnsi="Arial"/>
        </w:rPr>
        <w:t>introduction. The assessment results highlighted</w:t>
      </w:r>
      <w:r w:rsidR="00964147" w:rsidRPr="004D407A">
        <w:rPr>
          <w:rFonts w:ascii="Arial" w:hAnsi="Arial"/>
        </w:rPr>
        <w:t xml:space="preserve"> most critical problems in terms of AEFI reporting. Particularly, these problems were related to the inability of </w:t>
      </w:r>
      <w:r w:rsidR="00B11B53" w:rsidRPr="004D407A">
        <w:rPr>
          <w:rFonts w:ascii="Arial" w:hAnsi="Arial"/>
        </w:rPr>
        <w:t>NGO staff providing immunization services in the urban areas</w:t>
      </w:r>
      <w:r w:rsidR="00964147" w:rsidRPr="004D407A">
        <w:rPr>
          <w:rFonts w:ascii="Arial" w:hAnsi="Arial"/>
        </w:rPr>
        <w:t xml:space="preserve"> to perform basic activities related to the AEFI, absence of supportive supervision </w:t>
      </w:r>
      <w:proofErr w:type="gramStart"/>
      <w:r w:rsidR="00964147" w:rsidRPr="004D407A">
        <w:rPr>
          <w:rFonts w:ascii="Arial" w:hAnsi="Arial"/>
        </w:rPr>
        <w:t>and etc.</w:t>
      </w:r>
      <w:proofErr w:type="gramEnd"/>
      <w:r w:rsidR="00964147" w:rsidRPr="004D407A">
        <w:rPr>
          <w:rFonts w:ascii="Arial" w:hAnsi="Arial"/>
        </w:rPr>
        <w:t xml:space="preserve">, which was indicating essential need for </w:t>
      </w:r>
      <w:r w:rsidR="00B11B53" w:rsidRPr="004D407A">
        <w:rPr>
          <w:rFonts w:ascii="Arial" w:hAnsi="Arial"/>
        </w:rPr>
        <w:t>enhancing the capacity of NGO managers of middle-level managerial skills (management, coordination and supervision)</w:t>
      </w:r>
      <w:r w:rsidR="00964147" w:rsidRPr="004D407A">
        <w:rPr>
          <w:rFonts w:ascii="Arial" w:hAnsi="Arial"/>
        </w:rPr>
        <w:t xml:space="preserve">, as well as critical need </w:t>
      </w:r>
      <w:r w:rsidR="00B11B53" w:rsidRPr="004D407A">
        <w:rPr>
          <w:rFonts w:ascii="Arial" w:hAnsi="Arial"/>
        </w:rPr>
        <w:t>for training of vaccinators employed by NGOs in immunization practices and reporting.</w:t>
      </w:r>
      <w:bookmarkEnd w:id="164"/>
    </w:p>
    <w:p w14:paraId="229790F4" w14:textId="70254E17" w:rsidR="00193878" w:rsidRPr="004D407A" w:rsidRDefault="00193878" w:rsidP="00193878">
      <w:pPr>
        <w:pStyle w:val="Heading4"/>
        <w:rPr>
          <w:color w:val="auto"/>
        </w:rPr>
      </w:pPr>
      <w:bookmarkStart w:id="179" w:name="_Toc489491514"/>
      <w:bookmarkStart w:id="180" w:name="_Toc111910255"/>
      <w:bookmarkStart w:id="181" w:name="_Hlk102033235"/>
      <w:r w:rsidRPr="004D407A">
        <w:rPr>
          <w:color w:val="auto"/>
        </w:rPr>
        <w:lastRenderedPageBreak/>
        <w:t xml:space="preserve">Demand generation, </w:t>
      </w:r>
      <w:r w:rsidR="00E717CB" w:rsidRPr="004D407A">
        <w:rPr>
          <w:color w:val="auto"/>
        </w:rPr>
        <w:t>communication,</w:t>
      </w:r>
      <w:r w:rsidRPr="004D407A">
        <w:rPr>
          <w:color w:val="auto"/>
        </w:rPr>
        <w:t xml:space="preserve"> and advocacy</w:t>
      </w:r>
      <w:bookmarkEnd w:id="179"/>
      <w:bookmarkEnd w:id="180"/>
    </w:p>
    <w:p w14:paraId="634A67AF" w14:textId="5973D7A6" w:rsidR="0066674A" w:rsidRPr="004D407A" w:rsidRDefault="0066674A" w:rsidP="00193878">
      <w:pPr>
        <w:pStyle w:val="BodyText"/>
        <w:rPr>
          <w:rFonts w:ascii="Arial" w:hAnsi="Arial"/>
        </w:rPr>
      </w:pPr>
      <w:r w:rsidRPr="004D407A">
        <w:rPr>
          <w:rFonts w:ascii="Arial" w:hAnsi="Arial"/>
        </w:rPr>
        <w:t>The recent</w:t>
      </w:r>
      <w:r w:rsidR="00A1525E" w:rsidRPr="004D407A">
        <w:rPr>
          <w:rFonts w:ascii="Arial" w:hAnsi="Arial"/>
        </w:rPr>
        <w:t xml:space="preserve"> coverage evaluation survey 20</w:t>
      </w:r>
      <w:r w:rsidR="00434F33" w:rsidRPr="004D407A">
        <w:rPr>
          <w:rFonts w:ascii="Arial" w:hAnsi="Arial"/>
        </w:rPr>
        <w:t>19</w:t>
      </w:r>
      <w:r w:rsidRPr="004D407A">
        <w:rPr>
          <w:rFonts w:ascii="Arial" w:hAnsi="Arial"/>
        </w:rPr>
        <w:t xml:space="preserve"> (CES),</w:t>
      </w:r>
      <w:r w:rsidR="00995C29" w:rsidRPr="004D407A">
        <w:rPr>
          <w:rFonts w:ascii="Arial" w:hAnsi="Arial"/>
        </w:rPr>
        <w:t xml:space="preserve"> </w:t>
      </w:r>
      <w:r w:rsidRPr="004D407A">
        <w:rPr>
          <w:rFonts w:ascii="Arial" w:hAnsi="Arial"/>
        </w:rPr>
        <w:t xml:space="preserve">carried out in Bangladesh, </w:t>
      </w:r>
      <w:r w:rsidR="00434F33" w:rsidRPr="004D407A">
        <w:rPr>
          <w:rFonts w:ascii="Arial" w:hAnsi="Arial"/>
        </w:rPr>
        <w:t>revealed</w:t>
      </w:r>
      <w:r w:rsidRPr="004D407A">
        <w:rPr>
          <w:rFonts w:ascii="Arial" w:hAnsi="Arial"/>
        </w:rPr>
        <w:t xml:space="preserve"> inadequate</w:t>
      </w:r>
      <w:r w:rsidR="00434F33" w:rsidRPr="004D407A">
        <w:rPr>
          <w:rFonts w:ascii="Arial" w:hAnsi="Arial"/>
        </w:rPr>
        <w:t xml:space="preserve"> knowledge and education of</w:t>
      </w:r>
      <w:r w:rsidRPr="004D407A">
        <w:rPr>
          <w:rFonts w:ascii="Arial" w:hAnsi="Arial"/>
        </w:rPr>
        <w:t xml:space="preserve"> population in immunization area</w:t>
      </w:r>
      <w:r w:rsidR="00434F33" w:rsidRPr="004D407A">
        <w:rPr>
          <w:rFonts w:ascii="Arial" w:hAnsi="Arial"/>
        </w:rPr>
        <w:t xml:space="preserve">, which had direct impact </w:t>
      </w:r>
      <w:r w:rsidR="009D7CE5" w:rsidRPr="004D407A">
        <w:rPr>
          <w:rFonts w:ascii="Arial" w:hAnsi="Arial"/>
        </w:rPr>
        <w:t xml:space="preserve">on immunization coverage trends (see </w:t>
      </w:r>
      <w:r w:rsidR="009D7CE5" w:rsidRPr="004D407A">
        <w:rPr>
          <w:rFonts w:ascii="Arial" w:hAnsi="Arial"/>
        </w:rPr>
        <w:fldChar w:fldCharType="begin"/>
      </w:r>
      <w:r w:rsidR="009D7CE5" w:rsidRPr="004D407A">
        <w:rPr>
          <w:rFonts w:ascii="Arial" w:hAnsi="Arial"/>
        </w:rPr>
        <w:instrText xml:space="preserve"> REF _Ref103593463 \h </w:instrText>
      </w:r>
      <w:r w:rsidR="007847A9" w:rsidRPr="004D407A">
        <w:rPr>
          <w:rFonts w:ascii="Arial" w:hAnsi="Arial"/>
        </w:rPr>
        <w:instrText xml:space="preserve"> \* MERGEFORMAT </w:instrText>
      </w:r>
      <w:r w:rsidR="009D7CE5" w:rsidRPr="004D407A">
        <w:rPr>
          <w:rFonts w:ascii="Arial" w:hAnsi="Arial"/>
        </w:rPr>
      </w:r>
      <w:r w:rsidR="009D7CE5" w:rsidRPr="004D407A">
        <w:rPr>
          <w:rFonts w:ascii="Arial" w:hAnsi="Arial"/>
        </w:rPr>
        <w:fldChar w:fldCharType="separate"/>
      </w:r>
      <w:r w:rsidR="00D80429" w:rsidRPr="004D407A">
        <w:rPr>
          <w:rFonts w:ascii="Arial" w:hAnsi="Arial"/>
        </w:rPr>
        <w:t>Figure 18</w:t>
      </w:r>
      <w:r w:rsidR="009D7CE5" w:rsidRPr="004D407A">
        <w:rPr>
          <w:rFonts w:ascii="Arial" w:hAnsi="Arial"/>
        </w:rPr>
        <w:fldChar w:fldCharType="end"/>
      </w:r>
      <w:r w:rsidR="009D7CE5" w:rsidRPr="004D407A">
        <w:rPr>
          <w:rFonts w:ascii="Arial" w:hAnsi="Arial"/>
        </w:rPr>
        <w:t xml:space="preserve"> below)</w:t>
      </w:r>
      <w:r w:rsidR="00912D33" w:rsidRPr="004D407A">
        <w:rPr>
          <w:rFonts w:ascii="Arial" w:hAnsi="Arial"/>
        </w:rPr>
        <w:t xml:space="preserve"> and indicated urgent need for </w:t>
      </w:r>
      <w:r w:rsidR="009C7386" w:rsidRPr="004D407A">
        <w:rPr>
          <w:rFonts w:ascii="Arial" w:hAnsi="Arial"/>
        </w:rPr>
        <w:t xml:space="preserve">strategic </w:t>
      </w:r>
      <w:r w:rsidR="00912D33" w:rsidRPr="004D407A">
        <w:rPr>
          <w:rFonts w:ascii="Arial" w:hAnsi="Arial"/>
        </w:rPr>
        <w:t>interventions for generating sufficient demand for vaccination and increase uptake of immunization services by the target population groups.</w:t>
      </w:r>
    </w:p>
    <w:p w14:paraId="6B5A1493" w14:textId="3D01CC9C" w:rsidR="00434F33" w:rsidRPr="004D407A" w:rsidRDefault="00434F33" w:rsidP="00434F33">
      <w:pPr>
        <w:pStyle w:val="Caption"/>
        <w:jc w:val="both"/>
        <w:rPr>
          <w:color w:val="auto"/>
        </w:rPr>
      </w:pPr>
      <w:bookmarkStart w:id="182" w:name="_Ref103593463"/>
      <w:bookmarkStart w:id="183" w:name="_Toc111912757"/>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18</w:t>
      </w:r>
      <w:r w:rsidR="00E21383" w:rsidRPr="004D407A">
        <w:rPr>
          <w:noProof/>
          <w:color w:val="auto"/>
        </w:rPr>
        <w:fldChar w:fldCharType="end"/>
      </w:r>
      <w:bookmarkEnd w:id="182"/>
      <w:r w:rsidRPr="004D407A">
        <w:rPr>
          <w:color w:val="auto"/>
        </w:rPr>
        <w:t>: Reasons for never having vaccination by National, Rural and Urban Areas in 2019</w:t>
      </w:r>
      <w:bookmarkEnd w:id="183"/>
    </w:p>
    <w:p w14:paraId="04E0DC0F" w14:textId="6AD872F6" w:rsidR="00E818F2" w:rsidRPr="004D407A" w:rsidRDefault="00E818F2" w:rsidP="00E818F2">
      <w:pPr>
        <w:spacing w:after="0" w:line="240" w:lineRule="auto"/>
      </w:pPr>
      <w:r w:rsidRPr="004D407A">
        <w:rPr>
          <w:noProof/>
        </w:rPr>
        <w:drawing>
          <wp:inline distT="0" distB="0" distL="0" distR="0" wp14:anchorId="0CBF43AD" wp14:editId="17A1FFC6">
            <wp:extent cx="4788881" cy="1593498"/>
            <wp:effectExtent l="0" t="0" r="0" b="6985"/>
            <wp:docPr id="8" name="Picture 8" descr="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lication, table&#10;&#10;Description automatically generated with medium confidence"/>
                    <pic:cNvPicPr/>
                  </pic:nvPicPr>
                  <pic:blipFill>
                    <a:blip r:embed="rId25"/>
                    <a:stretch>
                      <a:fillRect/>
                    </a:stretch>
                  </pic:blipFill>
                  <pic:spPr>
                    <a:xfrm>
                      <a:off x="0" y="0"/>
                      <a:ext cx="4807760" cy="1599780"/>
                    </a:xfrm>
                    <a:prstGeom prst="rect">
                      <a:avLst/>
                    </a:prstGeom>
                  </pic:spPr>
                </pic:pic>
              </a:graphicData>
            </a:graphic>
          </wp:inline>
        </w:drawing>
      </w:r>
    </w:p>
    <w:p w14:paraId="4A404975" w14:textId="53C4E50A" w:rsidR="00DE6E9D" w:rsidRPr="004D407A" w:rsidRDefault="009D7CE5" w:rsidP="009D7CE5">
      <w:pPr>
        <w:pStyle w:val="mySource"/>
        <w:spacing w:after="0"/>
        <w:rPr>
          <w:color w:val="auto"/>
        </w:rPr>
      </w:pPr>
      <w:r w:rsidRPr="004D407A">
        <w:rPr>
          <w:color w:val="auto"/>
        </w:rPr>
        <w:t>Source: CES 2019</w:t>
      </w:r>
      <w:r w:rsidR="007A4611" w:rsidRPr="004D407A">
        <w:rPr>
          <w:color w:val="auto"/>
        </w:rPr>
        <w:t xml:space="preserve"> </w:t>
      </w:r>
      <w:bookmarkEnd w:id="181"/>
    </w:p>
    <w:p w14:paraId="43939FD4" w14:textId="7CC7063C" w:rsidR="00783EEF" w:rsidRPr="004D407A" w:rsidRDefault="00783EEF" w:rsidP="00783EEF">
      <w:pPr>
        <w:pStyle w:val="BodyText"/>
        <w:rPr>
          <w:rFonts w:ascii="Arial" w:hAnsi="Arial"/>
        </w:rPr>
      </w:pPr>
      <w:r w:rsidRPr="004D407A">
        <w:rPr>
          <w:rFonts w:ascii="Arial" w:hAnsi="Arial"/>
        </w:rPr>
        <w:t>With the financial and technical support provided by the international development partners, the country plans and implements demand generation</w:t>
      </w:r>
      <w:r w:rsidR="00606553" w:rsidRPr="004D407A">
        <w:rPr>
          <w:rFonts w:ascii="Arial" w:hAnsi="Arial"/>
        </w:rPr>
        <w:t xml:space="preserve">, </w:t>
      </w:r>
      <w:proofErr w:type="gramStart"/>
      <w:r w:rsidR="00606553" w:rsidRPr="004D407A">
        <w:rPr>
          <w:rFonts w:ascii="Arial" w:hAnsi="Arial"/>
        </w:rPr>
        <w:t>innovation</w:t>
      </w:r>
      <w:proofErr w:type="gramEnd"/>
      <w:r w:rsidRPr="004D407A">
        <w:rPr>
          <w:rFonts w:ascii="Arial" w:hAnsi="Arial"/>
        </w:rPr>
        <w:t xml:space="preserve"> and communication interventions within the </w:t>
      </w:r>
      <w:r w:rsidR="00B10025" w:rsidRPr="004D407A">
        <w:rPr>
          <w:rFonts w:ascii="Arial" w:hAnsi="Arial"/>
        </w:rPr>
        <w:t>framework</w:t>
      </w:r>
      <w:r w:rsidRPr="004D407A">
        <w:rPr>
          <w:rFonts w:ascii="Arial" w:hAnsi="Arial"/>
        </w:rPr>
        <w:t xml:space="preserve"> of the existing communication strategy. </w:t>
      </w:r>
    </w:p>
    <w:p w14:paraId="4AE62E7E" w14:textId="7D56357E" w:rsidR="00660F31" w:rsidRPr="004D407A" w:rsidRDefault="00660F31" w:rsidP="00526CCA">
      <w:pPr>
        <w:pStyle w:val="Heading3"/>
        <w:numPr>
          <w:ilvl w:val="2"/>
          <w:numId w:val="10"/>
        </w:numPr>
        <w:spacing w:after="160"/>
        <w:rPr>
          <w:color w:val="auto"/>
        </w:rPr>
      </w:pPr>
      <w:bookmarkStart w:id="184" w:name="_Toc439638787"/>
      <w:bookmarkStart w:id="185" w:name="_Toc488938754"/>
      <w:bookmarkStart w:id="186" w:name="_Toc489491515"/>
      <w:bookmarkStart w:id="187" w:name="_Toc111910256"/>
      <w:bookmarkStart w:id="188" w:name="_Hlk103691903"/>
      <w:r w:rsidRPr="004D407A">
        <w:rPr>
          <w:color w:val="auto"/>
        </w:rPr>
        <w:t>Accelerated disease control initiatives</w:t>
      </w:r>
      <w:bookmarkEnd w:id="184"/>
      <w:bookmarkEnd w:id="185"/>
      <w:bookmarkEnd w:id="186"/>
      <w:bookmarkEnd w:id="187"/>
    </w:p>
    <w:p w14:paraId="7B926F49" w14:textId="695F8F61" w:rsidR="00660F31" w:rsidRPr="004D407A" w:rsidRDefault="00660F31" w:rsidP="00660F31">
      <w:pPr>
        <w:pStyle w:val="BodyText"/>
      </w:pPr>
      <w:bookmarkStart w:id="189" w:name="_Ref453339365"/>
      <w:bookmarkStart w:id="190" w:name="_Toc439638842"/>
      <w:r w:rsidRPr="004D407A">
        <w:t xml:space="preserve">Achievements of EPI in accelerated disease control against the set targets are represented in </w:t>
      </w:r>
      <w:r w:rsidR="00105141" w:rsidRPr="004D407A">
        <w:fldChar w:fldCharType="begin"/>
      </w:r>
      <w:r w:rsidR="00105141" w:rsidRPr="004D407A">
        <w:instrText xml:space="preserve"> REF _Ref453876548 \h </w:instrText>
      </w:r>
      <w:r w:rsidR="004D407A">
        <w:instrText xml:space="preserve"> \* MERGEFORMAT </w:instrText>
      </w:r>
      <w:r w:rsidR="00105141" w:rsidRPr="004D407A">
        <w:fldChar w:fldCharType="separate"/>
      </w:r>
      <w:r w:rsidR="00D80429" w:rsidRPr="004D407A">
        <w:t xml:space="preserve">Figure </w:t>
      </w:r>
      <w:r w:rsidR="00D80429" w:rsidRPr="004D407A">
        <w:rPr>
          <w:noProof/>
        </w:rPr>
        <w:t>19</w:t>
      </w:r>
      <w:r w:rsidR="00105141" w:rsidRPr="004D407A">
        <w:fldChar w:fldCharType="end"/>
      </w:r>
      <w:r w:rsidR="00105141" w:rsidRPr="004D407A">
        <w:t xml:space="preserve"> on page </w:t>
      </w:r>
      <w:r w:rsidR="00105141" w:rsidRPr="004D407A">
        <w:fldChar w:fldCharType="begin"/>
      </w:r>
      <w:r w:rsidR="00105141" w:rsidRPr="004D407A">
        <w:instrText xml:space="preserve"> PAGEREF _Ref490705500 \h </w:instrText>
      </w:r>
      <w:r w:rsidR="00105141" w:rsidRPr="004D407A">
        <w:fldChar w:fldCharType="separate"/>
      </w:r>
      <w:r w:rsidR="00D80429" w:rsidRPr="004D407A">
        <w:rPr>
          <w:noProof/>
        </w:rPr>
        <w:t>30</w:t>
      </w:r>
      <w:r w:rsidR="00105141" w:rsidRPr="004D407A">
        <w:fldChar w:fldCharType="end"/>
      </w:r>
      <w:r w:rsidR="00105141" w:rsidRPr="004D407A">
        <w:t xml:space="preserve"> </w:t>
      </w:r>
      <w:r w:rsidR="00105141" w:rsidRPr="004D407A">
        <w:fldChar w:fldCharType="begin"/>
      </w:r>
      <w:r w:rsidR="00105141" w:rsidRPr="004D407A">
        <w:instrText xml:space="preserve"> REF _Ref490705488 \p \h </w:instrText>
      </w:r>
      <w:r w:rsidR="004D407A">
        <w:instrText xml:space="preserve"> \* MERGEFORMAT </w:instrText>
      </w:r>
      <w:r w:rsidR="00105141" w:rsidRPr="004D407A">
        <w:fldChar w:fldCharType="separate"/>
      </w:r>
      <w:r w:rsidR="00D80429" w:rsidRPr="004D407A">
        <w:t>below</w:t>
      </w:r>
      <w:r w:rsidR="00105141" w:rsidRPr="004D407A">
        <w:fldChar w:fldCharType="end"/>
      </w:r>
      <w:r w:rsidRPr="004D407A">
        <w:t>:</w:t>
      </w:r>
    </w:p>
    <w:p w14:paraId="3BC449B7" w14:textId="51E59986" w:rsidR="00660F31" w:rsidRPr="004D407A" w:rsidRDefault="00660F31" w:rsidP="00660F31">
      <w:pPr>
        <w:pStyle w:val="Caption"/>
        <w:rPr>
          <w:color w:val="auto"/>
        </w:rPr>
      </w:pPr>
      <w:bookmarkStart w:id="191" w:name="_Ref453876548"/>
      <w:bookmarkStart w:id="192" w:name="_Toc489355889"/>
      <w:bookmarkStart w:id="193" w:name="_Toc489491446"/>
      <w:bookmarkStart w:id="194" w:name="_Ref490705488"/>
      <w:bookmarkStart w:id="195" w:name="_Ref490705500"/>
      <w:bookmarkStart w:id="196" w:name="_Toc490750627"/>
      <w:bookmarkStart w:id="197" w:name="_Toc111912758"/>
      <w:bookmarkStart w:id="198" w:name="_Hlk103617591"/>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19</w:t>
      </w:r>
      <w:r w:rsidR="00E21383" w:rsidRPr="004D407A">
        <w:rPr>
          <w:noProof/>
          <w:color w:val="auto"/>
        </w:rPr>
        <w:fldChar w:fldCharType="end"/>
      </w:r>
      <w:bookmarkEnd w:id="189"/>
      <w:bookmarkEnd w:id="191"/>
      <w:r w:rsidRPr="004D407A">
        <w:rPr>
          <w:color w:val="auto"/>
        </w:rPr>
        <w:t xml:space="preserve">: </w:t>
      </w:r>
      <w:r w:rsidR="00082CBE" w:rsidRPr="004D407A">
        <w:rPr>
          <w:color w:val="auto"/>
        </w:rPr>
        <w:t xml:space="preserve"> </w:t>
      </w:r>
      <w:r w:rsidRPr="004D407A">
        <w:rPr>
          <w:color w:val="auto"/>
        </w:rPr>
        <w:t xml:space="preserve">Summary of the analysis of the accelerated disease control </w:t>
      </w:r>
      <w:bookmarkEnd w:id="190"/>
      <w:r w:rsidRPr="004D407A">
        <w:rPr>
          <w:color w:val="auto"/>
        </w:rPr>
        <w:t>indicatives</w:t>
      </w:r>
      <w:bookmarkEnd w:id="192"/>
      <w:bookmarkEnd w:id="193"/>
      <w:bookmarkEnd w:id="194"/>
      <w:bookmarkEnd w:id="195"/>
      <w:bookmarkEnd w:id="196"/>
      <w:bookmarkEnd w:id="197"/>
    </w:p>
    <w:tbl>
      <w:tblPr>
        <w:tblStyle w:val="GridTable1Light-Accent511"/>
        <w:tblW w:w="5000" w:type="pct"/>
        <w:tblLook w:val="04A0" w:firstRow="1" w:lastRow="0" w:firstColumn="1" w:lastColumn="0" w:noHBand="0" w:noVBand="1"/>
      </w:tblPr>
      <w:tblGrid>
        <w:gridCol w:w="1838"/>
        <w:gridCol w:w="4316"/>
        <w:gridCol w:w="1424"/>
        <w:gridCol w:w="1437"/>
      </w:tblGrid>
      <w:tr w:rsidR="004D407A" w:rsidRPr="004D407A" w14:paraId="29DC9993" w14:textId="77777777" w:rsidTr="00785F83">
        <w:trPr>
          <w:cnfStyle w:val="100000000000" w:firstRow="1" w:lastRow="0" w:firstColumn="0" w:lastColumn="0" w:oddVBand="0" w:evenVBand="0" w:oddHBand="0" w:evenHBand="0" w:firstRowFirstColumn="0" w:firstRowLastColumn="0" w:lastRowFirstColumn="0" w:lastRowLastColumn="0"/>
          <w:trHeight w:val="548"/>
          <w:tblHeader/>
        </w:trPr>
        <w:tc>
          <w:tcPr>
            <w:cnfStyle w:val="001000000000" w:firstRow="0" w:lastRow="0" w:firstColumn="1" w:lastColumn="0" w:oddVBand="0" w:evenVBand="0" w:oddHBand="0" w:evenHBand="0" w:firstRowFirstColumn="0" w:firstRowLastColumn="0" w:lastRowFirstColumn="0" w:lastRowLastColumn="0"/>
            <w:tcW w:w="1019" w:type="pct"/>
          </w:tcPr>
          <w:p w14:paraId="77E42007" w14:textId="77777777" w:rsidR="00F34FF1" w:rsidRPr="004D407A" w:rsidRDefault="00F34FF1" w:rsidP="00785F83">
            <w:pPr>
              <w:pStyle w:val="BodyTextT"/>
              <w:rPr>
                <w:b w:val="0"/>
              </w:rPr>
            </w:pPr>
            <w:bookmarkStart w:id="199" w:name="_Hlk488185622"/>
            <w:bookmarkStart w:id="200" w:name="_Toc439638788"/>
            <w:bookmarkEnd w:id="198"/>
            <w:r w:rsidRPr="004D407A">
              <w:t>EPI Strategic Objectives</w:t>
            </w:r>
          </w:p>
        </w:tc>
        <w:tc>
          <w:tcPr>
            <w:tcW w:w="2394" w:type="pct"/>
          </w:tcPr>
          <w:p w14:paraId="05ADAB67" w14:textId="77777777" w:rsidR="00F34FF1" w:rsidRPr="004D407A" w:rsidRDefault="00F34FF1" w:rsidP="00785F83">
            <w:pPr>
              <w:pStyle w:val="BodyTextT"/>
              <w:cnfStyle w:val="100000000000" w:firstRow="1" w:lastRow="0" w:firstColumn="0" w:lastColumn="0" w:oddVBand="0" w:evenVBand="0" w:oddHBand="0" w:evenHBand="0" w:firstRowFirstColumn="0" w:firstRowLastColumn="0" w:lastRowFirstColumn="0" w:lastRowLastColumn="0"/>
              <w:rPr>
                <w:b w:val="0"/>
              </w:rPr>
            </w:pPr>
            <w:r w:rsidRPr="004D407A">
              <w:t>Indicators</w:t>
            </w:r>
          </w:p>
        </w:tc>
        <w:tc>
          <w:tcPr>
            <w:tcW w:w="790" w:type="pct"/>
          </w:tcPr>
          <w:p w14:paraId="72952F75" w14:textId="77777777" w:rsidR="00F34FF1" w:rsidRPr="004D407A" w:rsidRDefault="00F34FF1" w:rsidP="00785F83">
            <w:pPr>
              <w:pStyle w:val="BodyTextT"/>
              <w:cnfStyle w:val="100000000000" w:firstRow="1" w:lastRow="0" w:firstColumn="0" w:lastColumn="0" w:oddVBand="0" w:evenVBand="0" w:oddHBand="0" w:evenHBand="0" w:firstRowFirstColumn="0" w:firstRowLastColumn="0" w:lastRowFirstColumn="0" w:lastRowLastColumn="0"/>
              <w:rPr>
                <w:b w:val="0"/>
              </w:rPr>
            </w:pPr>
            <w:proofErr w:type="spellStart"/>
            <w:r w:rsidRPr="004D407A">
              <w:t>cMYP</w:t>
            </w:r>
            <w:proofErr w:type="spellEnd"/>
            <w:r w:rsidRPr="004D407A">
              <w:t xml:space="preserve"> Target</w:t>
            </w:r>
          </w:p>
        </w:tc>
        <w:tc>
          <w:tcPr>
            <w:tcW w:w="797" w:type="pct"/>
          </w:tcPr>
          <w:p w14:paraId="604A9FAD" w14:textId="77777777" w:rsidR="00F34FF1" w:rsidRPr="004D407A" w:rsidRDefault="00F34FF1" w:rsidP="00785F83">
            <w:pPr>
              <w:pStyle w:val="BodyTextT"/>
              <w:cnfStyle w:val="100000000000" w:firstRow="1" w:lastRow="0" w:firstColumn="0" w:lastColumn="0" w:oddVBand="0" w:evenVBand="0" w:oddHBand="0" w:evenHBand="0" w:firstRowFirstColumn="0" w:firstRowLastColumn="0" w:lastRowFirstColumn="0" w:lastRowLastColumn="0"/>
              <w:rPr>
                <w:b w:val="0"/>
              </w:rPr>
            </w:pPr>
            <w:r w:rsidRPr="004D407A">
              <w:t>Achieved results by 2021</w:t>
            </w:r>
          </w:p>
        </w:tc>
      </w:tr>
      <w:tr w:rsidR="004D407A" w:rsidRPr="004D407A" w14:paraId="4DF42C1C"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val="restart"/>
          </w:tcPr>
          <w:p w14:paraId="0EFC5B32" w14:textId="77777777" w:rsidR="00F34FF1" w:rsidRPr="004D407A" w:rsidRDefault="00F34FF1" w:rsidP="00785F83">
            <w:pPr>
              <w:pStyle w:val="BodyTextT"/>
            </w:pPr>
            <w:r w:rsidRPr="004D407A">
              <w:t>Measles</w:t>
            </w:r>
          </w:p>
        </w:tc>
        <w:tc>
          <w:tcPr>
            <w:tcW w:w="2394" w:type="pct"/>
          </w:tcPr>
          <w:p w14:paraId="024348E3"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MCV1 (MCV at 9 month) national coverage</w:t>
            </w:r>
          </w:p>
        </w:tc>
        <w:tc>
          <w:tcPr>
            <w:tcW w:w="790" w:type="pct"/>
          </w:tcPr>
          <w:p w14:paraId="6A4FD706"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95%</w:t>
            </w:r>
          </w:p>
        </w:tc>
        <w:tc>
          <w:tcPr>
            <w:tcW w:w="797" w:type="pct"/>
          </w:tcPr>
          <w:p w14:paraId="13F8E19E"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117.9%</w:t>
            </w:r>
          </w:p>
        </w:tc>
      </w:tr>
      <w:tr w:rsidR="004D407A" w:rsidRPr="004D407A" w14:paraId="3871C59B"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2B4D137A" w14:textId="77777777" w:rsidR="00F34FF1" w:rsidRPr="004D407A" w:rsidRDefault="00F34FF1" w:rsidP="00785F83">
            <w:pPr>
              <w:pStyle w:val="BodyTextT"/>
            </w:pPr>
          </w:p>
        </w:tc>
        <w:tc>
          <w:tcPr>
            <w:tcW w:w="2394" w:type="pct"/>
          </w:tcPr>
          <w:p w14:paraId="46F0F8FA"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Districts with MCV2 coverage &gt;90%:</w:t>
            </w:r>
          </w:p>
        </w:tc>
        <w:tc>
          <w:tcPr>
            <w:tcW w:w="790" w:type="pct"/>
          </w:tcPr>
          <w:p w14:paraId="258C5781"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&gt;95%</w:t>
            </w:r>
          </w:p>
        </w:tc>
        <w:tc>
          <w:tcPr>
            <w:tcW w:w="797" w:type="pct"/>
          </w:tcPr>
          <w:p w14:paraId="1405AAAF"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100%</w:t>
            </w:r>
          </w:p>
        </w:tc>
      </w:tr>
      <w:tr w:rsidR="004D407A" w:rsidRPr="004D407A" w14:paraId="5FC80EA8"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7FB69077" w14:textId="77777777" w:rsidR="00F34FF1" w:rsidRPr="004D407A" w:rsidRDefault="00F34FF1" w:rsidP="00785F83">
            <w:pPr>
              <w:pStyle w:val="BodyTextT"/>
            </w:pPr>
          </w:p>
        </w:tc>
        <w:tc>
          <w:tcPr>
            <w:tcW w:w="2394" w:type="pct"/>
          </w:tcPr>
          <w:p w14:paraId="19D1182C"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MCV SIAs national coverage</w:t>
            </w:r>
          </w:p>
        </w:tc>
        <w:tc>
          <w:tcPr>
            <w:tcW w:w="790" w:type="pct"/>
          </w:tcPr>
          <w:p w14:paraId="05991C0A"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&gt;95%</w:t>
            </w:r>
          </w:p>
        </w:tc>
        <w:tc>
          <w:tcPr>
            <w:tcW w:w="797" w:type="pct"/>
          </w:tcPr>
          <w:p w14:paraId="5DD56D1E"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104%</w:t>
            </w:r>
          </w:p>
        </w:tc>
      </w:tr>
      <w:tr w:rsidR="004D407A" w:rsidRPr="004D407A" w14:paraId="54AA2EAE"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18E73F6A" w14:textId="77777777" w:rsidR="00F34FF1" w:rsidRPr="004D407A" w:rsidRDefault="00F34FF1" w:rsidP="00785F83">
            <w:pPr>
              <w:pStyle w:val="BodyTextT"/>
            </w:pPr>
          </w:p>
        </w:tc>
        <w:tc>
          <w:tcPr>
            <w:tcW w:w="2394" w:type="pct"/>
          </w:tcPr>
          <w:p w14:paraId="7A788D10"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Districts with MCV SIAs coverage &gt;95%</w:t>
            </w:r>
          </w:p>
        </w:tc>
        <w:tc>
          <w:tcPr>
            <w:tcW w:w="790" w:type="pct"/>
          </w:tcPr>
          <w:p w14:paraId="7DC88A8E"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&gt;80%</w:t>
            </w:r>
          </w:p>
        </w:tc>
        <w:tc>
          <w:tcPr>
            <w:tcW w:w="797" w:type="pct"/>
          </w:tcPr>
          <w:p w14:paraId="11787195"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100%</w:t>
            </w:r>
          </w:p>
        </w:tc>
      </w:tr>
      <w:tr w:rsidR="004D407A" w:rsidRPr="004D407A" w14:paraId="6D4FCFF1"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1FCDA2FA" w14:textId="77777777" w:rsidR="00F34FF1" w:rsidRPr="004D407A" w:rsidRDefault="00F34FF1" w:rsidP="00785F83">
            <w:pPr>
              <w:pStyle w:val="BodyTextT"/>
            </w:pPr>
          </w:p>
        </w:tc>
        <w:tc>
          <w:tcPr>
            <w:tcW w:w="2394" w:type="pct"/>
          </w:tcPr>
          <w:p w14:paraId="2EF21B86"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National Non- Measles suspected case reporting rate</w:t>
            </w:r>
          </w:p>
        </w:tc>
        <w:tc>
          <w:tcPr>
            <w:tcW w:w="790" w:type="pct"/>
          </w:tcPr>
          <w:p w14:paraId="1916C131"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2 / 100,000</w:t>
            </w:r>
          </w:p>
        </w:tc>
        <w:tc>
          <w:tcPr>
            <w:tcW w:w="797" w:type="pct"/>
          </w:tcPr>
          <w:p w14:paraId="18FE42A7"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2.17</w:t>
            </w:r>
          </w:p>
        </w:tc>
      </w:tr>
      <w:tr w:rsidR="004D407A" w:rsidRPr="004D407A" w14:paraId="5E162DC0"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29E93123" w14:textId="77777777" w:rsidR="00F34FF1" w:rsidRPr="004D407A" w:rsidRDefault="00F34FF1" w:rsidP="00785F83">
            <w:pPr>
              <w:pStyle w:val="BodyTextT"/>
            </w:pPr>
          </w:p>
        </w:tc>
        <w:tc>
          <w:tcPr>
            <w:tcW w:w="2394" w:type="pct"/>
          </w:tcPr>
          <w:p w14:paraId="720EC46F"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xml:space="preserve">% </w:t>
            </w:r>
            <w:r w:rsidRPr="004D407A">
              <w:rPr>
                <w:shd w:val="clear" w:color="auto" w:fill="FFFFFF" w:themeFill="background1"/>
                <w:lang w:eastAsia="ja-JP"/>
              </w:rPr>
              <w:t>District</w:t>
            </w:r>
            <w:r w:rsidRPr="004D407A">
              <w:rPr>
                <w:lang w:eastAsia="ja-JP"/>
              </w:rPr>
              <w:t xml:space="preserve"> reporting at least one suspected measles case / 100,000 population per year</w:t>
            </w:r>
          </w:p>
        </w:tc>
        <w:tc>
          <w:tcPr>
            <w:tcW w:w="790" w:type="pct"/>
          </w:tcPr>
          <w:p w14:paraId="3B92C36C"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&gt;80%</w:t>
            </w:r>
          </w:p>
        </w:tc>
        <w:tc>
          <w:tcPr>
            <w:tcW w:w="797" w:type="pct"/>
          </w:tcPr>
          <w:p w14:paraId="085FCBB2"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100%</w:t>
            </w:r>
          </w:p>
        </w:tc>
      </w:tr>
      <w:tr w:rsidR="004D407A" w:rsidRPr="004D407A" w14:paraId="2B150FF6"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13E60089" w14:textId="77777777" w:rsidR="00F34FF1" w:rsidRPr="004D407A" w:rsidRDefault="00F34FF1" w:rsidP="00785F83">
            <w:pPr>
              <w:pStyle w:val="BodyTextT"/>
            </w:pPr>
          </w:p>
        </w:tc>
        <w:tc>
          <w:tcPr>
            <w:tcW w:w="2394" w:type="pct"/>
          </w:tcPr>
          <w:p w14:paraId="79AF3CD1"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Measles cases with adequate investigation* within 48 hours of report:</w:t>
            </w:r>
          </w:p>
        </w:tc>
        <w:tc>
          <w:tcPr>
            <w:tcW w:w="790" w:type="pct"/>
          </w:tcPr>
          <w:p w14:paraId="52BD0ED8"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&gt;80%</w:t>
            </w:r>
          </w:p>
        </w:tc>
        <w:tc>
          <w:tcPr>
            <w:tcW w:w="797" w:type="pct"/>
          </w:tcPr>
          <w:p w14:paraId="39EF441E"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97%</w:t>
            </w:r>
          </w:p>
        </w:tc>
      </w:tr>
      <w:tr w:rsidR="004D407A" w:rsidRPr="004D407A" w14:paraId="03D9A8D4"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62121AC5" w14:textId="77777777" w:rsidR="00F34FF1" w:rsidRPr="004D407A" w:rsidRDefault="00F34FF1" w:rsidP="00785F83">
            <w:pPr>
              <w:pStyle w:val="BodyTextT"/>
            </w:pPr>
          </w:p>
        </w:tc>
        <w:tc>
          <w:tcPr>
            <w:tcW w:w="2394" w:type="pct"/>
          </w:tcPr>
          <w:p w14:paraId="6B99DF91"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Adequate serum samples (from suspected measles cases) with laboratory results within 7 days of receipt:</w:t>
            </w:r>
          </w:p>
        </w:tc>
        <w:tc>
          <w:tcPr>
            <w:tcW w:w="790" w:type="pct"/>
          </w:tcPr>
          <w:p w14:paraId="09229C04"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80%</w:t>
            </w:r>
          </w:p>
        </w:tc>
        <w:tc>
          <w:tcPr>
            <w:tcW w:w="797" w:type="pct"/>
          </w:tcPr>
          <w:p w14:paraId="0FC7ECF2"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100%</w:t>
            </w:r>
          </w:p>
        </w:tc>
      </w:tr>
      <w:tr w:rsidR="004D407A" w:rsidRPr="004D407A" w14:paraId="3F499EC6"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val="restart"/>
          </w:tcPr>
          <w:p w14:paraId="502E873C" w14:textId="77777777" w:rsidR="00F34FF1" w:rsidRPr="004D407A" w:rsidRDefault="00F34FF1" w:rsidP="00785F83">
            <w:pPr>
              <w:pStyle w:val="BodyTextT"/>
            </w:pPr>
            <w:r w:rsidRPr="004D407A">
              <w:t>Polio</w:t>
            </w:r>
          </w:p>
        </w:tc>
        <w:tc>
          <w:tcPr>
            <w:tcW w:w="2394" w:type="pct"/>
          </w:tcPr>
          <w:p w14:paraId="2406E7CF"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OPV 3 national coverage:</w:t>
            </w:r>
          </w:p>
        </w:tc>
        <w:tc>
          <w:tcPr>
            <w:tcW w:w="790" w:type="pct"/>
          </w:tcPr>
          <w:p w14:paraId="37F7AFF7"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&gt;80%</w:t>
            </w:r>
          </w:p>
        </w:tc>
        <w:tc>
          <w:tcPr>
            <w:tcW w:w="797" w:type="pct"/>
          </w:tcPr>
          <w:p w14:paraId="34266050"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118.3%</w:t>
            </w:r>
          </w:p>
        </w:tc>
      </w:tr>
      <w:tr w:rsidR="004D407A" w:rsidRPr="004D407A" w14:paraId="7E4DC4FC"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065CF73D" w14:textId="77777777" w:rsidR="00F34FF1" w:rsidRPr="004D407A" w:rsidRDefault="00F34FF1" w:rsidP="00785F83">
            <w:pPr>
              <w:pStyle w:val="BodyTextT"/>
            </w:pPr>
          </w:p>
        </w:tc>
        <w:tc>
          <w:tcPr>
            <w:tcW w:w="2394" w:type="pct"/>
          </w:tcPr>
          <w:p w14:paraId="37858274"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Districts with OPV3 coverage &gt;80%:</w:t>
            </w:r>
          </w:p>
        </w:tc>
        <w:tc>
          <w:tcPr>
            <w:tcW w:w="790" w:type="pct"/>
          </w:tcPr>
          <w:p w14:paraId="17EA64D3"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&gt;90%</w:t>
            </w:r>
          </w:p>
        </w:tc>
        <w:tc>
          <w:tcPr>
            <w:tcW w:w="797" w:type="pct"/>
          </w:tcPr>
          <w:p w14:paraId="162AAD79"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100%</w:t>
            </w:r>
          </w:p>
        </w:tc>
      </w:tr>
      <w:tr w:rsidR="004D407A" w:rsidRPr="004D407A" w14:paraId="395AF0CF"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088AE313" w14:textId="77777777" w:rsidR="00F34FF1" w:rsidRPr="004D407A" w:rsidRDefault="00F34FF1" w:rsidP="00785F83">
            <w:pPr>
              <w:pStyle w:val="BodyTextT"/>
            </w:pPr>
          </w:p>
        </w:tc>
        <w:tc>
          <w:tcPr>
            <w:tcW w:w="2394" w:type="pct"/>
          </w:tcPr>
          <w:p w14:paraId="5335F631"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Non-polio AFP rate (/100 000 children under 15 years of age):</w:t>
            </w:r>
          </w:p>
        </w:tc>
        <w:tc>
          <w:tcPr>
            <w:tcW w:w="790" w:type="pct"/>
          </w:tcPr>
          <w:p w14:paraId="583288AC"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&gt;1</w:t>
            </w:r>
          </w:p>
        </w:tc>
        <w:tc>
          <w:tcPr>
            <w:tcW w:w="797" w:type="pct"/>
          </w:tcPr>
          <w:p w14:paraId="25B20447"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2.54</w:t>
            </w:r>
          </w:p>
        </w:tc>
      </w:tr>
      <w:tr w:rsidR="004D407A" w:rsidRPr="004D407A" w14:paraId="5E4493CA"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70D506F1" w14:textId="77777777" w:rsidR="00F34FF1" w:rsidRPr="004D407A" w:rsidRDefault="00F34FF1" w:rsidP="00785F83">
            <w:pPr>
              <w:pStyle w:val="BodyTextT"/>
            </w:pPr>
          </w:p>
        </w:tc>
        <w:tc>
          <w:tcPr>
            <w:tcW w:w="2394" w:type="pct"/>
          </w:tcPr>
          <w:p w14:paraId="37785246"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AFP cases with adequate stool samples within 14 days of onset:</w:t>
            </w:r>
          </w:p>
        </w:tc>
        <w:tc>
          <w:tcPr>
            <w:tcW w:w="790" w:type="pct"/>
          </w:tcPr>
          <w:p w14:paraId="1DF911B0"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&gt;80%</w:t>
            </w:r>
          </w:p>
        </w:tc>
        <w:tc>
          <w:tcPr>
            <w:tcW w:w="797" w:type="pct"/>
          </w:tcPr>
          <w:p w14:paraId="772840A3"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99%</w:t>
            </w:r>
          </w:p>
        </w:tc>
      </w:tr>
      <w:tr w:rsidR="004D407A" w:rsidRPr="004D407A" w14:paraId="6A088A6D"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07E69FDA" w14:textId="77777777" w:rsidR="00F34FF1" w:rsidRPr="004D407A" w:rsidRDefault="00F34FF1" w:rsidP="00785F83">
            <w:pPr>
              <w:pStyle w:val="BodyTextT"/>
            </w:pPr>
          </w:p>
        </w:tc>
        <w:tc>
          <w:tcPr>
            <w:tcW w:w="2394" w:type="pct"/>
          </w:tcPr>
          <w:p w14:paraId="358F1E26"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AFP cases reported within 14 days of onset:</w:t>
            </w:r>
          </w:p>
        </w:tc>
        <w:tc>
          <w:tcPr>
            <w:tcW w:w="790" w:type="pct"/>
          </w:tcPr>
          <w:p w14:paraId="4E847B3C"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 80%</w:t>
            </w:r>
          </w:p>
        </w:tc>
        <w:tc>
          <w:tcPr>
            <w:tcW w:w="797" w:type="pct"/>
          </w:tcPr>
          <w:p w14:paraId="4B78880F"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99%</w:t>
            </w:r>
          </w:p>
        </w:tc>
      </w:tr>
      <w:tr w:rsidR="004D407A" w:rsidRPr="004D407A" w14:paraId="7135E118"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64B375C6" w14:textId="77777777" w:rsidR="00F34FF1" w:rsidRPr="004D407A" w:rsidRDefault="00F34FF1" w:rsidP="00785F83">
            <w:pPr>
              <w:pStyle w:val="BodyTextT"/>
            </w:pPr>
          </w:p>
        </w:tc>
        <w:tc>
          <w:tcPr>
            <w:tcW w:w="2394" w:type="pct"/>
          </w:tcPr>
          <w:p w14:paraId="53BA28A3"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OPV in SIAs national coverage:</w:t>
            </w:r>
          </w:p>
        </w:tc>
        <w:tc>
          <w:tcPr>
            <w:tcW w:w="790" w:type="pct"/>
          </w:tcPr>
          <w:p w14:paraId="27B5CAC9"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80%</w:t>
            </w:r>
          </w:p>
        </w:tc>
        <w:tc>
          <w:tcPr>
            <w:tcW w:w="797" w:type="pct"/>
          </w:tcPr>
          <w:p w14:paraId="04314522"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99% (administrative coverage, 2014)</w:t>
            </w:r>
          </w:p>
        </w:tc>
      </w:tr>
      <w:tr w:rsidR="004D407A" w:rsidRPr="004D407A" w14:paraId="48940AE2"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3B095B51" w14:textId="77777777" w:rsidR="00F34FF1" w:rsidRPr="004D407A" w:rsidRDefault="00F34FF1" w:rsidP="00785F83">
            <w:pPr>
              <w:pStyle w:val="BodyTextT"/>
            </w:pPr>
          </w:p>
        </w:tc>
        <w:tc>
          <w:tcPr>
            <w:tcW w:w="2394" w:type="pct"/>
          </w:tcPr>
          <w:p w14:paraId="7101072B"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xml:space="preserve">% Districts with OPV in SIAs coverage &gt;90%: </w:t>
            </w:r>
          </w:p>
        </w:tc>
        <w:tc>
          <w:tcPr>
            <w:tcW w:w="790" w:type="pct"/>
          </w:tcPr>
          <w:p w14:paraId="4F7CE72B"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 90%</w:t>
            </w:r>
          </w:p>
        </w:tc>
        <w:tc>
          <w:tcPr>
            <w:tcW w:w="797" w:type="pct"/>
          </w:tcPr>
          <w:p w14:paraId="05BD41DA"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100%</w:t>
            </w:r>
          </w:p>
        </w:tc>
      </w:tr>
      <w:tr w:rsidR="004D407A" w:rsidRPr="004D407A" w14:paraId="5F2D5165"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val="restart"/>
          </w:tcPr>
          <w:p w14:paraId="72724CE6" w14:textId="77777777" w:rsidR="00F34FF1" w:rsidRPr="004D407A" w:rsidRDefault="00F34FF1" w:rsidP="00785F83">
            <w:pPr>
              <w:pStyle w:val="BodyTextT"/>
            </w:pPr>
            <w:r w:rsidRPr="004D407A">
              <w:t>MNTE</w:t>
            </w:r>
          </w:p>
        </w:tc>
        <w:tc>
          <w:tcPr>
            <w:tcW w:w="2394" w:type="pct"/>
          </w:tcPr>
          <w:p w14:paraId="25FD1ABA"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DTP3 national coverage (DTP-</w:t>
            </w:r>
            <w:proofErr w:type="spellStart"/>
            <w:r w:rsidRPr="004D407A">
              <w:rPr>
                <w:lang w:eastAsia="ja-JP"/>
              </w:rPr>
              <w:t>HepB</w:t>
            </w:r>
            <w:proofErr w:type="spellEnd"/>
            <w:r w:rsidRPr="004D407A">
              <w:rPr>
                <w:lang w:eastAsia="ja-JP"/>
              </w:rPr>
              <w:t xml:space="preserve">-Hib 3 national coverage): </w:t>
            </w:r>
          </w:p>
        </w:tc>
        <w:tc>
          <w:tcPr>
            <w:tcW w:w="790" w:type="pct"/>
          </w:tcPr>
          <w:p w14:paraId="79F71F1E"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&gt;90%</w:t>
            </w:r>
          </w:p>
        </w:tc>
        <w:tc>
          <w:tcPr>
            <w:tcW w:w="797" w:type="pct"/>
          </w:tcPr>
          <w:p w14:paraId="1871C207"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118%</w:t>
            </w:r>
          </w:p>
        </w:tc>
      </w:tr>
      <w:tr w:rsidR="004D407A" w:rsidRPr="004D407A" w14:paraId="21DDE272"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68987B23" w14:textId="77777777" w:rsidR="00F34FF1" w:rsidRPr="004D407A" w:rsidRDefault="00F34FF1" w:rsidP="00785F83">
            <w:pPr>
              <w:pStyle w:val="BodyTextT"/>
            </w:pPr>
          </w:p>
        </w:tc>
        <w:tc>
          <w:tcPr>
            <w:tcW w:w="2394" w:type="pct"/>
          </w:tcPr>
          <w:p w14:paraId="3CB8D9B0"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xml:space="preserve">% Districts with TT 2+ coverage &gt;80%: </w:t>
            </w:r>
          </w:p>
        </w:tc>
        <w:tc>
          <w:tcPr>
            <w:tcW w:w="790" w:type="pct"/>
          </w:tcPr>
          <w:p w14:paraId="1A8404F7"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&gt;90%</w:t>
            </w:r>
          </w:p>
        </w:tc>
        <w:tc>
          <w:tcPr>
            <w:tcW w:w="797" w:type="pct"/>
          </w:tcPr>
          <w:p w14:paraId="55BF2AE8"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0%</w:t>
            </w:r>
          </w:p>
        </w:tc>
      </w:tr>
      <w:tr w:rsidR="004D407A" w:rsidRPr="004D407A" w14:paraId="20CF4FCE"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5844F2EC" w14:textId="77777777" w:rsidR="00F34FF1" w:rsidRPr="004D407A" w:rsidRDefault="00F34FF1" w:rsidP="00785F83">
            <w:pPr>
              <w:pStyle w:val="BodyTextT"/>
            </w:pPr>
          </w:p>
        </w:tc>
        <w:tc>
          <w:tcPr>
            <w:tcW w:w="2394" w:type="pct"/>
          </w:tcPr>
          <w:p w14:paraId="68283AD2"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xml:space="preserve"># Districts with NT / 1000 live births </w:t>
            </w:r>
            <w:r w:rsidRPr="004D407A">
              <w:rPr>
                <w:u w:val="single"/>
                <w:lang w:eastAsia="ja-JP"/>
              </w:rPr>
              <w:t>&gt;</w:t>
            </w:r>
            <w:r w:rsidRPr="004D407A">
              <w:rPr>
                <w:lang w:eastAsia="ja-JP"/>
              </w:rPr>
              <w:t xml:space="preserve"> 1:</w:t>
            </w:r>
          </w:p>
        </w:tc>
        <w:tc>
          <w:tcPr>
            <w:tcW w:w="790" w:type="pct"/>
          </w:tcPr>
          <w:p w14:paraId="6A658A7D"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0</w:t>
            </w:r>
          </w:p>
        </w:tc>
        <w:tc>
          <w:tcPr>
            <w:tcW w:w="797" w:type="pct"/>
          </w:tcPr>
          <w:p w14:paraId="547ED572"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0</w:t>
            </w:r>
          </w:p>
        </w:tc>
      </w:tr>
      <w:tr w:rsidR="004D407A" w:rsidRPr="004D407A" w14:paraId="57016BBE"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4C356010" w14:textId="77777777" w:rsidR="00F34FF1" w:rsidRPr="004D407A" w:rsidRDefault="00F34FF1" w:rsidP="00785F83">
            <w:pPr>
              <w:pStyle w:val="BodyTextT"/>
            </w:pPr>
          </w:p>
        </w:tc>
        <w:tc>
          <w:tcPr>
            <w:tcW w:w="2394" w:type="pct"/>
          </w:tcPr>
          <w:p w14:paraId="36B31191"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xml:space="preserve"># High-risk districts conducting SIAs with TT: </w:t>
            </w:r>
          </w:p>
        </w:tc>
        <w:tc>
          <w:tcPr>
            <w:tcW w:w="790" w:type="pct"/>
          </w:tcPr>
          <w:p w14:paraId="0EB5B3A8"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23 in 2014 and 40 in 2015</w:t>
            </w:r>
          </w:p>
        </w:tc>
        <w:tc>
          <w:tcPr>
            <w:tcW w:w="797" w:type="pct"/>
          </w:tcPr>
          <w:p w14:paraId="6BB9EE8C"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no data</w:t>
            </w:r>
          </w:p>
        </w:tc>
      </w:tr>
      <w:tr w:rsidR="004D407A" w:rsidRPr="004D407A" w14:paraId="29C9A63E" w14:textId="77777777" w:rsidTr="00785F83">
        <w:tc>
          <w:tcPr>
            <w:cnfStyle w:val="001000000000" w:firstRow="0" w:lastRow="0" w:firstColumn="1" w:lastColumn="0" w:oddVBand="0" w:evenVBand="0" w:oddHBand="0" w:evenHBand="0" w:firstRowFirstColumn="0" w:firstRowLastColumn="0" w:lastRowFirstColumn="0" w:lastRowLastColumn="0"/>
            <w:tcW w:w="1019" w:type="pct"/>
            <w:vMerge/>
          </w:tcPr>
          <w:p w14:paraId="6C8F2DAA" w14:textId="77777777" w:rsidR="00F34FF1" w:rsidRPr="004D407A" w:rsidRDefault="00F34FF1" w:rsidP="00785F83">
            <w:pPr>
              <w:pStyle w:val="BodyTextT"/>
            </w:pPr>
          </w:p>
        </w:tc>
        <w:tc>
          <w:tcPr>
            <w:tcW w:w="2394" w:type="pct"/>
          </w:tcPr>
          <w:p w14:paraId="4BD7C433"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 xml:space="preserve">% School-aged children receiving TT through the routine school health </w:t>
            </w:r>
            <w:proofErr w:type="spellStart"/>
            <w:r w:rsidRPr="004D407A">
              <w:rPr>
                <w:lang w:eastAsia="ja-JP"/>
              </w:rPr>
              <w:t>programme</w:t>
            </w:r>
            <w:proofErr w:type="spellEnd"/>
            <w:r w:rsidRPr="004D407A">
              <w:rPr>
                <w:lang w:eastAsia="ja-JP"/>
              </w:rPr>
              <w:t xml:space="preserve">: </w:t>
            </w:r>
          </w:p>
        </w:tc>
        <w:tc>
          <w:tcPr>
            <w:tcW w:w="790" w:type="pct"/>
          </w:tcPr>
          <w:p w14:paraId="2F8EB2AB"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&gt;80 (Denominator school enrolled children)</w:t>
            </w:r>
          </w:p>
        </w:tc>
        <w:tc>
          <w:tcPr>
            <w:tcW w:w="797" w:type="pct"/>
          </w:tcPr>
          <w:p w14:paraId="1069114E" w14:textId="77777777" w:rsidR="00F34FF1" w:rsidRPr="004D407A" w:rsidRDefault="00F34FF1" w:rsidP="00785F83">
            <w:pPr>
              <w:pStyle w:val="BodyTextT"/>
              <w:cnfStyle w:val="000000000000" w:firstRow="0" w:lastRow="0" w:firstColumn="0" w:lastColumn="0" w:oddVBand="0" w:evenVBand="0" w:oddHBand="0" w:evenHBand="0" w:firstRowFirstColumn="0" w:firstRowLastColumn="0" w:lastRowFirstColumn="0" w:lastRowLastColumn="0"/>
              <w:rPr>
                <w:lang w:eastAsia="ja-JP"/>
              </w:rPr>
            </w:pPr>
            <w:r w:rsidRPr="004D407A">
              <w:rPr>
                <w:lang w:eastAsia="ja-JP"/>
              </w:rPr>
              <w:t>no data</w:t>
            </w:r>
          </w:p>
        </w:tc>
      </w:tr>
      <w:bookmarkEnd w:id="199"/>
    </w:tbl>
    <w:p w14:paraId="638EFABE" w14:textId="7316A5C7" w:rsidR="009B5C61" w:rsidRPr="004D407A" w:rsidRDefault="009B5C61" w:rsidP="007D235F">
      <w:pPr>
        <w:pStyle w:val="mySource"/>
        <w:spacing w:after="0"/>
        <w:rPr>
          <w:color w:val="auto"/>
        </w:rPr>
      </w:pPr>
    </w:p>
    <w:p w14:paraId="4982BADC" w14:textId="1B81F489" w:rsidR="00660F31" w:rsidRPr="004D407A" w:rsidRDefault="00660F31" w:rsidP="00660F31">
      <w:pPr>
        <w:pStyle w:val="mySource"/>
        <w:rPr>
          <w:rFonts w:ascii="Sylfaen" w:hAnsi="Sylfaen"/>
          <w:color w:val="auto"/>
        </w:rPr>
      </w:pPr>
      <w:r w:rsidRPr="004D407A">
        <w:rPr>
          <w:color w:val="auto"/>
        </w:rPr>
        <w:t>Source: WHO CO, Bangladesh, 20</w:t>
      </w:r>
      <w:r w:rsidR="00082CBE" w:rsidRPr="004D407A">
        <w:rPr>
          <w:color w:val="auto"/>
        </w:rPr>
        <w:t>21</w:t>
      </w:r>
    </w:p>
    <w:p w14:paraId="374761D0" w14:textId="129B950A" w:rsidR="00660F31" w:rsidRPr="004D407A" w:rsidRDefault="00660F31" w:rsidP="00526CCA">
      <w:pPr>
        <w:pStyle w:val="Heading4"/>
        <w:numPr>
          <w:ilvl w:val="3"/>
          <w:numId w:val="10"/>
        </w:numPr>
        <w:spacing w:after="160"/>
        <w:rPr>
          <w:color w:val="auto"/>
        </w:rPr>
      </w:pPr>
      <w:bookmarkStart w:id="201" w:name="_Toc489491516"/>
      <w:bookmarkStart w:id="202" w:name="_Toc111910257"/>
      <w:r w:rsidRPr="004D407A">
        <w:rPr>
          <w:color w:val="auto"/>
        </w:rPr>
        <w:t>Polio</w:t>
      </w:r>
      <w:bookmarkEnd w:id="200"/>
      <w:bookmarkEnd w:id="201"/>
      <w:bookmarkEnd w:id="202"/>
    </w:p>
    <w:p w14:paraId="40238546" w14:textId="4B716145" w:rsidR="00F52DA3" w:rsidRPr="004D407A" w:rsidRDefault="00113FDA" w:rsidP="003932C7">
      <w:pPr>
        <w:pStyle w:val="BodyText"/>
        <w:rPr>
          <w:rFonts w:ascii="Arial" w:hAnsi="Arial"/>
        </w:rPr>
      </w:pPr>
      <w:r w:rsidRPr="004D407A">
        <w:rPr>
          <w:rFonts w:ascii="Arial" w:hAnsi="Arial"/>
        </w:rPr>
        <w:t xml:space="preserve">Bangladesh successfully stopped transmission of indigenous wild poliovirus in August 2000 and has been maintaining polio free status since the last polio case detected on 22 November 2006 following an importation from Western Uttar Pradesh (UP) of India. At that time, India was the only polio endemic country in WHO SEAR. During that outbreak, Bangladesh detected 18 cases from 12 districts in all the then 6 Divisions. Bangladesh successfully tackled that situation. Finally, on 27 March 2014 all member states under WHO SEAR were certified as polio-free. </w:t>
      </w:r>
    </w:p>
    <w:p w14:paraId="57AD5FE5" w14:textId="75B8F101" w:rsidR="00B862A1" w:rsidRPr="004D407A" w:rsidRDefault="00B862A1" w:rsidP="003932C7">
      <w:pPr>
        <w:pStyle w:val="BodyText"/>
        <w:rPr>
          <w:rFonts w:ascii="Arial" w:hAnsi="Arial"/>
        </w:rPr>
      </w:pPr>
      <w:r w:rsidRPr="004D407A">
        <w:rPr>
          <w:rFonts w:ascii="Arial" w:hAnsi="Arial"/>
        </w:rPr>
        <w:t xml:space="preserve">The main objective of the current NIS in the period of 2023-2027 is to Maintain Polio Free Status which will be ensured through the implementation of </w:t>
      </w:r>
      <w:r w:rsidR="00BD0D76" w:rsidRPr="004D407A">
        <w:rPr>
          <w:rFonts w:ascii="Arial" w:hAnsi="Arial"/>
        </w:rPr>
        <w:t>the set of strategic interventions to ensure:</w:t>
      </w:r>
    </w:p>
    <w:p w14:paraId="7FF87A8A" w14:textId="2D5417F9" w:rsidR="00B862A1" w:rsidRPr="004D407A" w:rsidRDefault="00BD0D76">
      <w:pPr>
        <w:pStyle w:val="BodyText"/>
        <w:numPr>
          <w:ilvl w:val="6"/>
          <w:numId w:val="37"/>
        </w:numPr>
        <w:ind w:left="1134" w:hanging="425"/>
        <w:rPr>
          <w:rFonts w:ascii="Arial" w:hAnsi="Arial"/>
          <w:bdr w:val="none" w:sz="0" w:space="0" w:color="auto" w:frame="1"/>
        </w:rPr>
      </w:pPr>
      <w:r w:rsidRPr="004D407A">
        <w:rPr>
          <w:rFonts w:ascii="Arial" w:hAnsi="Arial"/>
        </w:rPr>
        <w:t xml:space="preserve">Early detection and appropriate response to outbreak of poliovirus of any type through certification </w:t>
      </w:r>
      <w:r w:rsidR="00316E44" w:rsidRPr="004D407A">
        <w:rPr>
          <w:rFonts w:ascii="Arial" w:hAnsi="Arial"/>
        </w:rPr>
        <w:t xml:space="preserve">of </w:t>
      </w:r>
      <w:r w:rsidRPr="004D407A">
        <w:rPr>
          <w:rFonts w:ascii="Arial" w:hAnsi="Arial"/>
        </w:rPr>
        <w:t xml:space="preserve">standard AFP surveillance, environmental </w:t>
      </w:r>
      <w:proofErr w:type="gramStart"/>
      <w:r w:rsidRPr="004D407A">
        <w:rPr>
          <w:rFonts w:ascii="Arial" w:hAnsi="Arial"/>
        </w:rPr>
        <w:t>surveillance</w:t>
      </w:r>
      <w:proofErr w:type="gramEnd"/>
      <w:r w:rsidRPr="004D407A">
        <w:rPr>
          <w:rFonts w:ascii="Arial" w:hAnsi="Arial"/>
        </w:rPr>
        <w:t xml:space="preserve"> and outbreak response </w:t>
      </w:r>
      <w:r w:rsidR="00E717CB" w:rsidRPr="004D407A">
        <w:rPr>
          <w:rFonts w:ascii="Arial" w:hAnsi="Arial"/>
        </w:rPr>
        <w:t>plan.</w:t>
      </w:r>
    </w:p>
    <w:p w14:paraId="4684130A" w14:textId="7B99254F" w:rsidR="00BD0D76" w:rsidRPr="004D407A" w:rsidRDefault="00BD0D76">
      <w:pPr>
        <w:pStyle w:val="BodyText"/>
        <w:numPr>
          <w:ilvl w:val="6"/>
          <w:numId w:val="37"/>
        </w:numPr>
        <w:ind w:left="1134" w:hanging="425"/>
        <w:rPr>
          <w:rFonts w:ascii="Arial" w:hAnsi="Arial"/>
          <w:bdr w:val="none" w:sz="0" w:space="0" w:color="auto" w:frame="1"/>
        </w:rPr>
      </w:pPr>
      <w:r w:rsidRPr="004D407A">
        <w:rPr>
          <w:rFonts w:ascii="Arial" w:hAnsi="Arial"/>
        </w:rPr>
        <w:t xml:space="preserve">high population immunity against poliovirus through high routine OPV and IPV </w:t>
      </w:r>
      <w:r w:rsidR="00316E44" w:rsidRPr="004D407A">
        <w:rPr>
          <w:rFonts w:ascii="Arial" w:hAnsi="Arial"/>
        </w:rPr>
        <w:t>coverage.</w:t>
      </w:r>
    </w:p>
    <w:p w14:paraId="28A271FD" w14:textId="2964F807" w:rsidR="00BD0D76" w:rsidRPr="004D407A" w:rsidRDefault="00BD0D76">
      <w:pPr>
        <w:pStyle w:val="BodyText"/>
        <w:numPr>
          <w:ilvl w:val="6"/>
          <w:numId w:val="37"/>
        </w:numPr>
        <w:ind w:left="1134" w:hanging="425"/>
        <w:rPr>
          <w:rFonts w:ascii="Arial" w:hAnsi="Arial"/>
          <w:bdr w:val="none" w:sz="0" w:space="0" w:color="auto" w:frame="1"/>
        </w:rPr>
      </w:pPr>
      <w:r w:rsidRPr="004D407A">
        <w:rPr>
          <w:rFonts w:ascii="Arial" w:hAnsi="Arial"/>
        </w:rPr>
        <w:t>containment of poliovirus as per GAP III and polio certification</w:t>
      </w:r>
      <w:r w:rsidR="00316E44" w:rsidRPr="004D407A">
        <w:rPr>
          <w:rFonts w:ascii="Arial" w:hAnsi="Arial"/>
        </w:rPr>
        <w:t>; and</w:t>
      </w:r>
    </w:p>
    <w:p w14:paraId="2AEC2E90" w14:textId="53EB48EA" w:rsidR="00BD0D76" w:rsidRPr="004D407A" w:rsidRDefault="00BD0D76">
      <w:pPr>
        <w:pStyle w:val="BodyText"/>
        <w:numPr>
          <w:ilvl w:val="6"/>
          <w:numId w:val="37"/>
        </w:numPr>
        <w:ind w:left="1134" w:hanging="425"/>
        <w:rPr>
          <w:bdr w:val="none" w:sz="0" w:space="0" w:color="auto" w:frame="1"/>
        </w:rPr>
      </w:pPr>
      <w:r w:rsidRPr="004D407A">
        <w:rPr>
          <w:rFonts w:ascii="Arial" w:hAnsi="Arial"/>
        </w:rPr>
        <w:t>Ensure appropriate transition of polio surveillance network and assets</w:t>
      </w:r>
      <w:r w:rsidR="00316E44" w:rsidRPr="004D407A">
        <w:rPr>
          <w:rFonts w:ascii="Arial" w:hAnsi="Arial"/>
        </w:rPr>
        <w:t>.</w:t>
      </w:r>
    </w:p>
    <w:p w14:paraId="045926DB" w14:textId="283B37E5" w:rsidR="00316E44" w:rsidRPr="004D407A" w:rsidRDefault="00316E44" w:rsidP="00316E44">
      <w:pPr>
        <w:pStyle w:val="BodyText"/>
        <w:rPr>
          <w:rFonts w:ascii="Arial" w:hAnsi="Arial"/>
          <w:bdr w:val="none" w:sz="0" w:space="0" w:color="auto" w:frame="1"/>
        </w:rPr>
      </w:pPr>
      <w:r w:rsidRPr="004D407A">
        <w:rPr>
          <w:rFonts w:ascii="Arial" w:hAnsi="Arial"/>
          <w:bdr w:val="none" w:sz="0" w:space="0" w:color="auto" w:frame="1"/>
        </w:rPr>
        <w:t>For implementation of the above strategic interventions, the country defined sets of activities, which will be included in the operational plans of the country.</w:t>
      </w:r>
    </w:p>
    <w:p w14:paraId="387B6123" w14:textId="32113313" w:rsidR="00660F31" w:rsidRPr="004D407A" w:rsidRDefault="00660F31" w:rsidP="00526CCA">
      <w:pPr>
        <w:pStyle w:val="Heading4"/>
        <w:numPr>
          <w:ilvl w:val="3"/>
          <w:numId w:val="10"/>
        </w:numPr>
        <w:spacing w:after="160"/>
        <w:rPr>
          <w:color w:val="auto"/>
        </w:rPr>
      </w:pPr>
      <w:bookmarkStart w:id="203" w:name="_Toc439638789"/>
      <w:bookmarkStart w:id="204" w:name="_Toc489491517"/>
      <w:bookmarkStart w:id="205" w:name="_Toc111910258"/>
      <w:r w:rsidRPr="004D407A">
        <w:rPr>
          <w:color w:val="auto"/>
        </w:rPr>
        <w:t>Maternal Neonatal Tetanus Elimination</w:t>
      </w:r>
      <w:bookmarkEnd w:id="203"/>
      <w:bookmarkEnd w:id="204"/>
      <w:bookmarkEnd w:id="205"/>
    </w:p>
    <w:p w14:paraId="442AFA52" w14:textId="22F13568" w:rsidR="0002761D" w:rsidRPr="004D407A" w:rsidRDefault="00660F31" w:rsidP="00660F31">
      <w:pPr>
        <w:pStyle w:val="BodyText"/>
        <w:rPr>
          <w:rFonts w:ascii="Arial" w:hAnsi="Arial"/>
        </w:rPr>
      </w:pPr>
      <w:r w:rsidRPr="004D407A">
        <w:rPr>
          <w:rFonts w:ascii="Arial" w:hAnsi="Arial"/>
        </w:rPr>
        <w:t xml:space="preserve"> </w:t>
      </w:r>
      <w:r w:rsidR="0002761D" w:rsidRPr="004D407A">
        <w:rPr>
          <w:rFonts w:ascii="Arial" w:hAnsi="Arial"/>
        </w:rPr>
        <w:t xml:space="preserve">Bangladesh has achieved and maintained MNT elimination status (&lt;1 case per 1,000 live births in each district of the country since 2008. </w:t>
      </w:r>
      <w:r w:rsidR="00B579CC" w:rsidRPr="004D407A">
        <w:rPr>
          <w:rFonts w:ascii="Arial" w:hAnsi="Arial"/>
        </w:rPr>
        <w:t>As of 2021</w:t>
      </w:r>
      <w:r w:rsidR="0002761D" w:rsidRPr="004D407A">
        <w:rPr>
          <w:rFonts w:ascii="Arial" w:hAnsi="Arial"/>
        </w:rPr>
        <w:t xml:space="preserve">, </w:t>
      </w:r>
      <w:r w:rsidR="00B579CC" w:rsidRPr="004D407A">
        <w:rPr>
          <w:rFonts w:ascii="Arial" w:hAnsi="Arial"/>
        </w:rPr>
        <w:t>33</w:t>
      </w:r>
      <w:r w:rsidR="0002761D" w:rsidRPr="004D407A">
        <w:rPr>
          <w:rFonts w:ascii="Arial" w:hAnsi="Arial"/>
        </w:rPr>
        <w:t xml:space="preserve"> NT cases have been reported from </w:t>
      </w:r>
      <w:r w:rsidR="00B579CC" w:rsidRPr="004D407A">
        <w:rPr>
          <w:rFonts w:ascii="Arial" w:hAnsi="Arial"/>
        </w:rPr>
        <w:t>2</w:t>
      </w:r>
      <w:r w:rsidR="0002761D" w:rsidRPr="004D407A">
        <w:rPr>
          <w:rFonts w:ascii="Arial" w:hAnsi="Arial"/>
        </w:rPr>
        <w:t>6% of units (2</w:t>
      </w:r>
      <w:r w:rsidR="00B579CC" w:rsidRPr="004D407A">
        <w:rPr>
          <w:rFonts w:ascii="Arial" w:hAnsi="Arial"/>
        </w:rPr>
        <w:t>0</w:t>
      </w:r>
      <w:r w:rsidR="0002761D" w:rsidRPr="004D407A">
        <w:rPr>
          <w:rFonts w:ascii="Arial" w:hAnsi="Arial"/>
        </w:rPr>
        <w:t>/7</w:t>
      </w:r>
      <w:r w:rsidR="00B579CC" w:rsidRPr="004D407A">
        <w:rPr>
          <w:rFonts w:ascii="Arial" w:hAnsi="Arial"/>
        </w:rPr>
        <w:t>6</w:t>
      </w:r>
      <w:r w:rsidR="0002761D" w:rsidRPr="004D407A">
        <w:rPr>
          <w:rFonts w:ascii="Arial" w:hAnsi="Arial"/>
        </w:rPr>
        <w:t>). National incidence rate is 0.0</w:t>
      </w:r>
      <w:r w:rsidR="00B579CC" w:rsidRPr="004D407A">
        <w:rPr>
          <w:rFonts w:ascii="Arial" w:hAnsi="Arial"/>
        </w:rPr>
        <w:t>09</w:t>
      </w:r>
      <w:r w:rsidR="0002761D" w:rsidRPr="004D407A">
        <w:rPr>
          <w:rFonts w:ascii="Arial" w:hAnsi="Arial"/>
        </w:rPr>
        <w:t xml:space="preserve"> per 1,000 live births with the highest accidence in </w:t>
      </w:r>
      <w:r w:rsidR="00B579CC" w:rsidRPr="004D407A">
        <w:rPr>
          <w:rFonts w:ascii="Arial" w:hAnsi="Arial"/>
        </w:rPr>
        <w:t>Mymensingh</w:t>
      </w:r>
      <w:r w:rsidR="0002761D" w:rsidRPr="004D407A">
        <w:rPr>
          <w:rFonts w:ascii="Arial" w:hAnsi="Arial"/>
        </w:rPr>
        <w:t xml:space="preserve"> district (0.</w:t>
      </w:r>
      <w:r w:rsidR="00B579CC" w:rsidRPr="004D407A">
        <w:rPr>
          <w:rFonts w:ascii="Arial" w:hAnsi="Arial"/>
        </w:rPr>
        <w:t>082/</w:t>
      </w:r>
      <w:r w:rsidR="0002761D" w:rsidRPr="004D407A">
        <w:rPr>
          <w:rFonts w:ascii="Arial" w:hAnsi="Arial"/>
        </w:rPr>
        <w:t>1,000 live births).</w:t>
      </w:r>
    </w:p>
    <w:p w14:paraId="34CEA74C" w14:textId="798C4B5B" w:rsidR="0002761D" w:rsidRPr="004D407A" w:rsidRDefault="0002761D" w:rsidP="00660F31">
      <w:pPr>
        <w:pStyle w:val="BodyText"/>
      </w:pPr>
      <w:r w:rsidRPr="004D407A">
        <w:rPr>
          <w:rFonts w:ascii="Arial" w:hAnsi="Arial"/>
        </w:rPr>
        <w:t xml:space="preserve">As part of NT surveillance protocol, Case Response Immunization (CRI) through which </w:t>
      </w:r>
      <w:r w:rsidR="00B579CC" w:rsidRPr="004D407A">
        <w:rPr>
          <w:rFonts w:ascii="Arial" w:hAnsi="Arial"/>
        </w:rPr>
        <w:t>19,927</w:t>
      </w:r>
      <w:r w:rsidRPr="004D407A">
        <w:rPr>
          <w:rFonts w:ascii="Arial" w:hAnsi="Arial"/>
        </w:rPr>
        <w:t xml:space="preserve"> women of childbearing age (15-29 years) were screened for TT</w:t>
      </w:r>
      <w:r w:rsidR="00B579CC" w:rsidRPr="004D407A">
        <w:rPr>
          <w:rFonts w:ascii="Arial" w:hAnsi="Arial"/>
        </w:rPr>
        <w:t>/Td</w:t>
      </w:r>
      <w:r w:rsidRPr="004D407A">
        <w:rPr>
          <w:rFonts w:ascii="Arial" w:hAnsi="Arial"/>
        </w:rPr>
        <w:t xml:space="preserve"> eligibility </w:t>
      </w:r>
      <w:r w:rsidR="00B579CC" w:rsidRPr="004D407A">
        <w:rPr>
          <w:rFonts w:ascii="Arial" w:hAnsi="Arial"/>
        </w:rPr>
        <w:t xml:space="preserve">of those 3,431 found eligible followed </w:t>
      </w:r>
      <w:r w:rsidRPr="004D407A">
        <w:rPr>
          <w:rFonts w:ascii="Arial" w:hAnsi="Arial"/>
        </w:rPr>
        <w:t xml:space="preserve">by vaccination of </w:t>
      </w:r>
      <w:r w:rsidR="00B579CC" w:rsidRPr="004D407A">
        <w:rPr>
          <w:rFonts w:ascii="Arial" w:hAnsi="Arial"/>
        </w:rPr>
        <w:t>3</w:t>
      </w:r>
      <w:r w:rsidRPr="004D407A">
        <w:rPr>
          <w:rFonts w:ascii="Arial" w:hAnsi="Arial"/>
        </w:rPr>
        <w:t>,1</w:t>
      </w:r>
      <w:r w:rsidR="00B579CC" w:rsidRPr="004D407A">
        <w:rPr>
          <w:rFonts w:ascii="Arial" w:hAnsi="Arial"/>
        </w:rPr>
        <w:t>9</w:t>
      </w:r>
      <w:r w:rsidRPr="004D407A">
        <w:rPr>
          <w:rFonts w:ascii="Arial" w:hAnsi="Arial"/>
        </w:rPr>
        <w:t xml:space="preserve"> as per TT</w:t>
      </w:r>
      <w:r w:rsidR="00B579CC" w:rsidRPr="004D407A">
        <w:rPr>
          <w:rFonts w:ascii="Arial" w:hAnsi="Arial"/>
        </w:rPr>
        <w:t>/Td</w:t>
      </w:r>
      <w:r w:rsidRPr="004D407A">
        <w:rPr>
          <w:rFonts w:ascii="Arial" w:hAnsi="Arial"/>
        </w:rPr>
        <w:t xml:space="preserve">-5 schedule. Through the same efforts additional case finding which includes searching of neonatal deaths also were carried out. Number of identified cases was 0. </w:t>
      </w:r>
    </w:p>
    <w:p w14:paraId="6EE378B4" w14:textId="161097A4" w:rsidR="00660F31" w:rsidRPr="004D407A" w:rsidRDefault="00660F31" w:rsidP="00526CCA">
      <w:pPr>
        <w:pStyle w:val="Heading4"/>
        <w:numPr>
          <w:ilvl w:val="3"/>
          <w:numId w:val="10"/>
        </w:numPr>
        <w:spacing w:after="160"/>
        <w:rPr>
          <w:color w:val="auto"/>
        </w:rPr>
      </w:pPr>
      <w:bookmarkStart w:id="206" w:name="_Toc439638790"/>
      <w:bookmarkStart w:id="207" w:name="_Toc489491518"/>
      <w:bookmarkStart w:id="208" w:name="_Toc111910259"/>
      <w:r w:rsidRPr="004D407A">
        <w:rPr>
          <w:color w:val="auto"/>
        </w:rPr>
        <w:lastRenderedPageBreak/>
        <w:t>Measles</w:t>
      </w:r>
      <w:bookmarkEnd w:id="206"/>
      <w:bookmarkEnd w:id="207"/>
      <w:bookmarkEnd w:id="208"/>
    </w:p>
    <w:p w14:paraId="159618EA" w14:textId="5FAC3FEA" w:rsidR="001C23C5" w:rsidRPr="004D407A" w:rsidRDefault="001C23C5" w:rsidP="001C23C5">
      <w:pPr>
        <w:pStyle w:val="myHeading1"/>
        <w:rPr>
          <w:color w:val="auto"/>
        </w:rPr>
      </w:pPr>
      <w:r w:rsidRPr="004D407A">
        <w:rPr>
          <w:color w:val="auto"/>
        </w:rPr>
        <w:t>Epidemiologic trends</w:t>
      </w:r>
    </w:p>
    <w:p w14:paraId="3CFDB3C2" w14:textId="32C7385F" w:rsidR="001C23C5" w:rsidRPr="004D407A" w:rsidRDefault="001C23C5" w:rsidP="001C23C5">
      <w:pPr>
        <w:pStyle w:val="BodyText"/>
        <w:rPr>
          <w:rFonts w:ascii="Arial" w:hAnsi="Arial"/>
          <w:lang w:val="en-GB"/>
        </w:rPr>
      </w:pPr>
      <w:r w:rsidRPr="004D407A">
        <w:rPr>
          <w:rFonts w:ascii="Arial" w:hAnsi="Arial"/>
          <w:lang w:val="en-GB"/>
        </w:rPr>
        <w:t xml:space="preserve">The epidemiology of measles, rubella and CRS in Bangladesh </w:t>
      </w:r>
      <w:r w:rsidR="002B55AC" w:rsidRPr="004D407A">
        <w:rPr>
          <w:rFonts w:ascii="Arial" w:hAnsi="Arial"/>
          <w:lang w:val="en-GB"/>
        </w:rPr>
        <w:t>shows</w:t>
      </w:r>
      <w:r w:rsidRPr="004D407A">
        <w:rPr>
          <w:rFonts w:ascii="Arial" w:hAnsi="Arial"/>
          <w:lang w:val="en-GB"/>
        </w:rPr>
        <w:t xml:space="preserve"> that the country is making progress towards elimination</w:t>
      </w:r>
      <w:r w:rsidR="00C57D97" w:rsidRPr="004D407A">
        <w:rPr>
          <w:rFonts w:ascii="Arial" w:hAnsi="Arial"/>
          <w:lang w:val="en-GB"/>
        </w:rPr>
        <w:t xml:space="preserve"> of MR&amp;CRS</w:t>
      </w:r>
      <w:r w:rsidRPr="004D407A">
        <w:rPr>
          <w:rFonts w:ascii="Arial" w:hAnsi="Arial"/>
          <w:lang w:val="en-GB"/>
        </w:rPr>
        <w:t>.  Following the 2014 catch up MR SIA, the number of measles and rubella outbreaks dropped sharply during 2014 and 2015</w:t>
      </w:r>
      <w:r w:rsidR="00BC64E3" w:rsidRPr="004D407A">
        <w:rPr>
          <w:rFonts w:ascii="Arial" w:hAnsi="Arial"/>
          <w:lang w:val="en-GB"/>
        </w:rPr>
        <w:t>.</w:t>
      </w:r>
      <w:r w:rsidRPr="004D407A">
        <w:rPr>
          <w:rFonts w:ascii="Arial" w:hAnsi="Arial"/>
          <w:lang w:val="en-GB"/>
        </w:rPr>
        <w:t xml:space="preserve">  Similarly, the actual number of rubella cases dropped and has remained low, with annual incidence of 1.0 – 1.2 confirmed cases per million population since 2014.  However, the number of measles outbreaks has picked up in 2016</w:t>
      </w:r>
      <w:r w:rsidR="00BC64E3" w:rsidRPr="004D407A">
        <w:rPr>
          <w:rFonts w:ascii="Arial" w:hAnsi="Arial"/>
          <w:lang w:val="en-GB"/>
        </w:rPr>
        <w:t xml:space="preserve">, </w:t>
      </w:r>
      <w:r w:rsidRPr="004D407A">
        <w:rPr>
          <w:rFonts w:ascii="Arial" w:hAnsi="Arial"/>
          <w:lang w:val="en-GB"/>
        </w:rPr>
        <w:t>2017</w:t>
      </w:r>
      <w:r w:rsidR="00BC64E3" w:rsidRPr="004D407A">
        <w:rPr>
          <w:rFonts w:ascii="Arial" w:hAnsi="Arial"/>
          <w:lang w:val="en-GB"/>
        </w:rPr>
        <w:t xml:space="preserve"> and 2022.</w:t>
      </w:r>
      <w:r w:rsidRPr="004D407A">
        <w:rPr>
          <w:rFonts w:ascii="Arial" w:hAnsi="Arial"/>
          <w:lang w:val="en-GB"/>
        </w:rPr>
        <w:t xml:space="preserve"> </w:t>
      </w:r>
    </w:p>
    <w:p w14:paraId="34165A37" w14:textId="1B8BCF79" w:rsidR="00BC64E3" w:rsidRPr="004D407A" w:rsidRDefault="00BC64E3" w:rsidP="00BC64E3">
      <w:pPr>
        <w:pStyle w:val="BodyText"/>
        <w:rPr>
          <w:rFonts w:ascii="Arial" w:hAnsi="Arial"/>
          <w:lang w:val="en-GB"/>
        </w:rPr>
      </w:pPr>
      <w:r w:rsidRPr="004D407A">
        <w:rPr>
          <w:rFonts w:ascii="Arial" w:hAnsi="Arial"/>
          <w:lang w:val="en-GB"/>
        </w:rPr>
        <w:t xml:space="preserve">The detail information about the measles outbreaks during the period 2020-2022 are provided in </w:t>
      </w:r>
      <w:r w:rsidRPr="004D407A">
        <w:rPr>
          <w:rFonts w:ascii="Arial" w:hAnsi="Arial"/>
          <w:lang w:val="en-GB"/>
        </w:rPr>
        <w:fldChar w:fldCharType="begin"/>
      </w:r>
      <w:r w:rsidRPr="004D407A">
        <w:rPr>
          <w:rFonts w:ascii="Arial" w:hAnsi="Arial"/>
          <w:lang w:val="en-GB"/>
        </w:rPr>
        <w:instrText xml:space="preserve"> REF _Ref103603644 \h </w:instrText>
      </w:r>
      <w:r w:rsidR="007847A9" w:rsidRPr="004D407A">
        <w:rPr>
          <w:rFonts w:ascii="Arial" w:hAnsi="Arial"/>
          <w:lang w:val="en-GB"/>
        </w:rPr>
        <w:instrText xml:space="preserve"> \* MERGEFORMAT </w:instrText>
      </w:r>
      <w:r w:rsidRPr="004D407A">
        <w:rPr>
          <w:rFonts w:ascii="Arial" w:hAnsi="Arial"/>
          <w:lang w:val="en-GB"/>
        </w:rPr>
      </w:r>
      <w:r w:rsidRPr="004D407A">
        <w:rPr>
          <w:rFonts w:ascii="Arial" w:hAnsi="Arial"/>
          <w:lang w:val="en-GB"/>
        </w:rPr>
        <w:fldChar w:fldCharType="separate"/>
      </w:r>
      <w:r w:rsidR="00D80429" w:rsidRPr="004D407A">
        <w:rPr>
          <w:rFonts w:ascii="Arial" w:hAnsi="Arial"/>
        </w:rPr>
        <w:t xml:space="preserve">Figure </w:t>
      </w:r>
      <w:r w:rsidR="00D80429" w:rsidRPr="004D407A">
        <w:rPr>
          <w:rFonts w:ascii="Arial" w:hAnsi="Arial"/>
          <w:noProof/>
        </w:rPr>
        <w:t>20</w:t>
      </w:r>
      <w:r w:rsidRPr="004D407A">
        <w:rPr>
          <w:rFonts w:ascii="Arial" w:hAnsi="Arial"/>
          <w:lang w:val="en-GB"/>
        </w:rPr>
        <w:fldChar w:fldCharType="end"/>
      </w:r>
      <w:r w:rsidRPr="004D407A">
        <w:rPr>
          <w:rFonts w:ascii="Arial" w:hAnsi="Arial"/>
          <w:lang w:val="en-GB"/>
        </w:rPr>
        <w:t xml:space="preserve"> below:</w:t>
      </w:r>
    </w:p>
    <w:p w14:paraId="334B4DE1" w14:textId="1AE96E13" w:rsidR="00BC64E3" w:rsidRPr="004D407A" w:rsidRDefault="00BC64E3" w:rsidP="00BC64E3">
      <w:pPr>
        <w:pStyle w:val="Caption"/>
        <w:rPr>
          <w:color w:val="auto"/>
        </w:rPr>
      </w:pPr>
      <w:bookmarkStart w:id="209" w:name="_Ref103603644"/>
      <w:bookmarkStart w:id="210" w:name="_Toc111912759"/>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20</w:t>
      </w:r>
      <w:r w:rsidR="00E21383" w:rsidRPr="004D407A">
        <w:rPr>
          <w:noProof/>
          <w:color w:val="auto"/>
        </w:rPr>
        <w:fldChar w:fldCharType="end"/>
      </w:r>
      <w:bookmarkEnd w:id="209"/>
      <w:r w:rsidRPr="004D407A">
        <w:rPr>
          <w:color w:val="auto"/>
        </w:rPr>
        <w:t>: Measles Outbreaks in 2020-2022</w:t>
      </w:r>
      <w:bookmarkEnd w:id="210"/>
    </w:p>
    <w:p w14:paraId="665C4E95" w14:textId="79FCF5B1" w:rsidR="00BC64E3" w:rsidRPr="004D407A" w:rsidRDefault="00BC64E3" w:rsidP="00BC64E3">
      <w:r w:rsidRPr="004D407A">
        <w:rPr>
          <w:noProof/>
        </w:rPr>
        <w:drawing>
          <wp:inline distT="0" distB="0" distL="0" distR="0" wp14:anchorId="5D8C7684" wp14:editId="60362FA2">
            <wp:extent cx="5739754" cy="1590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6784" cy="1600847"/>
                    </a:xfrm>
                    <a:prstGeom prst="rect">
                      <a:avLst/>
                    </a:prstGeom>
                    <a:noFill/>
                  </pic:spPr>
                </pic:pic>
              </a:graphicData>
            </a:graphic>
          </wp:inline>
        </w:drawing>
      </w:r>
    </w:p>
    <w:p w14:paraId="5018048F" w14:textId="21CC9035" w:rsidR="000974BE" w:rsidRPr="004D407A" w:rsidRDefault="000974BE" w:rsidP="000974BE">
      <w:pPr>
        <w:pStyle w:val="mySource"/>
        <w:rPr>
          <w:color w:val="auto"/>
        </w:rPr>
      </w:pPr>
      <w:r w:rsidRPr="004D407A">
        <w:rPr>
          <w:color w:val="auto"/>
        </w:rPr>
        <w:t xml:space="preserve">Source: WHO CO </w:t>
      </w:r>
      <w:r w:rsidR="00DB548E" w:rsidRPr="004D407A">
        <w:rPr>
          <w:color w:val="auto"/>
        </w:rPr>
        <w:t>Bangladesh</w:t>
      </w:r>
      <w:r w:rsidRPr="004D407A">
        <w:rPr>
          <w:color w:val="auto"/>
        </w:rPr>
        <w:t xml:space="preserve"> 2022</w:t>
      </w:r>
    </w:p>
    <w:p w14:paraId="7F2FC4E8" w14:textId="32703179" w:rsidR="004E4D72" w:rsidRPr="004D407A" w:rsidRDefault="004E4D72" w:rsidP="004E4D72">
      <w:pPr>
        <w:pStyle w:val="myHeading1"/>
        <w:rPr>
          <w:color w:val="auto"/>
        </w:rPr>
      </w:pPr>
      <w:r w:rsidRPr="004D407A">
        <w:rPr>
          <w:color w:val="auto"/>
        </w:rPr>
        <w:t>Coverage details</w:t>
      </w:r>
    </w:p>
    <w:p w14:paraId="7F6AE674" w14:textId="5C13DDB3" w:rsidR="009D2ECA" w:rsidRPr="004D407A" w:rsidRDefault="009D2ECA" w:rsidP="00741155">
      <w:pPr>
        <w:pStyle w:val="BodyText"/>
        <w:rPr>
          <w:rFonts w:ascii="Arial" w:hAnsi="Arial"/>
          <w:lang w:val="en-GB"/>
        </w:rPr>
      </w:pPr>
      <w:r w:rsidRPr="004D407A">
        <w:rPr>
          <w:rFonts w:ascii="Arial" w:hAnsi="Arial"/>
          <w:lang w:val="en-GB"/>
        </w:rPr>
        <w:t>Routine MCV1 and MCV2 coverage have progressively increased over time.</w:t>
      </w:r>
      <w:r w:rsidR="00741155" w:rsidRPr="004D407A">
        <w:rPr>
          <w:rFonts w:ascii="Arial" w:hAnsi="Arial"/>
          <w:lang w:val="en-GB"/>
        </w:rPr>
        <w:t xml:space="preserve"> According to the Coverage Evaluation Survey 2019 v</w:t>
      </w:r>
      <w:r w:rsidR="003507D0" w:rsidRPr="004D407A">
        <w:rPr>
          <w:rFonts w:ascii="Arial" w:hAnsi="Arial"/>
          <w:lang w:val="en-GB"/>
        </w:rPr>
        <w:t>alid coverage with MCV1 by 12 months and MCV2 by 24 months is lower than crude coverage by 24 months</w:t>
      </w:r>
      <w:r w:rsidR="00A16BED" w:rsidRPr="004D407A">
        <w:rPr>
          <w:rFonts w:ascii="Arial" w:hAnsi="Arial"/>
          <w:lang w:val="en-GB"/>
        </w:rPr>
        <w:t xml:space="preserve"> (as shown in </w:t>
      </w:r>
      <w:r w:rsidR="00A16BED" w:rsidRPr="004D407A">
        <w:rPr>
          <w:rFonts w:ascii="Arial" w:hAnsi="Arial"/>
          <w:lang w:val="en-GB"/>
        </w:rPr>
        <w:fldChar w:fldCharType="begin"/>
      </w:r>
      <w:r w:rsidR="00A16BED" w:rsidRPr="004D407A">
        <w:rPr>
          <w:rFonts w:ascii="Arial" w:hAnsi="Arial"/>
          <w:lang w:val="en-GB"/>
        </w:rPr>
        <w:instrText xml:space="preserve"> REF _Ref490078743 \h </w:instrText>
      </w:r>
      <w:r w:rsidR="007847A9" w:rsidRPr="004D407A">
        <w:rPr>
          <w:rFonts w:ascii="Arial" w:hAnsi="Arial"/>
          <w:lang w:val="en-GB"/>
        </w:rPr>
        <w:instrText xml:space="preserve"> \* MERGEFORMAT </w:instrText>
      </w:r>
      <w:r w:rsidR="00A16BED" w:rsidRPr="004D407A">
        <w:rPr>
          <w:rFonts w:ascii="Arial" w:hAnsi="Arial"/>
          <w:lang w:val="en-GB"/>
        </w:rPr>
      </w:r>
      <w:r w:rsidR="00A16BED" w:rsidRPr="004D407A">
        <w:rPr>
          <w:rFonts w:ascii="Arial" w:hAnsi="Arial"/>
          <w:lang w:val="en-GB"/>
        </w:rPr>
        <w:fldChar w:fldCharType="separate"/>
      </w:r>
      <w:r w:rsidR="00D80429" w:rsidRPr="004D407A">
        <w:rPr>
          <w:rFonts w:ascii="Arial" w:hAnsi="Arial"/>
        </w:rPr>
        <w:t xml:space="preserve">Figure </w:t>
      </w:r>
      <w:r w:rsidR="00D80429" w:rsidRPr="004D407A">
        <w:rPr>
          <w:rFonts w:ascii="Arial" w:hAnsi="Arial"/>
          <w:noProof/>
        </w:rPr>
        <w:t>21</w:t>
      </w:r>
      <w:r w:rsidR="00A16BED" w:rsidRPr="004D407A">
        <w:rPr>
          <w:rFonts w:ascii="Arial" w:hAnsi="Arial"/>
          <w:lang w:val="en-GB"/>
        </w:rPr>
        <w:fldChar w:fldCharType="end"/>
      </w:r>
      <w:r w:rsidR="00617C86" w:rsidRPr="004D407A">
        <w:rPr>
          <w:rFonts w:ascii="Arial" w:hAnsi="Arial"/>
          <w:lang w:val="en-GB"/>
        </w:rPr>
        <w:t xml:space="preserve"> </w:t>
      </w:r>
      <w:r w:rsidR="00A16BED" w:rsidRPr="004D407A">
        <w:rPr>
          <w:rFonts w:ascii="Arial" w:hAnsi="Arial"/>
          <w:lang w:val="en-GB"/>
        </w:rPr>
        <w:fldChar w:fldCharType="begin"/>
      </w:r>
      <w:r w:rsidR="00A16BED" w:rsidRPr="004D407A">
        <w:rPr>
          <w:rFonts w:ascii="Arial" w:hAnsi="Arial"/>
          <w:lang w:val="en-GB"/>
        </w:rPr>
        <w:instrText xml:space="preserve"> PAGEREF _Ref490078746 \p \h </w:instrText>
      </w:r>
      <w:r w:rsidR="00A16BED" w:rsidRPr="004D407A">
        <w:rPr>
          <w:rFonts w:ascii="Arial" w:hAnsi="Arial"/>
          <w:lang w:val="en-GB"/>
        </w:rPr>
      </w:r>
      <w:r w:rsidR="00A16BED" w:rsidRPr="004D407A">
        <w:rPr>
          <w:rFonts w:ascii="Arial" w:hAnsi="Arial"/>
          <w:lang w:val="en-GB"/>
        </w:rPr>
        <w:fldChar w:fldCharType="separate"/>
      </w:r>
      <w:r w:rsidR="00D80429" w:rsidRPr="004D407A">
        <w:rPr>
          <w:rFonts w:ascii="Arial" w:hAnsi="Arial"/>
          <w:noProof/>
          <w:lang w:val="en-GB"/>
        </w:rPr>
        <w:t>below</w:t>
      </w:r>
      <w:r w:rsidR="00A16BED" w:rsidRPr="004D407A">
        <w:rPr>
          <w:rFonts w:ascii="Arial" w:hAnsi="Arial"/>
          <w:lang w:val="en-GB"/>
        </w:rPr>
        <w:fldChar w:fldCharType="end"/>
      </w:r>
      <w:r w:rsidR="00A16BED" w:rsidRPr="004D407A">
        <w:rPr>
          <w:rFonts w:ascii="Arial" w:hAnsi="Arial"/>
          <w:lang w:val="en-GB"/>
        </w:rPr>
        <w:t>)</w:t>
      </w:r>
      <w:r w:rsidR="003507D0" w:rsidRPr="004D407A">
        <w:rPr>
          <w:rFonts w:ascii="Arial" w:hAnsi="Arial"/>
          <w:lang w:val="en-GB"/>
        </w:rPr>
        <w:t xml:space="preserve">. </w:t>
      </w:r>
    </w:p>
    <w:p w14:paraId="1443CFB2" w14:textId="5F3CB883" w:rsidR="00A16BED" w:rsidRPr="004D407A" w:rsidRDefault="00A16BED" w:rsidP="00A16BED">
      <w:pPr>
        <w:pStyle w:val="Caption"/>
        <w:jc w:val="both"/>
        <w:rPr>
          <w:color w:val="auto"/>
        </w:rPr>
      </w:pPr>
      <w:bookmarkStart w:id="211" w:name="_Ref490078743"/>
      <w:bookmarkStart w:id="212" w:name="_Ref490078746"/>
      <w:bookmarkStart w:id="213" w:name="_Toc490750631"/>
      <w:bookmarkStart w:id="214" w:name="_Toc111912760"/>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21</w:t>
      </w:r>
      <w:r w:rsidR="00E21383" w:rsidRPr="004D407A">
        <w:rPr>
          <w:noProof/>
          <w:color w:val="auto"/>
        </w:rPr>
        <w:fldChar w:fldCharType="end"/>
      </w:r>
      <w:bookmarkEnd w:id="211"/>
      <w:r w:rsidRPr="004D407A">
        <w:rPr>
          <w:noProof/>
          <w:color w:val="auto"/>
        </w:rPr>
        <w:t>:</w:t>
      </w:r>
      <w:r w:rsidR="004E1DDF" w:rsidRPr="004D407A">
        <w:rPr>
          <w:noProof/>
          <w:color w:val="auto"/>
        </w:rPr>
        <w:t xml:space="preserve"> </w:t>
      </w:r>
      <w:r w:rsidRPr="004D407A">
        <w:rPr>
          <w:noProof/>
          <w:color w:val="auto"/>
        </w:rPr>
        <w:t>Survey MCV1 and MCV2 coverage, valid by 12 months and crude by 24 months of age, Bangladesh 2001-2016</w:t>
      </w:r>
      <w:bookmarkEnd w:id="212"/>
      <w:bookmarkEnd w:id="213"/>
      <w:bookmarkEnd w:id="214"/>
    </w:p>
    <w:p w14:paraId="37A5D518" w14:textId="331E1708" w:rsidR="00A16BED" w:rsidRPr="004D407A" w:rsidRDefault="00215A8D" w:rsidP="00E90D5B">
      <w:pPr>
        <w:pStyle w:val="myChart"/>
        <w:rPr>
          <w:lang w:val="en-GB"/>
        </w:rPr>
      </w:pPr>
      <w:r w:rsidRPr="004D407A">
        <w:rPr>
          <w:noProof/>
        </w:rPr>
        <w:drawing>
          <wp:inline distT="0" distB="0" distL="0" distR="0" wp14:anchorId="5CF7CC8F" wp14:editId="3F2F3A3E">
            <wp:extent cx="4238872" cy="27269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3526" cy="2742833"/>
                    </a:xfrm>
                    <a:prstGeom prst="rect">
                      <a:avLst/>
                    </a:prstGeom>
                    <a:noFill/>
                  </pic:spPr>
                </pic:pic>
              </a:graphicData>
            </a:graphic>
          </wp:inline>
        </w:drawing>
      </w:r>
    </w:p>
    <w:p w14:paraId="3B4B8E1A" w14:textId="53DE64BF" w:rsidR="005B71AD" w:rsidRPr="004D407A" w:rsidRDefault="005B71AD" w:rsidP="005B71AD">
      <w:pPr>
        <w:pStyle w:val="mySource"/>
        <w:rPr>
          <w:color w:val="auto"/>
          <w:lang w:val="en-GB"/>
        </w:rPr>
      </w:pPr>
      <w:r w:rsidRPr="004D407A">
        <w:rPr>
          <w:color w:val="auto"/>
        </w:rPr>
        <w:t>Source:</w:t>
      </w:r>
      <w:r w:rsidR="00215A8D" w:rsidRPr="004D407A">
        <w:rPr>
          <w:color w:val="auto"/>
        </w:rPr>
        <w:t xml:space="preserve"> CES 2019</w:t>
      </w:r>
    </w:p>
    <w:p w14:paraId="40C420F1" w14:textId="0D156FB5" w:rsidR="004E4D72" w:rsidRPr="004D407A" w:rsidRDefault="004E4D72" w:rsidP="00855EB8">
      <w:pPr>
        <w:pStyle w:val="BodyText"/>
        <w:rPr>
          <w:rFonts w:ascii="Arial" w:hAnsi="Arial"/>
          <w:lang w:val="en-GB"/>
        </w:rPr>
      </w:pPr>
      <w:r w:rsidRPr="004D407A">
        <w:rPr>
          <w:rFonts w:ascii="Arial" w:hAnsi="Arial"/>
          <w:lang w:val="en-GB"/>
        </w:rPr>
        <w:lastRenderedPageBreak/>
        <w:t>The number of districts and city corporations achieving high levels of routine MCV1 and MCV2 coverage is also steadily increasing, suggesting an increasing homogeneity of high coverage.  From 2013 to 201</w:t>
      </w:r>
      <w:r w:rsidR="009441F3" w:rsidRPr="004D407A">
        <w:rPr>
          <w:rFonts w:ascii="Arial" w:hAnsi="Arial"/>
          <w:lang w:val="en-GB"/>
        </w:rPr>
        <w:t>9</w:t>
      </w:r>
      <w:r w:rsidRPr="004D407A">
        <w:rPr>
          <w:rFonts w:ascii="Arial" w:hAnsi="Arial"/>
          <w:lang w:val="en-GB"/>
        </w:rPr>
        <w:t xml:space="preserve">, the number (and percentage) of districts and city corporations achieving at least 95% crude MCV1 coverage increased from 23 (31%) to </w:t>
      </w:r>
      <w:r w:rsidR="00805E45" w:rsidRPr="004D407A">
        <w:rPr>
          <w:rFonts w:ascii="Arial" w:hAnsi="Arial"/>
          <w:lang w:val="en-GB"/>
        </w:rPr>
        <w:t>76</w:t>
      </w:r>
      <w:r w:rsidRPr="004D407A">
        <w:rPr>
          <w:rFonts w:ascii="Arial" w:hAnsi="Arial"/>
          <w:lang w:val="en-GB"/>
        </w:rPr>
        <w:t xml:space="preserve"> (</w:t>
      </w:r>
      <w:r w:rsidR="0049626E" w:rsidRPr="004D407A">
        <w:rPr>
          <w:rFonts w:ascii="Arial" w:hAnsi="Arial"/>
          <w:lang w:val="en-GB"/>
        </w:rPr>
        <w:t>100</w:t>
      </w:r>
      <w:r w:rsidRPr="004D407A">
        <w:rPr>
          <w:rFonts w:ascii="Arial" w:hAnsi="Arial"/>
          <w:lang w:val="en-GB"/>
        </w:rPr>
        <w:t xml:space="preserve">%). </w:t>
      </w:r>
    </w:p>
    <w:p w14:paraId="751E8FCD" w14:textId="7DF19721" w:rsidR="004E4D72" w:rsidRPr="004D407A" w:rsidRDefault="004E4D72" w:rsidP="00855EB8">
      <w:pPr>
        <w:pStyle w:val="BodyText"/>
        <w:rPr>
          <w:rFonts w:ascii="Arial" w:hAnsi="Arial"/>
          <w:lang w:val="en-GB"/>
        </w:rPr>
      </w:pPr>
      <w:r w:rsidRPr="004D407A">
        <w:rPr>
          <w:rFonts w:ascii="Arial" w:hAnsi="Arial"/>
          <w:lang w:val="en-GB"/>
        </w:rPr>
        <w:t xml:space="preserve">Improvement in valid coverage of MCV1 by 12 months was not as impressive. However, it is worth noting that the number of districts with 70-79% coverage decreased from 8 in 2013 to </w:t>
      </w:r>
      <w:r w:rsidR="00DE1CDC" w:rsidRPr="004D407A">
        <w:rPr>
          <w:rFonts w:ascii="Arial" w:hAnsi="Arial"/>
          <w:lang w:val="en-GB"/>
        </w:rPr>
        <w:t>6</w:t>
      </w:r>
      <w:r w:rsidRPr="004D407A">
        <w:rPr>
          <w:rFonts w:ascii="Arial" w:hAnsi="Arial"/>
          <w:lang w:val="en-GB"/>
        </w:rPr>
        <w:t xml:space="preserve"> in 201</w:t>
      </w:r>
      <w:r w:rsidR="00DE1CDC" w:rsidRPr="004D407A">
        <w:rPr>
          <w:rFonts w:ascii="Arial" w:hAnsi="Arial"/>
          <w:lang w:val="en-GB"/>
        </w:rPr>
        <w:t>9</w:t>
      </w:r>
      <w:r w:rsidRPr="004D407A">
        <w:rPr>
          <w:rFonts w:ascii="Arial" w:hAnsi="Arial"/>
          <w:lang w:val="en-GB"/>
        </w:rPr>
        <w:t xml:space="preserve">; however, the number of city corporations with this level of coverage increased from 3 </w:t>
      </w:r>
      <w:r w:rsidR="00A65417" w:rsidRPr="004D407A">
        <w:rPr>
          <w:rFonts w:ascii="Arial" w:hAnsi="Arial"/>
          <w:lang w:val="en-GB"/>
        </w:rPr>
        <w:t xml:space="preserve">in 2013 </w:t>
      </w:r>
      <w:r w:rsidRPr="004D407A">
        <w:rPr>
          <w:rFonts w:ascii="Arial" w:hAnsi="Arial"/>
          <w:lang w:val="en-GB"/>
        </w:rPr>
        <w:t>to 5</w:t>
      </w:r>
      <w:r w:rsidR="00700061" w:rsidRPr="004D407A">
        <w:rPr>
          <w:rFonts w:ascii="Arial" w:hAnsi="Arial"/>
          <w:lang w:val="en-GB"/>
        </w:rPr>
        <w:t xml:space="preserve"> in 2019</w:t>
      </w:r>
      <w:r w:rsidRPr="004D407A">
        <w:rPr>
          <w:rFonts w:ascii="Arial" w:hAnsi="Arial"/>
          <w:lang w:val="en-GB"/>
        </w:rPr>
        <w:t>.</w:t>
      </w:r>
    </w:p>
    <w:p w14:paraId="6A6BBA6B" w14:textId="3D670591" w:rsidR="004E4D72" w:rsidRPr="004D407A" w:rsidRDefault="004E4D72" w:rsidP="00855EB8">
      <w:pPr>
        <w:pStyle w:val="BodyText"/>
        <w:rPr>
          <w:rFonts w:ascii="Arial" w:hAnsi="Arial"/>
          <w:lang w:val="en-GB"/>
        </w:rPr>
      </w:pPr>
      <w:r w:rsidRPr="004D407A">
        <w:rPr>
          <w:rFonts w:ascii="Arial" w:hAnsi="Arial"/>
          <w:lang w:val="en-GB"/>
        </w:rPr>
        <w:t xml:space="preserve">MCV2 was introduced in 2012 and since that time has seen a rapid increase in coverage, </w:t>
      </w:r>
      <w:r w:rsidR="00A65417" w:rsidRPr="004D407A">
        <w:rPr>
          <w:rFonts w:ascii="Arial" w:hAnsi="Arial"/>
          <w:lang w:val="en-GB"/>
        </w:rPr>
        <w:t>92.6</w:t>
      </w:r>
      <w:r w:rsidR="00FA27DD" w:rsidRPr="004D407A">
        <w:rPr>
          <w:rFonts w:ascii="Arial" w:hAnsi="Arial"/>
          <w:lang w:val="en-GB"/>
        </w:rPr>
        <w:t>% crude</w:t>
      </w:r>
      <w:r w:rsidRPr="004D407A">
        <w:rPr>
          <w:rFonts w:ascii="Arial" w:hAnsi="Arial"/>
          <w:lang w:val="en-GB"/>
        </w:rPr>
        <w:t xml:space="preserve"> coverage by 24 months according to the 201</w:t>
      </w:r>
      <w:r w:rsidR="00A65417" w:rsidRPr="004D407A">
        <w:rPr>
          <w:rFonts w:ascii="Arial" w:hAnsi="Arial"/>
          <w:lang w:val="en-GB"/>
        </w:rPr>
        <w:t>9</w:t>
      </w:r>
      <w:r w:rsidRPr="004D407A">
        <w:rPr>
          <w:rFonts w:ascii="Arial" w:hAnsi="Arial"/>
          <w:lang w:val="en-GB"/>
        </w:rPr>
        <w:t xml:space="preserve"> CES.  The number of districts and city corporations that achieved at least 90% coverage increased from 29 (39%) in 2016</w:t>
      </w:r>
      <w:r w:rsidR="00A65417" w:rsidRPr="004D407A">
        <w:rPr>
          <w:rFonts w:ascii="Arial" w:hAnsi="Arial"/>
          <w:lang w:val="en-GB"/>
        </w:rPr>
        <w:t xml:space="preserve"> to 56 in 2019</w:t>
      </w:r>
      <w:r w:rsidRPr="004D407A">
        <w:rPr>
          <w:rFonts w:ascii="Arial" w:hAnsi="Arial"/>
          <w:lang w:val="en-GB"/>
        </w:rPr>
        <w:t>.  Still, coverage is not homogeneous: in 201</w:t>
      </w:r>
      <w:r w:rsidR="001F11C8" w:rsidRPr="004D407A">
        <w:rPr>
          <w:rFonts w:ascii="Arial" w:hAnsi="Arial"/>
          <w:lang w:val="en-GB"/>
        </w:rPr>
        <w:t>9</w:t>
      </w:r>
      <w:r w:rsidRPr="004D407A">
        <w:rPr>
          <w:rFonts w:ascii="Arial" w:hAnsi="Arial"/>
          <w:lang w:val="en-GB"/>
        </w:rPr>
        <w:t xml:space="preserve">, </w:t>
      </w:r>
      <w:r w:rsidR="001F11C8" w:rsidRPr="004D407A">
        <w:rPr>
          <w:rFonts w:ascii="Arial" w:hAnsi="Arial"/>
          <w:lang w:val="en-GB"/>
        </w:rPr>
        <w:t>41</w:t>
      </w:r>
      <w:r w:rsidRPr="004D407A">
        <w:rPr>
          <w:rFonts w:ascii="Arial" w:hAnsi="Arial"/>
          <w:lang w:val="en-GB"/>
        </w:rPr>
        <w:t xml:space="preserve"> (5</w:t>
      </w:r>
      <w:r w:rsidR="001F11C8" w:rsidRPr="004D407A">
        <w:rPr>
          <w:rFonts w:ascii="Arial" w:hAnsi="Arial"/>
          <w:lang w:val="en-GB"/>
        </w:rPr>
        <w:t>4</w:t>
      </w:r>
      <w:r w:rsidRPr="004D407A">
        <w:rPr>
          <w:rFonts w:ascii="Arial" w:hAnsi="Arial"/>
          <w:lang w:val="en-GB"/>
        </w:rPr>
        <w:t xml:space="preserve">%) districts and city corporations had 80-89% coverage and </w:t>
      </w:r>
      <w:r w:rsidR="001F11C8" w:rsidRPr="004D407A">
        <w:rPr>
          <w:rFonts w:ascii="Arial" w:hAnsi="Arial"/>
          <w:lang w:val="en-GB"/>
        </w:rPr>
        <w:t>3</w:t>
      </w:r>
      <w:r w:rsidRPr="004D407A">
        <w:rPr>
          <w:rFonts w:ascii="Arial" w:hAnsi="Arial"/>
          <w:lang w:val="en-GB"/>
        </w:rPr>
        <w:t xml:space="preserve"> had coverage &lt;80%.  The authors of the 201</w:t>
      </w:r>
      <w:r w:rsidR="001F11C8" w:rsidRPr="004D407A">
        <w:rPr>
          <w:rFonts w:ascii="Arial" w:hAnsi="Arial"/>
          <w:lang w:val="en-GB"/>
        </w:rPr>
        <w:t>9</w:t>
      </w:r>
      <w:r w:rsidRPr="004D407A">
        <w:rPr>
          <w:rFonts w:ascii="Arial" w:hAnsi="Arial"/>
          <w:lang w:val="en-GB"/>
        </w:rPr>
        <w:t xml:space="preserve"> CES defined a valid MCV2 dose as one received at 15 months of age or later, i.e., according to the EPI Schedule.  However, it is not clear that MCV2 provided earlier than 15 months is substantially less immunogenic than MCV2 administered at 12 months of age.  Therefore, we shall rely on the crude MCV2 coverage as an indicator of protection. </w:t>
      </w:r>
    </w:p>
    <w:p w14:paraId="0C61B212" w14:textId="616DCED4" w:rsidR="00CC3A1D" w:rsidRPr="004D407A" w:rsidRDefault="00CC3A1D" w:rsidP="00CC3A1D">
      <w:pPr>
        <w:pStyle w:val="myHeading1"/>
        <w:rPr>
          <w:color w:val="auto"/>
          <w:lang w:val="en-GB"/>
        </w:rPr>
      </w:pPr>
      <w:bookmarkStart w:id="215" w:name="_Hlk102033329"/>
      <w:r w:rsidRPr="004D407A">
        <w:rPr>
          <w:color w:val="auto"/>
          <w:lang w:val="en-GB"/>
        </w:rPr>
        <w:t>Measles and Rubella surveillance</w:t>
      </w:r>
    </w:p>
    <w:p w14:paraId="38EC3A2E" w14:textId="421ED269" w:rsidR="00DE3BC3" w:rsidRPr="004D407A" w:rsidRDefault="00DE3BC3" w:rsidP="00973409">
      <w:pPr>
        <w:pStyle w:val="BodyText"/>
        <w:rPr>
          <w:rFonts w:ascii="Arial" w:hAnsi="Arial"/>
        </w:rPr>
      </w:pPr>
      <w:r w:rsidRPr="004D407A">
        <w:rPr>
          <w:rFonts w:ascii="Arial" w:hAnsi="Arial"/>
          <w:lang w:val="en-GB"/>
        </w:rPr>
        <w:t>Bangladesh’s measles and rubella surveillance has satisfied most performance indicator targets for several years. CRS surveillance began in Bangladesh in 2012 and currently is conducted through 16</w:t>
      </w:r>
      <w:r w:rsidR="00FA27DD" w:rsidRPr="004D407A">
        <w:rPr>
          <w:rFonts w:ascii="Arial" w:hAnsi="Arial"/>
          <w:lang w:val="en-GB"/>
        </w:rPr>
        <w:t>7</w:t>
      </w:r>
      <w:r w:rsidRPr="004D407A">
        <w:rPr>
          <w:rFonts w:ascii="Arial" w:hAnsi="Arial"/>
          <w:lang w:val="en-GB"/>
        </w:rPr>
        <w:t xml:space="preserve"> active VPD surveillance sites throughout Bangladesh </w:t>
      </w:r>
      <w:r w:rsidR="00FA27DD" w:rsidRPr="004D407A">
        <w:rPr>
          <w:rFonts w:ascii="Arial" w:hAnsi="Arial"/>
          <w:lang w:val="en-GB"/>
        </w:rPr>
        <w:t xml:space="preserve">that includes 20 </w:t>
      </w:r>
      <w:r w:rsidRPr="004D407A">
        <w:rPr>
          <w:rFonts w:ascii="Arial" w:hAnsi="Arial"/>
          <w:lang w:val="en-GB"/>
        </w:rPr>
        <w:t>cardiology and ophthalmology specialty clinics/hospitals.  The 625 passive VPD surveillance sites may also report and refer suspected CRS cases for further evaluation.</w:t>
      </w:r>
      <w:r w:rsidRPr="004D407A">
        <w:rPr>
          <w:rFonts w:ascii="Arial" w:hAnsi="Arial"/>
        </w:rPr>
        <w:t xml:space="preserve"> These sites identified </w:t>
      </w:r>
      <w:r w:rsidR="00FA27DD" w:rsidRPr="004D407A">
        <w:rPr>
          <w:rFonts w:ascii="Arial" w:hAnsi="Arial"/>
        </w:rPr>
        <w:t>1,397</w:t>
      </w:r>
      <w:r w:rsidRPr="004D407A">
        <w:rPr>
          <w:rFonts w:ascii="Arial" w:hAnsi="Arial"/>
        </w:rPr>
        <w:t xml:space="preserve"> suspect CRS cases from 2012 - 20</w:t>
      </w:r>
      <w:r w:rsidR="00FA27DD" w:rsidRPr="004D407A">
        <w:rPr>
          <w:rFonts w:ascii="Arial" w:hAnsi="Arial"/>
        </w:rPr>
        <w:t>21</w:t>
      </w:r>
      <w:r w:rsidRPr="004D407A">
        <w:rPr>
          <w:rFonts w:ascii="Arial" w:hAnsi="Arial"/>
        </w:rPr>
        <w:t xml:space="preserve">.  Of these </w:t>
      </w:r>
      <w:r w:rsidR="00FA27DD" w:rsidRPr="004D407A">
        <w:rPr>
          <w:rFonts w:ascii="Arial" w:hAnsi="Arial"/>
        </w:rPr>
        <w:t>76</w:t>
      </w:r>
      <w:r w:rsidRPr="004D407A">
        <w:rPr>
          <w:rFonts w:ascii="Arial" w:hAnsi="Arial"/>
        </w:rPr>
        <w:t xml:space="preserve"> were IgM positive. No virologic testing is required in the surveillance protocol used in Bangladesh.</w:t>
      </w:r>
    </w:p>
    <w:p w14:paraId="5980C516" w14:textId="1B44FE12" w:rsidR="00DE3BC3" w:rsidRPr="004D407A" w:rsidRDefault="00DE3BC3" w:rsidP="00DE3BC3">
      <w:r w:rsidRPr="004D407A">
        <w:rPr>
          <w:rFonts w:ascii="Arial" w:hAnsi="Arial"/>
        </w:rPr>
        <w:t>The sensitivity of the CRS surveillance system has increased over time from 0.06 to 0.</w:t>
      </w:r>
      <w:r w:rsidR="00BE0857" w:rsidRPr="004D407A">
        <w:rPr>
          <w:rFonts w:ascii="Arial" w:hAnsi="Arial"/>
        </w:rPr>
        <w:t>5</w:t>
      </w:r>
      <w:r w:rsidRPr="004D407A">
        <w:rPr>
          <w:rFonts w:ascii="Arial" w:hAnsi="Arial"/>
        </w:rPr>
        <w:t xml:space="preserve"> cases per 10,000 live births, indicating an improving surveillance system (</w:t>
      </w:r>
      <w:r w:rsidRPr="004D407A">
        <w:rPr>
          <w:rFonts w:ascii="Arial" w:hAnsi="Arial"/>
        </w:rPr>
        <w:fldChar w:fldCharType="begin"/>
      </w:r>
      <w:r w:rsidRPr="004D407A">
        <w:rPr>
          <w:rFonts w:ascii="Arial" w:hAnsi="Arial"/>
        </w:rPr>
        <w:instrText xml:space="preserve"> REF _Ref490082030 \h </w:instrText>
      </w:r>
      <w:r w:rsidR="007847A9"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22</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_Ref490082035 \p \h </w:instrText>
      </w:r>
      <w:r w:rsidR="007847A9"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below</w:t>
      </w:r>
      <w:r w:rsidRPr="004D407A">
        <w:rPr>
          <w:rFonts w:ascii="Arial" w:hAnsi="Arial"/>
        </w:rPr>
        <w:fldChar w:fldCharType="end"/>
      </w:r>
      <w:r w:rsidRPr="004D407A">
        <w:rPr>
          <w:rFonts w:ascii="Arial" w:hAnsi="Arial"/>
        </w:rPr>
        <w:t xml:space="preserve">).  Laboratory specimen collection, testing and reporting is performing well. </w:t>
      </w:r>
    </w:p>
    <w:p w14:paraId="3C15B6AF" w14:textId="72B0E1A7" w:rsidR="00DE3BC3" w:rsidRPr="004D407A" w:rsidRDefault="001902B1" w:rsidP="00DE3BC3">
      <w:pPr>
        <w:pStyle w:val="Caption"/>
        <w:rPr>
          <w:color w:val="auto"/>
        </w:rPr>
      </w:pPr>
      <w:bookmarkStart w:id="216" w:name="_Ref490082030"/>
      <w:bookmarkStart w:id="217" w:name="_Ref490082035"/>
      <w:bookmarkStart w:id="218" w:name="_Toc490750632"/>
      <w:bookmarkStart w:id="219" w:name="_Toc111912761"/>
      <w:r w:rsidRPr="004D407A">
        <w:rPr>
          <w:noProof/>
          <w:color w:val="auto"/>
        </w:rPr>
        <w:drawing>
          <wp:anchor distT="0" distB="0" distL="114300" distR="114300" simplePos="0" relativeHeight="251659264" behindDoc="0" locked="0" layoutInCell="1" allowOverlap="1" wp14:anchorId="2AFCF0B5" wp14:editId="18419233">
            <wp:simplePos x="0" y="0"/>
            <wp:positionH relativeFrom="column">
              <wp:posOffset>-16601</wp:posOffset>
            </wp:positionH>
            <wp:positionV relativeFrom="paragraph">
              <wp:posOffset>169212</wp:posOffset>
            </wp:positionV>
            <wp:extent cx="5410240" cy="2552719"/>
            <wp:effectExtent l="0" t="0" r="0" b="0"/>
            <wp:wrapTopAndBottom/>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410240" cy="2552719"/>
                    </a:xfrm>
                    <a:prstGeom prst="rect">
                      <a:avLst/>
                    </a:prstGeom>
                  </pic:spPr>
                </pic:pic>
              </a:graphicData>
            </a:graphic>
          </wp:anchor>
        </w:drawing>
      </w:r>
      <w:r w:rsidR="00DE3BC3"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22</w:t>
      </w:r>
      <w:r w:rsidR="00E21383" w:rsidRPr="004D407A">
        <w:rPr>
          <w:noProof/>
          <w:color w:val="auto"/>
        </w:rPr>
        <w:fldChar w:fldCharType="end"/>
      </w:r>
      <w:bookmarkEnd w:id="216"/>
      <w:r w:rsidR="00DE3BC3" w:rsidRPr="004D407A">
        <w:rPr>
          <w:color w:val="auto"/>
        </w:rPr>
        <w:t>:</w:t>
      </w:r>
      <w:r w:rsidR="001351F4" w:rsidRPr="004D407A">
        <w:rPr>
          <w:color w:val="auto"/>
        </w:rPr>
        <w:t xml:space="preserve"> </w:t>
      </w:r>
      <w:r w:rsidR="00DE3BC3" w:rsidRPr="004D407A">
        <w:rPr>
          <w:color w:val="auto"/>
        </w:rPr>
        <w:t>CRS Surveillance Performance Indicators, Bangladesh 2012-20</w:t>
      </w:r>
      <w:bookmarkEnd w:id="217"/>
      <w:bookmarkEnd w:id="218"/>
      <w:r w:rsidR="00340870" w:rsidRPr="004D407A">
        <w:rPr>
          <w:color w:val="auto"/>
        </w:rPr>
        <w:t>21</w:t>
      </w:r>
      <w:bookmarkEnd w:id="219"/>
    </w:p>
    <w:p w14:paraId="70818AC6" w14:textId="0DA3A1CD" w:rsidR="005B71AD" w:rsidRPr="004D407A" w:rsidRDefault="005B71AD" w:rsidP="005B71AD">
      <w:pPr>
        <w:pStyle w:val="mySource"/>
        <w:rPr>
          <w:color w:val="auto"/>
        </w:rPr>
      </w:pPr>
      <w:r w:rsidRPr="004D407A">
        <w:rPr>
          <w:color w:val="auto"/>
        </w:rPr>
        <w:t>Source:</w:t>
      </w:r>
      <w:r w:rsidR="00B9126C" w:rsidRPr="004D407A">
        <w:rPr>
          <w:color w:val="auto"/>
        </w:rPr>
        <w:t xml:space="preserve"> WHO CO Bangladesh 2022</w:t>
      </w:r>
    </w:p>
    <w:p w14:paraId="5D2A4A61" w14:textId="77777777" w:rsidR="00E53D03" w:rsidRPr="004D407A" w:rsidRDefault="00E53D03" w:rsidP="00E53D03">
      <w:pPr>
        <w:pStyle w:val="Heading2"/>
        <w:rPr>
          <w:color w:val="auto"/>
        </w:rPr>
      </w:pPr>
      <w:bookmarkStart w:id="220" w:name="_Toc103004683"/>
      <w:bookmarkStart w:id="221" w:name="_Toc111910260"/>
      <w:bookmarkEnd w:id="188"/>
      <w:bookmarkEnd w:id="215"/>
      <w:r w:rsidRPr="004D407A">
        <w:rPr>
          <w:color w:val="auto"/>
        </w:rPr>
        <w:lastRenderedPageBreak/>
        <w:t>Summary of situational Analysis</w:t>
      </w:r>
      <w:bookmarkEnd w:id="220"/>
      <w:bookmarkEnd w:id="221"/>
    </w:p>
    <w:p w14:paraId="3A74655F" w14:textId="78484241" w:rsidR="00E53D03" w:rsidRPr="004D407A" w:rsidRDefault="00E53D03" w:rsidP="00E53D03">
      <w:pPr>
        <w:pStyle w:val="Heading3"/>
        <w:rPr>
          <w:color w:val="auto"/>
        </w:rPr>
      </w:pPr>
      <w:bookmarkStart w:id="222" w:name="_Toc489491521"/>
      <w:bookmarkStart w:id="223" w:name="_Toc103004684"/>
      <w:bookmarkStart w:id="224" w:name="_Toc111910261"/>
      <w:r w:rsidRPr="004D407A">
        <w:rPr>
          <w:color w:val="auto"/>
        </w:rPr>
        <w:t>Root cause analysis</w:t>
      </w:r>
      <w:bookmarkEnd w:id="222"/>
      <w:bookmarkEnd w:id="223"/>
      <w:r w:rsidR="009C244E" w:rsidRPr="004D407A">
        <w:rPr>
          <w:color w:val="auto"/>
        </w:rPr>
        <w:t xml:space="preserve"> of EPI Performance</w:t>
      </w:r>
      <w:bookmarkEnd w:id="224"/>
    </w:p>
    <w:p w14:paraId="1E61CA33" w14:textId="77777777" w:rsidR="00E53D03" w:rsidRPr="004D407A" w:rsidRDefault="00E53D03" w:rsidP="00E53D03">
      <w:pPr>
        <w:pStyle w:val="Heading4"/>
        <w:rPr>
          <w:color w:val="auto"/>
        </w:rPr>
      </w:pPr>
      <w:bookmarkStart w:id="225" w:name="_Toc489491522"/>
      <w:bookmarkStart w:id="226" w:name="_Toc103004685"/>
      <w:bookmarkStart w:id="227" w:name="_Toc111910262"/>
      <w:r w:rsidRPr="004D407A">
        <w:rPr>
          <w:color w:val="auto"/>
        </w:rPr>
        <w:t>Current situation</w:t>
      </w:r>
      <w:bookmarkEnd w:id="225"/>
      <w:bookmarkEnd w:id="226"/>
      <w:bookmarkEnd w:id="227"/>
    </w:p>
    <w:p w14:paraId="286E5994" w14:textId="6B4416C2" w:rsidR="00F97F52" w:rsidRPr="004D407A" w:rsidRDefault="00E53D03" w:rsidP="00E53D03">
      <w:pPr>
        <w:pStyle w:val="BodyText"/>
        <w:rPr>
          <w:rFonts w:ascii="Arial" w:hAnsi="Arial"/>
        </w:rPr>
      </w:pPr>
      <w:r w:rsidRPr="004D407A">
        <w:rPr>
          <w:rFonts w:ascii="Arial" w:hAnsi="Arial"/>
        </w:rPr>
        <w:t>The major issues</w:t>
      </w:r>
      <w:r w:rsidR="00B85ED7" w:rsidRPr="004D407A">
        <w:rPr>
          <w:rFonts w:ascii="Arial" w:hAnsi="Arial"/>
        </w:rPr>
        <w:t xml:space="preserve"> of the</w:t>
      </w:r>
      <w:r w:rsidR="002C5680" w:rsidRPr="004D407A">
        <w:rPr>
          <w:rFonts w:ascii="Arial" w:hAnsi="Arial"/>
        </w:rPr>
        <w:t xml:space="preserve"> performance of</w:t>
      </w:r>
      <w:r w:rsidR="00B85ED7" w:rsidRPr="004D407A">
        <w:rPr>
          <w:rFonts w:ascii="Arial" w:hAnsi="Arial"/>
        </w:rPr>
        <w:t xml:space="preserve"> EPI</w:t>
      </w:r>
      <w:r w:rsidR="002C5680" w:rsidRPr="004D407A">
        <w:rPr>
          <w:rFonts w:ascii="Arial" w:hAnsi="Arial"/>
        </w:rPr>
        <w:t xml:space="preserve"> </w:t>
      </w:r>
      <w:r w:rsidR="00766603" w:rsidRPr="004D407A">
        <w:rPr>
          <w:rFonts w:ascii="Arial" w:hAnsi="Arial"/>
        </w:rPr>
        <w:t>were</w:t>
      </w:r>
      <w:r w:rsidR="002C5680" w:rsidRPr="004D407A">
        <w:rPr>
          <w:rFonts w:ascii="Arial" w:hAnsi="Arial"/>
        </w:rPr>
        <w:t xml:space="preserve"> defined and analyzed through the application of the </w:t>
      </w:r>
      <w:r w:rsidR="00993111" w:rsidRPr="004D407A">
        <w:rPr>
          <w:rFonts w:ascii="Arial" w:hAnsi="Arial"/>
        </w:rPr>
        <w:t xml:space="preserve">specific methodology for the </w:t>
      </w:r>
      <w:r w:rsidR="002C5680" w:rsidRPr="004D407A">
        <w:rPr>
          <w:rFonts w:ascii="Arial" w:hAnsi="Arial"/>
        </w:rPr>
        <w:t>Root Cause Analysis (RCA)</w:t>
      </w:r>
      <w:r w:rsidR="00993111" w:rsidRPr="004D407A">
        <w:rPr>
          <w:rFonts w:ascii="Arial" w:hAnsi="Arial"/>
        </w:rPr>
        <w:t xml:space="preserve">, which encompassed </w:t>
      </w:r>
      <w:r w:rsidR="00F97F52" w:rsidRPr="004D407A">
        <w:rPr>
          <w:rFonts w:ascii="Arial" w:hAnsi="Arial"/>
        </w:rPr>
        <w:t>three main steps:</w:t>
      </w:r>
    </w:p>
    <w:p w14:paraId="56048247" w14:textId="4B2D7985" w:rsidR="00F97F52" w:rsidRPr="004D407A" w:rsidRDefault="00F97F52" w:rsidP="00F97F52">
      <w:pPr>
        <w:pStyle w:val="BodyText"/>
        <w:numPr>
          <w:ilvl w:val="6"/>
          <w:numId w:val="6"/>
        </w:numPr>
        <w:tabs>
          <w:tab w:val="clear" w:pos="170"/>
          <w:tab w:val="num" w:pos="1276"/>
        </w:tabs>
        <w:ind w:left="1276" w:hanging="567"/>
        <w:rPr>
          <w:rFonts w:ascii="Arial" w:hAnsi="Arial"/>
        </w:rPr>
      </w:pPr>
      <w:r w:rsidRPr="004D407A">
        <w:rPr>
          <w:rFonts w:ascii="Arial" w:hAnsi="Arial"/>
          <w:b/>
          <w:bCs/>
        </w:rPr>
        <w:t>Building a “Problem tree”</w:t>
      </w:r>
      <w:r w:rsidRPr="004D407A">
        <w:rPr>
          <w:rFonts w:ascii="Arial" w:hAnsi="Arial"/>
        </w:rPr>
        <w:t>: considered development of the logical scheme with the primary problem and underlying causes presented as assumptions.</w:t>
      </w:r>
    </w:p>
    <w:p w14:paraId="61AF20DC" w14:textId="1F5CDD43" w:rsidR="00743DE4" w:rsidRPr="004D407A" w:rsidRDefault="00F97F52" w:rsidP="00F97F52">
      <w:pPr>
        <w:pStyle w:val="BodyText"/>
        <w:numPr>
          <w:ilvl w:val="6"/>
          <w:numId w:val="6"/>
        </w:numPr>
        <w:tabs>
          <w:tab w:val="clear" w:pos="170"/>
          <w:tab w:val="num" w:pos="1276"/>
        </w:tabs>
        <w:ind w:left="1276" w:hanging="567"/>
        <w:rPr>
          <w:rFonts w:ascii="Arial" w:hAnsi="Arial"/>
        </w:rPr>
      </w:pPr>
      <w:r w:rsidRPr="004D407A">
        <w:rPr>
          <w:rFonts w:ascii="Arial" w:hAnsi="Arial"/>
          <w:b/>
          <w:bCs/>
        </w:rPr>
        <w:t>Collection of evidence</w:t>
      </w:r>
      <w:r w:rsidRPr="004D407A">
        <w:rPr>
          <w:rFonts w:ascii="Arial" w:hAnsi="Arial"/>
        </w:rPr>
        <w:t>: collection of</w:t>
      </w:r>
      <w:r w:rsidR="00743DE4" w:rsidRPr="004D407A">
        <w:rPr>
          <w:rFonts w:ascii="Arial" w:hAnsi="Arial"/>
        </w:rPr>
        <w:t xml:space="preserve"> information to substantiate each cause in the problem accompanied with the assessment of</w:t>
      </w:r>
      <w:r w:rsidR="00060658" w:rsidRPr="004D407A">
        <w:rPr>
          <w:rFonts w:ascii="Arial" w:hAnsi="Arial"/>
        </w:rPr>
        <w:t>:</w:t>
      </w:r>
      <w:r w:rsidR="00743DE4" w:rsidRPr="004D407A">
        <w:rPr>
          <w:rFonts w:ascii="Arial" w:hAnsi="Arial"/>
        </w:rPr>
        <w:t xml:space="preserve"> </w:t>
      </w:r>
    </w:p>
    <w:p w14:paraId="72619ADB" w14:textId="77777777" w:rsidR="00743DE4" w:rsidRPr="004D407A" w:rsidRDefault="00743DE4" w:rsidP="00743DE4">
      <w:pPr>
        <w:pStyle w:val="BodyText"/>
        <w:numPr>
          <w:ilvl w:val="7"/>
          <w:numId w:val="6"/>
        </w:numPr>
        <w:tabs>
          <w:tab w:val="clear" w:pos="170"/>
          <w:tab w:val="num" w:pos="1701"/>
        </w:tabs>
        <w:ind w:left="1701" w:hanging="425"/>
        <w:rPr>
          <w:rFonts w:ascii="Arial" w:hAnsi="Arial"/>
        </w:rPr>
      </w:pPr>
      <w:r w:rsidRPr="004D407A">
        <w:rPr>
          <w:rFonts w:ascii="Arial" w:hAnsi="Arial"/>
          <w:b/>
          <w:bCs/>
        </w:rPr>
        <w:t xml:space="preserve">Evidence </w:t>
      </w:r>
      <w:r w:rsidRPr="004D407A">
        <w:rPr>
          <w:rFonts w:ascii="Arial" w:hAnsi="Arial"/>
        </w:rPr>
        <w:t>(</w:t>
      </w:r>
      <w:r w:rsidRPr="004D407A">
        <w:rPr>
          <w:rFonts w:ascii="Arial" w:hAnsi="Arial"/>
          <w:i/>
          <w:iCs/>
        </w:rPr>
        <w:t>Strong, weak or no evidence</w:t>
      </w:r>
      <w:r w:rsidRPr="004D407A">
        <w:rPr>
          <w:rFonts w:ascii="Arial" w:hAnsi="Arial"/>
        </w:rPr>
        <w:t xml:space="preserve">) and </w:t>
      </w:r>
    </w:p>
    <w:p w14:paraId="1EA5A3BC" w14:textId="1B03891D" w:rsidR="00743DE4" w:rsidRPr="004D407A" w:rsidRDefault="00743DE4" w:rsidP="00743DE4">
      <w:pPr>
        <w:pStyle w:val="BodyText"/>
        <w:numPr>
          <w:ilvl w:val="7"/>
          <w:numId w:val="6"/>
        </w:numPr>
        <w:tabs>
          <w:tab w:val="clear" w:pos="170"/>
          <w:tab w:val="num" w:pos="1701"/>
        </w:tabs>
        <w:ind w:left="1701" w:hanging="425"/>
        <w:rPr>
          <w:rFonts w:ascii="Arial" w:hAnsi="Arial"/>
        </w:rPr>
      </w:pPr>
      <w:r w:rsidRPr="004D407A">
        <w:rPr>
          <w:rFonts w:ascii="Arial" w:hAnsi="Arial"/>
        </w:rPr>
        <w:t>relative</w:t>
      </w:r>
      <w:r w:rsidRPr="004D407A">
        <w:rPr>
          <w:rFonts w:ascii="Arial" w:hAnsi="Arial"/>
          <w:b/>
          <w:bCs/>
        </w:rPr>
        <w:t xml:space="preserve"> Importance</w:t>
      </w:r>
      <w:r w:rsidRPr="004D407A">
        <w:rPr>
          <w:rFonts w:ascii="Arial" w:hAnsi="Arial"/>
        </w:rPr>
        <w:t xml:space="preserve"> of the cause (</w:t>
      </w:r>
      <w:r w:rsidRPr="004D407A">
        <w:rPr>
          <w:rFonts w:ascii="Arial" w:hAnsi="Arial"/>
          <w:i/>
          <w:iCs/>
        </w:rPr>
        <w:t>high, medium and low</w:t>
      </w:r>
      <w:proofErr w:type="gramStart"/>
      <w:r w:rsidRPr="004D407A">
        <w:rPr>
          <w:rFonts w:ascii="Arial" w:hAnsi="Arial"/>
        </w:rPr>
        <w:t>);</w:t>
      </w:r>
      <w:proofErr w:type="gramEnd"/>
    </w:p>
    <w:p w14:paraId="7B64E75C" w14:textId="7B35198C" w:rsidR="0097243B" w:rsidRPr="004D407A" w:rsidRDefault="0097243B" w:rsidP="00F97F52">
      <w:pPr>
        <w:pStyle w:val="BodyText"/>
        <w:numPr>
          <w:ilvl w:val="6"/>
          <w:numId w:val="6"/>
        </w:numPr>
        <w:tabs>
          <w:tab w:val="clear" w:pos="170"/>
          <w:tab w:val="num" w:pos="1276"/>
        </w:tabs>
        <w:ind w:left="1276" w:hanging="567"/>
        <w:rPr>
          <w:rFonts w:ascii="Arial" w:hAnsi="Arial"/>
        </w:rPr>
      </w:pPr>
      <w:r w:rsidRPr="004D407A">
        <w:rPr>
          <w:rFonts w:ascii="Arial" w:hAnsi="Arial"/>
          <w:b/>
          <w:bCs/>
        </w:rPr>
        <w:t>Finalization of the root cause analysis diagram</w:t>
      </w:r>
      <w:r w:rsidRPr="004D407A">
        <w:rPr>
          <w:rFonts w:ascii="Arial" w:hAnsi="Arial"/>
        </w:rPr>
        <w:t>, through validation with stakeholders followed by the respective narrative</w:t>
      </w:r>
      <w:r w:rsidR="00993111" w:rsidRPr="004D407A">
        <w:rPr>
          <w:rFonts w:ascii="Arial" w:hAnsi="Arial"/>
        </w:rPr>
        <w:t xml:space="preserve"> (see </w:t>
      </w:r>
      <w:r w:rsidR="00993111" w:rsidRPr="004D407A">
        <w:rPr>
          <w:rFonts w:ascii="Arial" w:hAnsi="Arial"/>
        </w:rPr>
        <w:fldChar w:fldCharType="begin"/>
      </w:r>
      <w:r w:rsidR="00993111" w:rsidRPr="004D407A">
        <w:rPr>
          <w:rFonts w:ascii="Arial" w:hAnsi="Arial"/>
        </w:rPr>
        <w:instrText xml:space="preserve"> REF _Ref104114503 \h  \* MERGEFORMAT </w:instrText>
      </w:r>
      <w:r w:rsidR="00993111" w:rsidRPr="004D407A">
        <w:rPr>
          <w:rFonts w:ascii="Arial" w:hAnsi="Arial"/>
        </w:rPr>
      </w:r>
      <w:r w:rsidR="00993111" w:rsidRPr="004D407A">
        <w:rPr>
          <w:rFonts w:ascii="Arial" w:hAnsi="Arial"/>
        </w:rPr>
        <w:fldChar w:fldCharType="separate"/>
      </w:r>
      <w:r w:rsidR="00D80429" w:rsidRPr="004D407A">
        <w:rPr>
          <w:rFonts w:ascii="Arial" w:hAnsi="Arial"/>
        </w:rPr>
        <w:t>Figure 37</w:t>
      </w:r>
      <w:r w:rsidR="00993111" w:rsidRPr="004D407A">
        <w:rPr>
          <w:rFonts w:ascii="Arial" w:hAnsi="Arial"/>
        </w:rPr>
        <w:fldChar w:fldCharType="end"/>
      </w:r>
      <w:r w:rsidR="00993111" w:rsidRPr="004D407A">
        <w:rPr>
          <w:rFonts w:ascii="Arial" w:hAnsi="Arial"/>
        </w:rPr>
        <w:t xml:space="preserve"> and </w:t>
      </w:r>
      <w:r w:rsidR="00993111" w:rsidRPr="004D407A">
        <w:rPr>
          <w:rFonts w:ascii="Arial" w:hAnsi="Arial"/>
        </w:rPr>
        <w:fldChar w:fldCharType="begin"/>
      </w:r>
      <w:r w:rsidR="00993111" w:rsidRPr="004D407A">
        <w:rPr>
          <w:rFonts w:ascii="Arial" w:hAnsi="Arial"/>
        </w:rPr>
        <w:instrText xml:space="preserve"> REF _Ref104114506 \h  \* MERGEFORMAT </w:instrText>
      </w:r>
      <w:r w:rsidR="00993111" w:rsidRPr="004D407A">
        <w:rPr>
          <w:rFonts w:ascii="Arial" w:hAnsi="Arial"/>
        </w:rPr>
      </w:r>
      <w:r w:rsidR="00993111" w:rsidRPr="004D407A">
        <w:rPr>
          <w:rFonts w:ascii="Arial" w:hAnsi="Arial"/>
        </w:rPr>
        <w:fldChar w:fldCharType="separate"/>
      </w:r>
      <w:r w:rsidR="00D80429" w:rsidRPr="004D407A">
        <w:rPr>
          <w:rFonts w:ascii="Arial" w:hAnsi="Arial"/>
        </w:rPr>
        <w:t>Figure 38</w:t>
      </w:r>
      <w:r w:rsidR="00993111" w:rsidRPr="004D407A">
        <w:rPr>
          <w:rFonts w:ascii="Arial" w:hAnsi="Arial"/>
        </w:rPr>
        <w:fldChar w:fldCharType="end"/>
      </w:r>
      <w:r w:rsidR="00993111" w:rsidRPr="004D407A">
        <w:rPr>
          <w:rFonts w:ascii="Arial" w:hAnsi="Arial"/>
        </w:rPr>
        <w:t xml:space="preserve"> on pages </w:t>
      </w:r>
      <w:r w:rsidR="00993111" w:rsidRPr="004D407A">
        <w:rPr>
          <w:rFonts w:ascii="Arial" w:hAnsi="Arial"/>
        </w:rPr>
        <w:fldChar w:fldCharType="begin"/>
      </w:r>
      <w:r w:rsidR="00993111" w:rsidRPr="004D407A">
        <w:rPr>
          <w:rFonts w:ascii="Arial" w:hAnsi="Arial"/>
        </w:rPr>
        <w:instrText xml:space="preserve"> PAGEREF _Ref111906105 \h </w:instrText>
      </w:r>
      <w:r w:rsidR="00993111" w:rsidRPr="004D407A">
        <w:rPr>
          <w:rFonts w:ascii="Arial" w:hAnsi="Arial"/>
        </w:rPr>
      </w:r>
      <w:r w:rsidR="00993111" w:rsidRPr="004D407A">
        <w:rPr>
          <w:rFonts w:ascii="Arial" w:hAnsi="Arial"/>
        </w:rPr>
        <w:fldChar w:fldCharType="separate"/>
      </w:r>
      <w:r w:rsidR="00D80429" w:rsidRPr="004D407A">
        <w:rPr>
          <w:rFonts w:ascii="Arial" w:hAnsi="Arial"/>
          <w:noProof/>
        </w:rPr>
        <w:t>55</w:t>
      </w:r>
      <w:r w:rsidR="00993111" w:rsidRPr="004D407A">
        <w:rPr>
          <w:rFonts w:ascii="Arial" w:hAnsi="Arial"/>
        </w:rPr>
        <w:fldChar w:fldCharType="end"/>
      </w:r>
      <w:r w:rsidR="00993111" w:rsidRPr="004D407A">
        <w:rPr>
          <w:rFonts w:ascii="Arial" w:hAnsi="Arial"/>
        </w:rPr>
        <w:t xml:space="preserve"> and </w:t>
      </w:r>
      <w:r w:rsidR="00993111" w:rsidRPr="004D407A">
        <w:rPr>
          <w:rFonts w:ascii="Arial" w:hAnsi="Arial"/>
        </w:rPr>
        <w:fldChar w:fldCharType="begin"/>
      </w:r>
      <w:r w:rsidR="00993111" w:rsidRPr="004D407A">
        <w:rPr>
          <w:rFonts w:ascii="Arial" w:hAnsi="Arial"/>
        </w:rPr>
        <w:instrText xml:space="preserve"> PAGEREF _Ref111906060 \h </w:instrText>
      </w:r>
      <w:r w:rsidR="00993111" w:rsidRPr="004D407A">
        <w:rPr>
          <w:rFonts w:ascii="Arial" w:hAnsi="Arial"/>
        </w:rPr>
      </w:r>
      <w:r w:rsidR="00993111" w:rsidRPr="004D407A">
        <w:rPr>
          <w:rFonts w:ascii="Arial" w:hAnsi="Arial"/>
        </w:rPr>
        <w:fldChar w:fldCharType="separate"/>
      </w:r>
      <w:r w:rsidR="00D80429" w:rsidRPr="004D407A">
        <w:rPr>
          <w:rFonts w:ascii="Arial" w:hAnsi="Arial"/>
          <w:noProof/>
        </w:rPr>
        <w:t>56</w:t>
      </w:r>
      <w:r w:rsidR="00993111" w:rsidRPr="004D407A">
        <w:rPr>
          <w:rFonts w:ascii="Arial" w:hAnsi="Arial"/>
        </w:rPr>
        <w:fldChar w:fldCharType="end"/>
      </w:r>
      <w:r w:rsidR="00993111" w:rsidRPr="004D407A">
        <w:rPr>
          <w:rFonts w:ascii="Arial" w:hAnsi="Arial"/>
        </w:rPr>
        <w:t xml:space="preserve"> below).</w:t>
      </w:r>
    </w:p>
    <w:p w14:paraId="2896D474" w14:textId="318265D0" w:rsidR="00E53D03" w:rsidRPr="004D407A" w:rsidRDefault="002C5680" w:rsidP="00E53D03">
      <w:pPr>
        <w:pStyle w:val="BodyText"/>
        <w:rPr>
          <w:rFonts w:ascii="Arial" w:hAnsi="Arial"/>
        </w:rPr>
      </w:pPr>
      <w:r w:rsidRPr="004D407A">
        <w:rPr>
          <w:rFonts w:ascii="Arial" w:hAnsi="Arial"/>
        </w:rPr>
        <w:t>The results of the RCA analysis</w:t>
      </w:r>
      <w:r w:rsidR="00766603" w:rsidRPr="004D407A">
        <w:rPr>
          <w:rFonts w:ascii="Arial" w:hAnsi="Arial"/>
        </w:rPr>
        <w:t xml:space="preserve">, and importance of each root cause preventing system from the </w:t>
      </w:r>
      <w:r w:rsidR="00723041" w:rsidRPr="004D407A">
        <w:rPr>
          <w:rFonts w:ascii="Arial" w:hAnsi="Arial"/>
        </w:rPr>
        <w:t>high-quality</w:t>
      </w:r>
      <w:r w:rsidR="00766603" w:rsidRPr="004D407A">
        <w:rPr>
          <w:rFonts w:ascii="Arial" w:hAnsi="Arial"/>
        </w:rPr>
        <w:t xml:space="preserve"> performance</w:t>
      </w:r>
      <w:r w:rsidRPr="004D407A">
        <w:rPr>
          <w:rFonts w:ascii="Arial" w:hAnsi="Arial"/>
        </w:rPr>
        <w:t xml:space="preserve"> </w:t>
      </w:r>
      <w:r w:rsidR="00C45A56" w:rsidRPr="004D407A">
        <w:rPr>
          <w:rFonts w:ascii="Arial" w:hAnsi="Arial"/>
        </w:rPr>
        <w:t xml:space="preserve">have been assessed during the stakeholder workshop and </w:t>
      </w:r>
      <w:r w:rsidRPr="004D407A">
        <w:rPr>
          <w:rFonts w:ascii="Arial" w:hAnsi="Arial"/>
        </w:rPr>
        <w:t xml:space="preserve">are </w:t>
      </w:r>
      <w:r w:rsidR="00B85ED7" w:rsidRPr="004D407A">
        <w:rPr>
          <w:rFonts w:ascii="Arial" w:hAnsi="Arial"/>
        </w:rPr>
        <w:t xml:space="preserve">presented </w:t>
      </w:r>
      <w:r w:rsidRPr="004D407A">
        <w:rPr>
          <w:rFonts w:ascii="Arial" w:hAnsi="Arial"/>
        </w:rPr>
        <w:t xml:space="preserve">in the </w:t>
      </w:r>
      <w:r w:rsidRPr="004D407A">
        <w:rPr>
          <w:rFonts w:ascii="Arial" w:hAnsi="Arial"/>
        </w:rPr>
        <w:fldChar w:fldCharType="begin"/>
      </w:r>
      <w:r w:rsidRPr="004D407A">
        <w:rPr>
          <w:rFonts w:ascii="Arial" w:hAnsi="Arial"/>
        </w:rPr>
        <w:instrText xml:space="preserve"> REF _Ref104111097 \h </w:instrText>
      </w:r>
      <w:r w:rsidR="00367C1A"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Figure 23</w:t>
      </w:r>
      <w:r w:rsidRPr="004D407A">
        <w:rPr>
          <w:rFonts w:ascii="Arial" w:hAnsi="Arial"/>
        </w:rPr>
        <w:fldChar w:fldCharType="end"/>
      </w:r>
      <w:r w:rsidRPr="004D407A">
        <w:rPr>
          <w:rFonts w:ascii="Arial" w:hAnsi="Arial"/>
        </w:rPr>
        <w:t xml:space="preserve"> </w:t>
      </w:r>
      <w:r w:rsidR="00E53D03" w:rsidRPr="004D407A">
        <w:rPr>
          <w:rFonts w:ascii="Arial" w:hAnsi="Arial"/>
        </w:rPr>
        <w:t>below:</w:t>
      </w:r>
    </w:p>
    <w:p w14:paraId="4E46BC63" w14:textId="77777777" w:rsidR="00356E09" w:rsidRPr="004D407A" w:rsidRDefault="00356E09" w:rsidP="00E53D03">
      <w:pPr>
        <w:pStyle w:val="BodyText"/>
        <w:rPr>
          <w:rFonts w:ascii="Arial" w:hAnsi="Arial"/>
        </w:rPr>
      </w:pPr>
    </w:p>
    <w:p w14:paraId="3D613C62" w14:textId="4ECAB1B6" w:rsidR="00E53D03" w:rsidRPr="004D407A" w:rsidRDefault="00E53D03" w:rsidP="00E53D03">
      <w:pPr>
        <w:pStyle w:val="Caption"/>
        <w:rPr>
          <w:color w:val="auto"/>
        </w:rPr>
      </w:pPr>
      <w:bookmarkStart w:id="228" w:name="_Ref104111097"/>
      <w:bookmarkStart w:id="229" w:name="_Ref490079744"/>
      <w:bookmarkStart w:id="230" w:name="_Toc490750633"/>
      <w:bookmarkStart w:id="231" w:name="_Toc103004739"/>
      <w:bookmarkStart w:id="232" w:name="_Toc111912762"/>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23</w:t>
      </w:r>
      <w:r w:rsidR="00E21383" w:rsidRPr="004D407A">
        <w:rPr>
          <w:noProof/>
          <w:color w:val="auto"/>
        </w:rPr>
        <w:fldChar w:fldCharType="end"/>
      </w:r>
      <w:bookmarkEnd w:id="228"/>
      <w:r w:rsidRPr="004D407A">
        <w:rPr>
          <w:noProof/>
          <w:color w:val="auto"/>
        </w:rPr>
        <w:t>:</w:t>
      </w:r>
      <w:r w:rsidRPr="004D407A">
        <w:rPr>
          <w:noProof/>
          <w:color w:val="auto"/>
        </w:rPr>
        <w:tab/>
        <w:t>Root cause analysis of the current immunization preformance</w:t>
      </w:r>
      <w:bookmarkEnd w:id="229"/>
      <w:bookmarkEnd w:id="230"/>
      <w:bookmarkEnd w:id="231"/>
      <w:r w:rsidR="00517DD0" w:rsidRPr="004D407A">
        <w:rPr>
          <w:rStyle w:val="FootnoteReference"/>
          <w:noProof/>
          <w:color w:val="auto"/>
        </w:rPr>
        <w:footnoteReference w:id="45"/>
      </w:r>
      <w:bookmarkEnd w:id="232"/>
      <w:r w:rsidRPr="004D407A">
        <w:rPr>
          <w:noProof/>
          <w:color w:val="auto"/>
        </w:rPr>
        <w:t xml:space="preserve"> </w:t>
      </w:r>
    </w:p>
    <w:tbl>
      <w:tblPr>
        <w:tblStyle w:val="TableGrid"/>
        <w:tblW w:w="9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5349"/>
        <w:gridCol w:w="1395"/>
        <w:gridCol w:w="1396"/>
      </w:tblGrid>
      <w:tr w:rsidR="004D407A" w:rsidRPr="004D407A" w14:paraId="31934EE9" w14:textId="77777777" w:rsidTr="00687A41">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12" w:space="0" w:color="7F7F7F" w:themeColor="text1" w:themeTint="80"/>
            </w:tcBorders>
          </w:tcPr>
          <w:p w14:paraId="400AEB8D" w14:textId="77777777" w:rsidR="00B85ED7" w:rsidRPr="004D407A" w:rsidRDefault="00B85ED7" w:rsidP="00687A41">
            <w:pPr>
              <w:pStyle w:val="BodyText"/>
              <w:rPr>
                <w:b/>
                <w:sz w:val="18"/>
              </w:rPr>
            </w:pPr>
          </w:p>
        </w:tc>
        <w:tc>
          <w:tcPr>
            <w:tcW w:w="5349" w:type="dxa"/>
            <w:tcBorders>
              <w:bottom w:val="single" w:sz="12" w:space="0" w:color="7F7F7F" w:themeColor="text1" w:themeTint="80"/>
            </w:tcBorders>
          </w:tcPr>
          <w:p w14:paraId="7DFB5483" w14:textId="77777777" w:rsidR="00B85ED7" w:rsidRPr="004D407A" w:rsidRDefault="00B85ED7" w:rsidP="00687A41">
            <w:pPr>
              <w:pStyle w:val="BodyText"/>
              <w:rPr>
                <w:b/>
                <w:sz w:val="18"/>
              </w:rPr>
            </w:pPr>
          </w:p>
        </w:tc>
        <w:tc>
          <w:tcPr>
            <w:tcW w:w="1395" w:type="dxa"/>
            <w:tcBorders>
              <w:bottom w:val="single" w:sz="12" w:space="0" w:color="7F7F7F" w:themeColor="text1" w:themeTint="80"/>
            </w:tcBorders>
          </w:tcPr>
          <w:p w14:paraId="2DE6330E" w14:textId="77777777" w:rsidR="00B85ED7" w:rsidRPr="004D407A" w:rsidRDefault="00B85ED7" w:rsidP="00687A41">
            <w:pPr>
              <w:rPr>
                <w:b/>
                <w:sz w:val="18"/>
              </w:rPr>
            </w:pPr>
            <w:r w:rsidRPr="004D407A">
              <w:rPr>
                <w:b/>
                <w:sz w:val="18"/>
              </w:rPr>
              <w:t>Evidence</w:t>
            </w:r>
          </w:p>
        </w:tc>
        <w:tc>
          <w:tcPr>
            <w:tcW w:w="1396" w:type="dxa"/>
            <w:tcBorders>
              <w:bottom w:val="single" w:sz="12" w:space="0" w:color="7F7F7F" w:themeColor="text1" w:themeTint="80"/>
            </w:tcBorders>
          </w:tcPr>
          <w:p w14:paraId="73417786" w14:textId="77777777" w:rsidR="00B85ED7" w:rsidRPr="004D407A" w:rsidRDefault="00B85ED7" w:rsidP="00687A41">
            <w:pPr>
              <w:rPr>
                <w:b/>
                <w:sz w:val="18"/>
              </w:rPr>
            </w:pPr>
            <w:r w:rsidRPr="004D407A">
              <w:rPr>
                <w:b/>
                <w:sz w:val="18"/>
              </w:rPr>
              <w:t>Importance</w:t>
            </w:r>
          </w:p>
        </w:tc>
      </w:tr>
      <w:tr w:rsidR="004D407A" w:rsidRPr="004D407A" w14:paraId="5BA2DDD6" w14:textId="77777777" w:rsidTr="00A1700F">
        <w:tc>
          <w:tcPr>
            <w:tcW w:w="993" w:type="dxa"/>
            <w:tcBorders>
              <w:top w:val="single" w:sz="12" w:space="0" w:color="7F7F7F" w:themeColor="text1" w:themeTint="80"/>
              <w:left w:val="single" w:sz="12" w:space="0" w:color="7F7F7F" w:themeColor="text1" w:themeTint="80"/>
              <w:bottom w:val="single" w:sz="4" w:space="0" w:color="7F7F7F" w:themeColor="text1" w:themeTint="80"/>
            </w:tcBorders>
            <w:vAlign w:val="center"/>
          </w:tcPr>
          <w:p w14:paraId="7B47049A" w14:textId="77777777" w:rsidR="00B85ED7" w:rsidRPr="004D407A" w:rsidRDefault="00B85ED7">
            <w:pPr>
              <w:pStyle w:val="BodyText"/>
              <w:numPr>
                <w:ilvl w:val="0"/>
                <w:numId w:val="38"/>
              </w:numPr>
              <w:spacing w:before="0"/>
              <w:jc w:val="left"/>
              <w:rPr>
                <w:b/>
                <w:sz w:val="18"/>
              </w:rPr>
            </w:pPr>
          </w:p>
        </w:tc>
        <w:tc>
          <w:tcPr>
            <w:tcW w:w="5349" w:type="dxa"/>
            <w:tcBorders>
              <w:top w:val="single" w:sz="12" w:space="0" w:color="7F7F7F" w:themeColor="text1" w:themeTint="80"/>
              <w:bottom w:val="single" w:sz="4" w:space="0" w:color="7F7F7F" w:themeColor="text1" w:themeTint="80"/>
            </w:tcBorders>
            <w:vAlign w:val="center"/>
          </w:tcPr>
          <w:p w14:paraId="6E887E7B" w14:textId="77777777" w:rsidR="00B85ED7" w:rsidRPr="004D407A" w:rsidRDefault="00B85ED7" w:rsidP="00A1700F">
            <w:pPr>
              <w:rPr>
                <w:b/>
                <w:sz w:val="18"/>
              </w:rPr>
            </w:pPr>
            <w:r w:rsidRPr="004D407A">
              <w:rPr>
                <w:b/>
                <w:sz w:val="18"/>
              </w:rPr>
              <w:t>Maintenance of High Coverage Rates in All areas of the country</w:t>
            </w:r>
          </w:p>
        </w:tc>
        <w:tc>
          <w:tcPr>
            <w:tcW w:w="1395" w:type="dxa"/>
            <w:tcBorders>
              <w:top w:val="single" w:sz="12" w:space="0" w:color="7F7F7F" w:themeColor="text1" w:themeTint="80"/>
              <w:bottom w:val="single" w:sz="4" w:space="0" w:color="7F7F7F" w:themeColor="text1" w:themeTint="80"/>
            </w:tcBorders>
            <w:vAlign w:val="center"/>
          </w:tcPr>
          <w:p w14:paraId="05691C50" w14:textId="77777777" w:rsidR="00B85ED7" w:rsidRPr="004D407A" w:rsidRDefault="00B85ED7" w:rsidP="00A1700F">
            <w:pPr>
              <w:rPr>
                <w:b/>
                <w:sz w:val="18"/>
              </w:rPr>
            </w:pPr>
          </w:p>
        </w:tc>
        <w:tc>
          <w:tcPr>
            <w:tcW w:w="1396" w:type="dxa"/>
            <w:tcBorders>
              <w:top w:val="single" w:sz="12" w:space="0" w:color="7F7F7F" w:themeColor="text1" w:themeTint="80"/>
              <w:bottom w:val="single" w:sz="4" w:space="0" w:color="7F7F7F" w:themeColor="text1" w:themeTint="80"/>
              <w:right w:val="single" w:sz="12" w:space="0" w:color="7F7F7F" w:themeColor="text1" w:themeTint="80"/>
            </w:tcBorders>
            <w:vAlign w:val="center"/>
          </w:tcPr>
          <w:p w14:paraId="2C6FE4A2" w14:textId="77777777" w:rsidR="00B85ED7" w:rsidRPr="004D407A" w:rsidRDefault="00B85ED7" w:rsidP="00A1700F">
            <w:pPr>
              <w:rPr>
                <w:b/>
                <w:sz w:val="18"/>
              </w:rPr>
            </w:pPr>
          </w:p>
        </w:tc>
      </w:tr>
      <w:tr w:rsidR="004D407A" w:rsidRPr="004D407A" w14:paraId="5E62C28D"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1225436C" w14:textId="77777777" w:rsidR="00B85ED7" w:rsidRPr="004D407A" w:rsidRDefault="00B85ED7">
            <w:pPr>
              <w:pStyle w:val="BodyText"/>
              <w:numPr>
                <w:ilvl w:val="1"/>
                <w:numId w:val="38"/>
              </w:numPr>
              <w:spacing w:before="0"/>
              <w:jc w:val="left"/>
              <w:rPr>
                <w:b/>
                <w:smallCaps/>
                <w:sz w:val="18"/>
              </w:rPr>
            </w:pPr>
          </w:p>
        </w:tc>
        <w:tc>
          <w:tcPr>
            <w:tcW w:w="5349" w:type="dxa"/>
            <w:tcBorders>
              <w:top w:val="single" w:sz="4" w:space="0" w:color="7F7F7F" w:themeColor="text1" w:themeTint="80"/>
              <w:bottom w:val="single" w:sz="4" w:space="0" w:color="7F7F7F" w:themeColor="text1" w:themeTint="80"/>
            </w:tcBorders>
            <w:vAlign w:val="center"/>
          </w:tcPr>
          <w:p w14:paraId="3A983032" w14:textId="77777777" w:rsidR="00B85ED7" w:rsidRPr="004D407A" w:rsidRDefault="00B85ED7" w:rsidP="00A1700F">
            <w:pPr>
              <w:rPr>
                <w:b/>
                <w:smallCaps/>
                <w:sz w:val="18"/>
              </w:rPr>
            </w:pPr>
            <w:r w:rsidRPr="004D407A">
              <w:rPr>
                <w:b/>
                <w:smallCaps/>
                <w:sz w:val="18"/>
              </w:rPr>
              <w:t>Missed opportunities for vaccination</w:t>
            </w:r>
          </w:p>
        </w:tc>
        <w:tc>
          <w:tcPr>
            <w:tcW w:w="1395" w:type="dxa"/>
            <w:tcBorders>
              <w:top w:val="single" w:sz="4" w:space="0" w:color="7F7F7F" w:themeColor="text1" w:themeTint="80"/>
              <w:bottom w:val="single" w:sz="4" w:space="0" w:color="7F7F7F" w:themeColor="text1" w:themeTint="80"/>
            </w:tcBorders>
            <w:vAlign w:val="center"/>
          </w:tcPr>
          <w:p w14:paraId="7B7DBD36" w14:textId="77777777" w:rsidR="00B85ED7" w:rsidRPr="004D407A" w:rsidRDefault="00B85ED7" w:rsidP="00A1700F">
            <w:pPr>
              <w:rPr>
                <w:b/>
                <w:smallCaps/>
                <w:sz w:val="18"/>
              </w:rPr>
            </w:pP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21D0B2A9" w14:textId="77777777" w:rsidR="00B85ED7" w:rsidRPr="004D407A" w:rsidRDefault="00B85ED7" w:rsidP="00A1700F">
            <w:pPr>
              <w:rPr>
                <w:b/>
                <w:smallCaps/>
                <w:sz w:val="18"/>
              </w:rPr>
            </w:pPr>
          </w:p>
        </w:tc>
      </w:tr>
      <w:tr w:rsidR="004D407A" w:rsidRPr="004D407A" w14:paraId="4D752560"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0DCE8E2B" w14:textId="77777777" w:rsidR="00B85ED7" w:rsidRPr="004D407A" w:rsidRDefault="00B85ED7">
            <w:pPr>
              <w:pStyle w:val="BodyText"/>
              <w:numPr>
                <w:ilvl w:val="2"/>
                <w:numId w:val="38"/>
              </w:numPr>
              <w:spacing w:before="0"/>
              <w:jc w:val="left"/>
              <w:rPr>
                <w:b/>
                <w:sz w:val="18"/>
              </w:rPr>
            </w:pPr>
          </w:p>
        </w:tc>
        <w:tc>
          <w:tcPr>
            <w:tcW w:w="5349" w:type="dxa"/>
            <w:tcBorders>
              <w:top w:val="single" w:sz="4" w:space="0" w:color="7F7F7F" w:themeColor="text1" w:themeTint="80"/>
              <w:bottom w:val="single" w:sz="4" w:space="0" w:color="7F7F7F" w:themeColor="text1" w:themeTint="80"/>
            </w:tcBorders>
            <w:vAlign w:val="center"/>
          </w:tcPr>
          <w:p w14:paraId="4830AD29" w14:textId="77777777" w:rsidR="00B85ED7" w:rsidRPr="004D407A" w:rsidRDefault="00B85ED7" w:rsidP="00A1700F">
            <w:pPr>
              <w:rPr>
                <w:b/>
                <w:sz w:val="18"/>
              </w:rPr>
            </w:pPr>
            <w:r w:rsidRPr="004D407A">
              <w:rPr>
                <w:b/>
                <w:sz w:val="18"/>
              </w:rPr>
              <w:t>Valid RI vaccination rate</w:t>
            </w:r>
          </w:p>
        </w:tc>
        <w:tc>
          <w:tcPr>
            <w:tcW w:w="1395" w:type="dxa"/>
            <w:tcBorders>
              <w:top w:val="single" w:sz="4" w:space="0" w:color="7F7F7F" w:themeColor="text1" w:themeTint="80"/>
              <w:bottom w:val="single" w:sz="4" w:space="0" w:color="7F7F7F" w:themeColor="text1" w:themeTint="80"/>
            </w:tcBorders>
            <w:vAlign w:val="center"/>
          </w:tcPr>
          <w:p w14:paraId="0E6FD7D0" w14:textId="77777777" w:rsidR="00B85ED7" w:rsidRPr="004D407A" w:rsidRDefault="00B85ED7" w:rsidP="00A1700F">
            <w:pPr>
              <w:rPr>
                <w:b/>
                <w:sz w:val="18"/>
              </w:rPr>
            </w:pPr>
            <w:r w:rsidRPr="004D407A">
              <w:rPr>
                <w:b/>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73B6F8D6" w14:textId="77777777" w:rsidR="00B85ED7" w:rsidRPr="004D407A" w:rsidRDefault="00B85ED7" w:rsidP="00A1700F">
            <w:pPr>
              <w:rPr>
                <w:b/>
                <w:sz w:val="18"/>
              </w:rPr>
            </w:pPr>
            <w:r w:rsidRPr="004D407A">
              <w:rPr>
                <w:b/>
                <w:sz w:val="18"/>
              </w:rPr>
              <w:t>Medium</w:t>
            </w:r>
          </w:p>
        </w:tc>
      </w:tr>
      <w:tr w:rsidR="004D407A" w:rsidRPr="004D407A" w14:paraId="5F013F7D"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2227A2A0"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6596AA4A" w14:textId="098501DC" w:rsidR="00B85ED7" w:rsidRPr="004D407A" w:rsidRDefault="00B85ED7" w:rsidP="00A1700F">
            <w:pPr>
              <w:rPr>
                <w:sz w:val="18"/>
              </w:rPr>
            </w:pPr>
            <w:r w:rsidRPr="004D407A">
              <w:rPr>
                <w:sz w:val="18"/>
              </w:rPr>
              <w:t xml:space="preserve">Availability of </w:t>
            </w:r>
            <w:r w:rsidR="00E717CB" w:rsidRPr="004D407A">
              <w:rPr>
                <w:sz w:val="18"/>
              </w:rPr>
              <w:t>well-organized</w:t>
            </w:r>
            <w:r w:rsidRPr="004D407A">
              <w:rPr>
                <w:sz w:val="18"/>
              </w:rPr>
              <w:t xml:space="preserve"> </w:t>
            </w:r>
            <w:r w:rsidR="00E717CB" w:rsidRPr="004D407A">
              <w:rPr>
                <w:sz w:val="18"/>
              </w:rPr>
              <w:t>high-quality</w:t>
            </w:r>
            <w:r w:rsidRPr="004D407A">
              <w:rPr>
                <w:sz w:val="18"/>
              </w:rPr>
              <w:t xml:space="preserve"> services</w:t>
            </w:r>
          </w:p>
        </w:tc>
        <w:tc>
          <w:tcPr>
            <w:tcW w:w="1395" w:type="dxa"/>
            <w:tcBorders>
              <w:top w:val="single" w:sz="4" w:space="0" w:color="7F7F7F" w:themeColor="text1" w:themeTint="80"/>
              <w:bottom w:val="single" w:sz="4" w:space="0" w:color="7F7F7F" w:themeColor="text1" w:themeTint="80"/>
            </w:tcBorders>
            <w:vAlign w:val="center"/>
          </w:tcPr>
          <w:p w14:paraId="600FD4BD" w14:textId="77777777" w:rsidR="00B85ED7" w:rsidRPr="004D407A" w:rsidRDefault="00B85ED7" w:rsidP="00A1700F">
            <w:pPr>
              <w:rPr>
                <w:sz w:val="18"/>
              </w:rPr>
            </w:pPr>
            <w:r w:rsidRPr="004D407A">
              <w:rPr>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5A613A2A" w14:textId="77777777" w:rsidR="00B85ED7" w:rsidRPr="004D407A" w:rsidRDefault="00B85ED7" w:rsidP="00A1700F">
            <w:pPr>
              <w:rPr>
                <w:sz w:val="18"/>
              </w:rPr>
            </w:pPr>
            <w:r w:rsidRPr="004D407A">
              <w:rPr>
                <w:sz w:val="18"/>
              </w:rPr>
              <w:t>Medium</w:t>
            </w:r>
          </w:p>
        </w:tc>
      </w:tr>
      <w:tr w:rsidR="004D407A" w:rsidRPr="004D407A" w14:paraId="2EAD98AC"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4DED7D45" w14:textId="77777777" w:rsidR="00B85ED7" w:rsidRPr="004D407A" w:rsidRDefault="00B85ED7">
            <w:pPr>
              <w:pStyle w:val="BodyText"/>
              <w:numPr>
                <w:ilvl w:val="4"/>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2AEB9842" w14:textId="77777777" w:rsidR="00B85ED7" w:rsidRPr="004D407A" w:rsidRDefault="00B85ED7" w:rsidP="00A1700F">
            <w:pPr>
              <w:rPr>
                <w:sz w:val="18"/>
              </w:rPr>
            </w:pPr>
            <w:r w:rsidRPr="004D407A">
              <w:rPr>
                <w:sz w:val="18"/>
              </w:rPr>
              <w:t>Capacity in micro-planning</w:t>
            </w:r>
          </w:p>
        </w:tc>
        <w:tc>
          <w:tcPr>
            <w:tcW w:w="1395" w:type="dxa"/>
            <w:tcBorders>
              <w:top w:val="single" w:sz="4" w:space="0" w:color="7F7F7F" w:themeColor="text1" w:themeTint="80"/>
              <w:bottom w:val="single" w:sz="4" w:space="0" w:color="7F7F7F" w:themeColor="text1" w:themeTint="80"/>
            </w:tcBorders>
            <w:vAlign w:val="center"/>
          </w:tcPr>
          <w:p w14:paraId="2B3CEDCD" w14:textId="77777777" w:rsidR="00B85ED7" w:rsidRPr="004D407A" w:rsidRDefault="00B85ED7" w:rsidP="00A1700F">
            <w:pPr>
              <w:rPr>
                <w:sz w:val="18"/>
              </w:rPr>
            </w:pPr>
            <w:r w:rsidRPr="004D407A">
              <w:rPr>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5B7B926F" w14:textId="77777777" w:rsidR="00B85ED7" w:rsidRPr="004D407A" w:rsidRDefault="00B85ED7" w:rsidP="00A1700F">
            <w:pPr>
              <w:rPr>
                <w:sz w:val="18"/>
              </w:rPr>
            </w:pPr>
            <w:r w:rsidRPr="004D407A">
              <w:rPr>
                <w:sz w:val="18"/>
              </w:rPr>
              <w:t>High</w:t>
            </w:r>
          </w:p>
        </w:tc>
      </w:tr>
      <w:tr w:rsidR="004D407A" w:rsidRPr="004D407A" w14:paraId="37BE8FC7"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54C6CAFC" w14:textId="77777777" w:rsidR="00B85ED7" w:rsidRPr="004D407A" w:rsidRDefault="00B85ED7">
            <w:pPr>
              <w:pStyle w:val="BodyText"/>
              <w:numPr>
                <w:ilvl w:val="4"/>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696610D8" w14:textId="77777777" w:rsidR="00B85ED7" w:rsidRPr="004D407A" w:rsidRDefault="00B85ED7" w:rsidP="00A1700F">
            <w:pPr>
              <w:rPr>
                <w:sz w:val="18"/>
              </w:rPr>
            </w:pPr>
            <w:r w:rsidRPr="004D407A">
              <w:rPr>
                <w:sz w:val="18"/>
              </w:rPr>
              <w:t>Capacity and skills of service providers in quality service delivery</w:t>
            </w:r>
          </w:p>
        </w:tc>
        <w:tc>
          <w:tcPr>
            <w:tcW w:w="1395" w:type="dxa"/>
            <w:tcBorders>
              <w:top w:val="single" w:sz="4" w:space="0" w:color="7F7F7F" w:themeColor="text1" w:themeTint="80"/>
              <w:bottom w:val="single" w:sz="4" w:space="0" w:color="7F7F7F" w:themeColor="text1" w:themeTint="80"/>
            </w:tcBorders>
            <w:vAlign w:val="center"/>
          </w:tcPr>
          <w:p w14:paraId="0BA10C82" w14:textId="77777777" w:rsidR="00B85ED7" w:rsidRPr="004D407A" w:rsidRDefault="00B85ED7" w:rsidP="00A1700F">
            <w:pPr>
              <w:rPr>
                <w:sz w:val="18"/>
              </w:rPr>
            </w:pPr>
            <w:r w:rsidRPr="004D407A">
              <w:rPr>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3C698921" w14:textId="77777777" w:rsidR="00B85ED7" w:rsidRPr="004D407A" w:rsidRDefault="00B85ED7" w:rsidP="00A1700F">
            <w:pPr>
              <w:rPr>
                <w:sz w:val="18"/>
              </w:rPr>
            </w:pPr>
            <w:r w:rsidRPr="004D407A">
              <w:rPr>
                <w:sz w:val="18"/>
              </w:rPr>
              <w:t>Medium</w:t>
            </w:r>
          </w:p>
        </w:tc>
      </w:tr>
      <w:tr w:rsidR="004D407A" w:rsidRPr="004D407A" w14:paraId="39A9D066"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249EA880"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75B2FCDB" w14:textId="77777777" w:rsidR="00B85ED7" w:rsidRPr="004D407A" w:rsidRDefault="00B85ED7" w:rsidP="00A1700F">
            <w:pPr>
              <w:rPr>
                <w:sz w:val="18"/>
              </w:rPr>
            </w:pPr>
            <w:r w:rsidRPr="004D407A">
              <w:rPr>
                <w:sz w:val="18"/>
              </w:rPr>
              <w:t>Service providers are not motivated to achieve high coverage rates in valid vaccination</w:t>
            </w:r>
          </w:p>
        </w:tc>
        <w:tc>
          <w:tcPr>
            <w:tcW w:w="1395" w:type="dxa"/>
            <w:tcBorders>
              <w:top w:val="single" w:sz="4" w:space="0" w:color="7F7F7F" w:themeColor="text1" w:themeTint="80"/>
              <w:bottom w:val="single" w:sz="4" w:space="0" w:color="7F7F7F" w:themeColor="text1" w:themeTint="80"/>
            </w:tcBorders>
            <w:vAlign w:val="center"/>
          </w:tcPr>
          <w:p w14:paraId="6E9B4CE6" w14:textId="77777777" w:rsidR="00B85ED7" w:rsidRPr="004D407A" w:rsidRDefault="00B85ED7" w:rsidP="00A1700F">
            <w:pPr>
              <w:rPr>
                <w:sz w:val="18"/>
              </w:rPr>
            </w:pPr>
            <w:r w:rsidRPr="004D407A">
              <w:rPr>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56E210C2" w14:textId="77777777" w:rsidR="00B85ED7" w:rsidRPr="004D407A" w:rsidRDefault="00B85ED7" w:rsidP="00A1700F">
            <w:pPr>
              <w:rPr>
                <w:sz w:val="18"/>
              </w:rPr>
            </w:pPr>
            <w:r w:rsidRPr="004D407A">
              <w:rPr>
                <w:sz w:val="18"/>
              </w:rPr>
              <w:t>Low</w:t>
            </w:r>
          </w:p>
        </w:tc>
      </w:tr>
      <w:tr w:rsidR="004D407A" w:rsidRPr="004D407A" w14:paraId="40E6D2EB"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42AC9E70" w14:textId="77777777" w:rsidR="00B85ED7" w:rsidRPr="004D407A" w:rsidRDefault="00B85ED7">
            <w:pPr>
              <w:pStyle w:val="BodyText"/>
              <w:numPr>
                <w:ilvl w:val="4"/>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7347102B" w14:textId="77777777" w:rsidR="00B85ED7" w:rsidRPr="004D407A" w:rsidRDefault="00B85ED7" w:rsidP="00A1700F">
            <w:pPr>
              <w:rPr>
                <w:sz w:val="18"/>
              </w:rPr>
            </w:pPr>
            <w:r w:rsidRPr="004D407A">
              <w:rPr>
                <w:sz w:val="18"/>
              </w:rPr>
              <w:t>Non-financial incentives and/or motivating factors for increasing valid vaccination coverage rates</w:t>
            </w:r>
          </w:p>
        </w:tc>
        <w:tc>
          <w:tcPr>
            <w:tcW w:w="1395" w:type="dxa"/>
            <w:tcBorders>
              <w:top w:val="single" w:sz="4" w:space="0" w:color="7F7F7F" w:themeColor="text1" w:themeTint="80"/>
              <w:bottom w:val="single" w:sz="4" w:space="0" w:color="7F7F7F" w:themeColor="text1" w:themeTint="80"/>
            </w:tcBorders>
            <w:vAlign w:val="center"/>
          </w:tcPr>
          <w:p w14:paraId="08442787" w14:textId="77777777" w:rsidR="00B85ED7" w:rsidRPr="004D407A" w:rsidRDefault="00B85ED7" w:rsidP="00A1700F">
            <w:pPr>
              <w:rPr>
                <w:sz w:val="18"/>
              </w:rPr>
            </w:pPr>
            <w:r w:rsidRPr="004D407A">
              <w:rPr>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39AD1AB8" w14:textId="77777777" w:rsidR="00B85ED7" w:rsidRPr="004D407A" w:rsidRDefault="00B85ED7" w:rsidP="00A1700F">
            <w:pPr>
              <w:rPr>
                <w:sz w:val="18"/>
              </w:rPr>
            </w:pPr>
            <w:r w:rsidRPr="004D407A">
              <w:rPr>
                <w:sz w:val="18"/>
              </w:rPr>
              <w:t>Medium</w:t>
            </w:r>
          </w:p>
        </w:tc>
      </w:tr>
      <w:tr w:rsidR="004D407A" w:rsidRPr="004D407A" w14:paraId="61DB98B4"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7236658C" w14:textId="77777777" w:rsidR="00B85ED7" w:rsidRPr="004D407A" w:rsidRDefault="00B85ED7">
            <w:pPr>
              <w:pStyle w:val="BodyText"/>
              <w:numPr>
                <w:ilvl w:val="4"/>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2BE2A672" w14:textId="77777777" w:rsidR="00B85ED7" w:rsidRPr="004D407A" w:rsidRDefault="00B85ED7" w:rsidP="00A1700F">
            <w:pPr>
              <w:tabs>
                <w:tab w:val="num" w:pos="720"/>
              </w:tabs>
              <w:rPr>
                <w:sz w:val="18"/>
              </w:rPr>
            </w:pPr>
            <w:r w:rsidRPr="004D407A">
              <w:rPr>
                <w:sz w:val="18"/>
              </w:rPr>
              <w:t>Supportive supervision systems for improving quality of provided services</w:t>
            </w:r>
          </w:p>
        </w:tc>
        <w:tc>
          <w:tcPr>
            <w:tcW w:w="1395" w:type="dxa"/>
            <w:tcBorders>
              <w:top w:val="single" w:sz="4" w:space="0" w:color="7F7F7F" w:themeColor="text1" w:themeTint="80"/>
              <w:bottom w:val="single" w:sz="4" w:space="0" w:color="7F7F7F" w:themeColor="text1" w:themeTint="80"/>
            </w:tcBorders>
            <w:vAlign w:val="center"/>
          </w:tcPr>
          <w:p w14:paraId="31181D2F" w14:textId="77777777" w:rsidR="00B85ED7" w:rsidRPr="004D407A" w:rsidRDefault="00B85ED7" w:rsidP="00A1700F">
            <w:pPr>
              <w:rPr>
                <w:sz w:val="18"/>
              </w:rPr>
            </w:pPr>
            <w:r w:rsidRPr="004D407A">
              <w:rPr>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05246FA4" w14:textId="77777777" w:rsidR="00B85ED7" w:rsidRPr="004D407A" w:rsidRDefault="00B85ED7" w:rsidP="00A1700F">
            <w:pPr>
              <w:rPr>
                <w:sz w:val="18"/>
              </w:rPr>
            </w:pPr>
            <w:r w:rsidRPr="004D407A">
              <w:rPr>
                <w:sz w:val="18"/>
              </w:rPr>
              <w:t>Medium</w:t>
            </w:r>
          </w:p>
        </w:tc>
      </w:tr>
      <w:tr w:rsidR="004D407A" w:rsidRPr="004D407A" w14:paraId="671F27A6"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407E1F16" w14:textId="77777777" w:rsidR="00B85ED7" w:rsidRPr="004D407A" w:rsidRDefault="00B85ED7">
            <w:pPr>
              <w:pStyle w:val="BodyText"/>
              <w:numPr>
                <w:ilvl w:val="2"/>
                <w:numId w:val="38"/>
              </w:numPr>
              <w:spacing w:before="0"/>
              <w:jc w:val="left"/>
              <w:rPr>
                <w:b/>
                <w:sz w:val="18"/>
              </w:rPr>
            </w:pPr>
          </w:p>
        </w:tc>
        <w:tc>
          <w:tcPr>
            <w:tcW w:w="5349" w:type="dxa"/>
            <w:tcBorders>
              <w:top w:val="single" w:sz="4" w:space="0" w:color="7F7F7F" w:themeColor="text1" w:themeTint="80"/>
              <w:bottom w:val="single" w:sz="4" w:space="0" w:color="7F7F7F" w:themeColor="text1" w:themeTint="80"/>
            </w:tcBorders>
            <w:vAlign w:val="center"/>
          </w:tcPr>
          <w:p w14:paraId="417B65D6" w14:textId="77777777" w:rsidR="00B85ED7" w:rsidRPr="004D407A" w:rsidRDefault="00B85ED7" w:rsidP="00A1700F">
            <w:pPr>
              <w:rPr>
                <w:b/>
                <w:sz w:val="18"/>
              </w:rPr>
            </w:pPr>
            <w:r w:rsidRPr="004D407A">
              <w:rPr>
                <w:b/>
                <w:sz w:val="18"/>
              </w:rPr>
              <w:t>Recording and reporting systems</w:t>
            </w:r>
          </w:p>
        </w:tc>
        <w:tc>
          <w:tcPr>
            <w:tcW w:w="1395" w:type="dxa"/>
            <w:tcBorders>
              <w:top w:val="single" w:sz="4" w:space="0" w:color="7F7F7F" w:themeColor="text1" w:themeTint="80"/>
              <w:bottom w:val="single" w:sz="4" w:space="0" w:color="7F7F7F" w:themeColor="text1" w:themeTint="80"/>
            </w:tcBorders>
            <w:vAlign w:val="center"/>
          </w:tcPr>
          <w:p w14:paraId="35FE8A3A" w14:textId="77777777" w:rsidR="00B85ED7" w:rsidRPr="004D407A" w:rsidRDefault="00B85ED7" w:rsidP="00A1700F">
            <w:pPr>
              <w:rPr>
                <w:b/>
                <w:sz w:val="18"/>
              </w:rPr>
            </w:pPr>
            <w:r w:rsidRPr="004D407A">
              <w:rPr>
                <w:b/>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0109917D" w14:textId="77777777" w:rsidR="00B85ED7" w:rsidRPr="004D407A" w:rsidRDefault="00B85ED7" w:rsidP="00A1700F">
            <w:pPr>
              <w:rPr>
                <w:b/>
                <w:sz w:val="18"/>
              </w:rPr>
            </w:pPr>
            <w:r w:rsidRPr="004D407A">
              <w:rPr>
                <w:b/>
                <w:sz w:val="18"/>
              </w:rPr>
              <w:t>High</w:t>
            </w:r>
          </w:p>
        </w:tc>
      </w:tr>
      <w:tr w:rsidR="004D407A" w:rsidRPr="004D407A" w14:paraId="2440717E"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3140F0D6"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23640568" w14:textId="77777777" w:rsidR="00B85ED7" w:rsidRPr="004D407A" w:rsidRDefault="00B85ED7" w:rsidP="00A1700F">
            <w:pPr>
              <w:rPr>
                <w:sz w:val="18"/>
              </w:rPr>
            </w:pPr>
            <w:r w:rsidRPr="004D407A">
              <w:rPr>
                <w:sz w:val="18"/>
              </w:rPr>
              <w:t>Manual recording and reporting systems at the service delivery level</w:t>
            </w:r>
          </w:p>
        </w:tc>
        <w:tc>
          <w:tcPr>
            <w:tcW w:w="1395" w:type="dxa"/>
            <w:tcBorders>
              <w:top w:val="single" w:sz="4" w:space="0" w:color="7F7F7F" w:themeColor="text1" w:themeTint="80"/>
              <w:bottom w:val="single" w:sz="4" w:space="0" w:color="7F7F7F" w:themeColor="text1" w:themeTint="80"/>
            </w:tcBorders>
            <w:vAlign w:val="center"/>
          </w:tcPr>
          <w:p w14:paraId="4F301B15"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038BC63B" w14:textId="77777777" w:rsidR="00B85ED7" w:rsidRPr="004D407A" w:rsidRDefault="00B85ED7" w:rsidP="00A1700F">
            <w:pPr>
              <w:rPr>
                <w:sz w:val="18"/>
              </w:rPr>
            </w:pPr>
            <w:r w:rsidRPr="004D407A">
              <w:rPr>
                <w:sz w:val="18"/>
              </w:rPr>
              <w:t>Medium</w:t>
            </w:r>
          </w:p>
        </w:tc>
      </w:tr>
      <w:tr w:rsidR="004D407A" w:rsidRPr="004D407A" w14:paraId="1DA937FB"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574EC11E"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03538DA5" w14:textId="77777777" w:rsidR="00B85ED7" w:rsidRPr="004D407A" w:rsidRDefault="00B85ED7" w:rsidP="00A1700F">
            <w:pPr>
              <w:rPr>
                <w:sz w:val="18"/>
              </w:rPr>
            </w:pPr>
            <w:r w:rsidRPr="004D407A">
              <w:rPr>
                <w:sz w:val="18"/>
              </w:rPr>
              <w:t>Skills of front-line service providers in record keeping and development of the reports</w:t>
            </w:r>
          </w:p>
        </w:tc>
        <w:tc>
          <w:tcPr>
            <w:tcW w:w="1395" w:type="dxa"/>
            <w:tcBorders>
              <w:top w:val="single" w:sz="4" w:space="0" w:color="7F7F7F" w:themeColor="text1" w:themeTint="80"/>
              <w:bottom w:val="single" w:sz="4" w:space="0" w:color="7F7F7F" w:themeColor="text1" w:themeTint="80"/>
            </w:tcBorders>
            <w:vAlign w:val="center"/>
          </w:tcPr>
          <w:p w14:paraId="376D9C14"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03097A65" w14:textId="77777777" w:rsidR="00B85ED7" w:rsidRPr="004D407A" w:rsidRDefault="00B85ED7" w:rsidP="00A1700F">
            <w:pPr>
              <w:rPr>
                <w:sz w:val="18"/>
              </w:rPr>
            </w:pPr>
            <w:r w:rsidRPr="004D407A">
              <w:rPr>
                <w:sz w:val="18"/>
              </w:rPr>
              <w:t>High</w:t>
            </w:r>
          </w:p>
        </w:tc>
      </w:tr>
      <w:tr w:rsidR="004D407A" w:rsidRPr="004D407A" w14:paraId="53C3765C"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7FD55001"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356B3392" w14:textId="77777777" w:rsidR="00B85ED7" w:rsidRPr="004D407A" w:rsidRDefault="00B85ED7" w:rsidP="00A1700F">
            <w:pPr>
              <w:rPr>
                <w:sz w:val="18"/>
              </w:rPr>
            </w:pPr>
            <w:r w:rsidRPr="004D407A">
              <w:rPr>
                <w:sz w:val="18"/>
              </w:rPr>
              <w:t>Lack of equipment for maintenance records and produce reports in electronic format</w:t>
            </w:r>
          </w:p>
        </w:tc>
        <w:tc>
          <w:tcPr>
            <w:tcW w:w="1395" w:type="dxa"/>
            <w:tcBorders>
              <w:top w:val="single" w:sz="4" w:space="0" w:color="7F7F7F" w:themeColor="text1" w:themeTint="80"/>
              <w:bottom w:val="single" w:sz="4" w:space="0" w:color="7F7F7F" w:themeColor="text1" w:themeTint="80"/>
            </w:tcBorders>
            <w:vAlign w:val="center"/>
          </w:tcPr>
          <w:p w14:paraId="6CA62F98" w14:textId="77777777" w:rsidR="00B85ED7" w:rsidRPr="004D407A" w:rsidRDefault="00B85ED7" w:rsidP="00A1700F">
            <w:pPr>
              <w:rPr>
                <w:sz w:val="18"/>
              </w:rPr>
            </w:pPr>
            <w:r w:rsidRPr="004D407A">
              <w:rPr>
                <w:sz w:val="18"/>
              </w:rPr>
              <w:t>Absent</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3E7CC5F7" w14:textId="77777777" w:rsidR="00B85ED7" w:rsidRPr="004D407A" w:rsidRDefault="00B85ED7" w:rsidP="00A1700F">
            <w:pPr>
              <w:rPr>
                <w:sz w:val="18"/>
              </w:rPr>
            </w:pPr>
            <w:r w:rsidRPr="004D407A">
              <w:rPr>
                <w:sz w:val="18"/>
              </w:rPr>
              <w:t>High</w:t>
            </w:r>
          </w:p>
        </w:tc>
      </w:tr>
      <w:tr w:rsidR="004D407A" w:rsidRPr="004D407A" w14:paraId="1143B884"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0CA09B44" w14:textId="77777777" w:rsidR="00B85ED7" w:rsidRPr="004D407A" w:rsidRDefault="00B85ED7">
            <w:pPr>
              <w:pStyle w:val="BodyText"/>
              <w:numPr>
                <w:ilvl w:val="2"/>
                <w:numId w:val="38"/>
              </w:numPr>
              <w:spacing w:before="0"/>
              <w:jc w:val="left"/>
              <w:rPr>
                <w:b/>
                <w:sz w:val="18"/>
              </w:rPr>
            </w:pPr>
          </w:p>
        </w:tc>
        <w:tc>
          <w:tcPr>
            <w:tcW w:w="5349" w:type="dxa"/>
            <w:tcBorders>
              <w:top w:val="single" w:sz="4" w:space="0" w:color="7F7F7F" w:themeColor="text1" w:themeTint="80"/>
              <w:bottom w:val="single" w:sz="4" w:space="0" w:color="7F7F7F" w:themeColor="text1" w:themeTint="80"/>
            </w:tcBorders>
            <w:vAlign w:val="center"/>
          </w:tcPr>
          <w:p w14:paraId="08712C24" w14:textId="77777777" w:rsidR="00B85ED7" w:rsidRPr="004D407A" w:rsidRDefault="00B85ED7" w:rsidP="00A1700F">
            <w:pPr>
              <w:rPr>
                <w:b/>
                <w:sz w:val="18"/>
              </w:rPr>
            </w:pPr>
            <w:r w:rsidRPr="004D407A">
              <w:rPr>
                <w:b/>
                <w:sz w:val="18"/>
              </w:rPr>
              <w:t>Staff shortage at vaccination points</w:t>
            </w:r>
          </w:p>
        </w:tc>
        <w:tc>
          <w:tcPr>
            <w:tcW w:w="1395" w:type="dxa"/>
            <w:tcBorders>
              <w:top w:val="single" w:sz="4" w:space="0" w:color="7F7F7F" w:themeColor="text1" w:themeTint="80"/>
              <w:bottom w:val="single" w:sz="4" w:space="0" w:color="7F7F7F" w:themeColor="text1" w:themeTint="80"/>
            </w:tcBorders>
            <w:vAlign w:val="center"/>
          </w:tcPr>
          <w:p w14:paraId="78B70989" w14:textId="77777777" w:rsidR="00B85ED7" w:rsidRPr="004D407A" w:rsidRDefault="00B85ED7" w:rsidP="00A1700F">
            <w:pPr>
              <w:rPr>
                <w:b/>
                <w:sz w:val="18"/>
              </w:rPr>
            </w:pPr>
            <w:r w:rsidRPr="004D407A">
              <w:rPr>
                <w:b/>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20F5D045" w14:textId="77777777" w:rsidR="00B85ED7" w:rsidRPr="004D407A" w:rsidRDefault="00B85ED7" w:rsidP="00A1700F">
            <w:pPr>
              <w:rPr>
                <w:b/>
                <w:sz w:val="18"/>
              </w:rPr>
            </w:pPr>
            <w:r w:rsidRPr="004D407A">
              <w:rPr>
                <w:b/>
                <w:sz w:val="18"/>
              </w:rPr>
              <w:t>High</w:t>
            </w:r>
          </w:p>
        </w:tc>
      </w:tr>
      <w:tr w:rsidR="004D407A" w:rsidRPr="004D407A" w14:paraId="61F91027"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6E0A646F"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1FBBF747" w14:textId="77777777" w:rsidR="00B85ED7" w:rsidRPr="004D407A" w:rsidRDefault="00B85ED7" w:rsidP="00A1700F">
            <w:pPr>
              <w:rPr>
                <w:sz w:val="18"/>
              </w:rPr>
            </w:pPr>
            <w:r w:rsidRPr="004D407A">
              <w:rPr>
                <w:sz w:val="18"/>
              </w:rPr>
              <w:t>Full reliance on fixed service delivery in urban slums</w:t>
            </w:r>
          </w:p>
        </w:tc>
        <w:tc>
          <w:tcPr>
            <w:tcW w:w="1395" w:type="dxa"/>
            <w:tcBorders>
              <w:top w:val="single" w:sz="4" w:space="0" w:color="7F7F7F" w:themeColor="text1" w:themeTint="80"/>
              <w:bottom w:val="single" w:sz="4" w:space="0" w:color="7F7F7F" w:themeColor="text1" w:themeTint="80"/>
            </w:tcBorders>
            <w:vAlign w:val="center"/>
          </w:tcPr>
          <w:p w14:paraId="090A2980"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65E6CAA5" w14:textId="77777777" w:rsidR="00B85ED7" w:rsidRPr="004D407A" w:rsidRDefault="00B85ED7" w:rsidP="00A1700F">
            <w:pPr>
              <w:rPr>
                <w:sz w:val="18"/>
              </w:rPr>
            </w:pPr>
            <w:r w:rsidRPr="004D407A">
              <w:rPr>
                <w:sz w:val="18"/>
              </w:rPr>
              <w:t>High</w:t>
            </w:r>
          </w:p>
        </w:tc>
      </w:tr>
      <w:tr w:rsidR="004D407A" w:rsidRPr="004D407A" w14:paraId="47E25E3A"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2AED9DCF"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78CBC86A" w14:textId="77777777" w:rsidR="00B85ED7" w:rsidRPr="004D407A" w:rsidRDefault="00B85ED7" w:rsidP="00A1700F">
            <w:pPr>
              <w:rPr>
                <w:sz w:val="18"/>
              </w:rPr>
            </w:pPr>
            <w:r w:rsidRPr="004D407A">
              <w:rPr>
                <w:sz w:val="18"/>
              </w:rPr>
              <w:t>National Immunization Policy and HR strategy for Immunization</w:t>
            </w:r>
          </w:p>
        </w:tc>
        <w:tc>
          <w:tcPr>
            <w:tcW w:w="1395" w:type="dxa"/>
            <w:tcBorders>
              <w:top w:val="single" w:sz="4" w:space="0" w:color="7F7F7F" w:themeColor="text1" w:themeTint="80"/>
              <w:bottom w:val="single" w:sz="4" w:space="0" w:color="7F7F7F" w:themeColor="text1" w:themeTint="80"/>
            </w:tcBorders>
            <w:vAlign w:val="center"/>
          </w:tcPr>
          <w:p w14:paraId="3CD48FE1"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41A090DE" w14:textId="77777777" w:rsidR="00B85ED7" w:rsidRPr="004D407A" w:rsidRDefault="00B85ED7" w:rsidP="00A1700F">
            <w:pPr>
              <w:rPr>
                <w:sz w:val="18"/>
              </w:rPr>
            </w:pPr>
            <w:r w:rsidRPr="004D407A">
              <w:rPr>
                <w:sz w:val="18"/>
              </w:rPr>
              <w:t>Low</w:t>
            </w:r>
          </w:p>
        </w:tc>
      </w:tr>
      <w:tr w:rsidR="004D407A" w:rsidRPr="004D407A" w14:paraId="2A675408"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5245BF25"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58C2D3BE" w14:textId="77777777" w:rsidR="00B85ED7" w:rsidRPr="004D407A" w:rsidRDefault="00B85ED7" w:rsidP="00A1700F">
            <w:pPr>
              <w:rPr>
                <w:sz w:val="18"/>
              </w:rPr>
            </w:pPr>
            <w:r w:rsidRPr="004D407A">
              <w:rPr>
                <w:sz w:val="18"/>
              </w:rPr>
              <w:t>High staff turn-over and availability of service providers in urban settings</w:t>
            </w:r>
          </w:p>
        </w:tc>
        <w:tc>
          <w:tcPr>
            <w:tcW w:w="1395" w:type="dxa"/>
            <w:tcBorders>
              <w:top w:val="single" w:sz="4" w:space="0" w:color="7F7F7F" w:themeColor="text1" w:themeTint="80"/>
              <w:bottom w:val="single" w:sz="4" w:space="0" w:color="7F7F7F" w:themeColor="text1" w:themeTint="80"/>
            </w:tcBorders>
            <w:vAlign w:val="center"/>
          </w:tcPr>
          <w:p w14:paraId="4542100B"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126E3EAE" w14:textId="77777777" w:rsidR="00B85ED7" w:rsidRPr="004D407A" w:rsidRDefault="00B85ED7" w:rsidP="00A1700F">
            <w:pPr>
              <w:rPr>
                <w:sz w:val="18"/>
              </w:rPr>
            </w:pPr>
            <w:r w:rsidRPr="004D407A">
              <w:rPr>
                <w:sz w:val="18"/>
              </w:rPr>
              <w:t>High</w:t>
            </w:r>
          </w:p>
        </w:tc>
      </w:tr>
      <w:tr w:rsidR="004D407A" w:rsidRPr="004D407A" w14:paraId="0214D0C7"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590F80EF" w14:textId="77777777" w:rsidR="00B85ED7" w:rsidRPr="004D407A" w:rsidRDefault="00B85ED7">
            <w:pPr>
              <w:pStyle w:val="BodyText"/>
              <w:numPr>
                <w:ilvl w:val="2"/>
                <w:numId w:val="38"/>
              </w:numPr>
              <w:spacing w:before="0"/>
              <w:jc w:val="left"/>
              <w:rPr>
                <w:b/>
                <w:sz w:val="18"/>
              </w:rPr>
            </w:pPr>
          </w:p>
        </w:tc>
        <w:tc>
          <w:tcPr>
            <w:tcW w:w="5349" w:type="dxa"/>
            <w:tcBorders>
              <w:top w:val="single" w:sz="4" w:space="0" w:color="7F7F7F" w:themeColor="text1" w:themeTint="80"/>
              <w:bottom w:val="single" w:sz="4" w:space="0" w:color="7F7F7F" w:themeColor="text1" w:themeTint="80"/>
            </w:tcBorders>
            <w:vAlign w:val="center"/>
          </w:tcPr>
          <w:p w14:paraId="42D23C59" w14:textId="77777777" w:rsidR="00B85ED7" w:rsidRPr="004D407A" w:rsidRDefault="00B85ED7" w:rsidP="00A1700F">
            <w:pPr>
              <w:rPr>
                <w:sz w:val="18"/>
              </w:rPr>
            </w:pPr>
            <w:r w:rsidRPr="004D407A">
              <w:rPr>
                <w:b/>
                <w:sz w:val="18"/>
              </w:rPr>
              <w:t>Capacity for Defaulter Tracking</w:t>
            </w:r>
          </w:p>
        </w:tc>
        <w:tc>
          <w:tcPr>
            <w:tcW w:w="1395" w:type="dxa"/>
            <w:tcBorders>
              <w:top w:val="single" w:sz="4" w:space="0" w:color="7F7F7F" w:themeColor="text1" w:themeTint="80"/>
              <w:bottom w:val="single" w:sz="4" w:space="0" w:color="7F7F7F" w:themeColor="text1" w:themeTint="80"/>
            </w:tcBorders>
            <w:vAlign w:val="center"/>
          </w:tcPr>
          <w:p w14:paraId="1661EEE9"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46172C8C" w14:textId="77777777" w:rsidR="00B85ED7" w:rsidRPr="004D407A" w:rsidRDefault="00B85ED7" w:rsidP="00A1700F">
            <w:pPr>
              <w:rPr>
                <w:sz w:val="18"/>
              </w:rPr>
            </w:pPr>
            <w:r w:rsidRPr="004D407A">
              <w:rPr>
                <w:sz w:val="18"/>
              </w:rPr>
              <w:t>High</w:t>
            </w:r>
          </w:p>
        </w:tc>
      </w:tr>
      <w:tr w:rsidR="004D407A" w:rsidRPr="004D407A" w14:paraId="55AF27D2"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739A1491" w14:textId="77777777" w:rsidR="00B85ED7" w:rsidRPr="004D407A" w:rsidRDefault="00B85ED7">
            <w:pPr>
              <w:pStyle w:val="BodyText"/>
              <w:numPr>
                <w:ilvl w:val="3"/>
                <w:numId w:val="38"/>
              </w:numPr>
              <w:spacing w:before="0"/>
              <w:jc w:val="left"/>
              <w:rPr>
                <w:b/>
                <w:sz w:val="18"/>
              </w:rPr>
            </w:pPr>
          </w:p>
        </w:tc>
        <w:tc>
          <w:tcPr>
            <w:tcW w:w="5349" w:type="dxa"/>
            <w:tcBorders>
              <w:top w:val="single" w:sz="4" w:space="0" w:color="7F7F7F" w:themeColor="text1" w:themeTint="80"/>
              <w:bottom w:val="single" w:sz="4" w:space="0" w:color="7F7F7F" w:themeColor="text1" w:themeTint="80"/>
            </w:tcBorders>
            <w:vAlign w:val="center"/>
          </w:tcPr>
          <w:p w14:paraId="7913FA4F" w14:textId="77777777" w:rsidR="00B85ED7" w:rsidRPr="004D407A" w:rsidRDefault="00B85ED7" w:rsidP="00A1700F">
            <w:pPr>
              <w:rPr>
                <w:b/>
                <w:sz w:val="18"/>
              </w:rPr>
            </w:pPr>
            <w:r w:rsidRPr="004D407A">
              <w:rPr>
                <w:sz w:val="18"/>
              </w:rPr>
              <w:t>Defaulter tracking and reminder systems</w:t>
            </w:r>
          </w:p>
        </w:tc>
        <w:tc>
          <w:tcPr>
            <w:tcW w:w="1395" w:type="dxa"/>
            <w:tcBorders>
              <w:top w:val="single" w:sz="4" w:space="0" w:color="7F7F7F" w:themeColor="text1" w:themeTint="80"/>
              <w:bottom w:val="single" w:sz="4" w:space="0" w:color="7F7F7F" w:themeColor="text1" w:themeTint="80"/>
            </w:tcBorders>
            <w:vAlign w:val="center"/>
          </w:tcPr>
          <w:p w14:paraId="0E768E61"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7540E571" w14:textId="77777777" w:rsidR="00B85ED7" w:rsidRPr="004D407A" w:rsidRDefault="00B85ED7" w:rsidP="00A1700F">
            <w:pPr>
              <w:rPr>
                <w:sz w:val="18"/>
              </w:rPr>
            </w:pPr>
            <w:r w:rsidRPr="004D407A">
              <w:rPr>
                <w:sz w:val="18"/>
              </w:rPr>
              <w:t>High</w:t>
            </w:r>
          </w:p>
        </w:tc>
      </w:tr>
      <w:tr w:rsidR="004D407A" w:rsidRPr="004D407A" w14:paraId="49B2F2BB"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3B978239" w14:textId="77777777" w:rsidR="00B85ED7" w:rsidRPr="004D407A" w:rsidRDefault="00B85ED7">
            <w:pPr>
              <w:pStyle w:val="BodyText"/>
              <w:numPr>
                <w:ilvl w:val="3"/>
                <w:numId w:val="38"/>
              </w:numPr>
              <w:spacing w:before="0"/>
              <w:jc w:val="left"/>
              <w:rPr>
                <w:b/>
                <w:sz w:val="18"/>
              </w:rPr>
            </w:pPr>
          </w:p>
        </w:tc>
        <w:tc>
          <w:tcPr>
            <w:tcW w:w="5349" w:type="dxa"/>
            <w:tcBorders>
              <w:top w:val="single" w:sz="4" w:space="0" w:color="7F7F7F" w:themeColor="text1" w:themeTint="80"/>
              <w:bottom w:val="single" w:sz="4" w:space="0" w:color="7F7F7F" w:themeColor="text1" w:themeTint="80"/>
            </w:tcBorders>
            <w:vAlign w:val="center"/>
          </w:tcPr>
          <w:p w14:paraId="3E6BA3DE" w14:textId="77777777" w:rsidR="00B85ED7" w:rsidRPr="004D407A" w:rsidRDefault="00B85ED7" w:rsidP="00A1700F">
            <w:pPr>
              <w:rPr>
                <w:sz w:val="18"/>
                <w:lang w:val="ka-GE"/>
              </w:rPr>
            </w:pPr>
            <w:r w:rsidRPr="004D407A">
              <w:rPr>
                <w:sz w:val="18"/>
              </w:rPr>
              <w:t>Staff capacity for defaulter tracking</w:t>
            </w:r>
          </w:p>
        </w:tc>
        <w:tc>
          <w:tcPr>
            <w:tcW w:w="1395" w:type="dxa"/>
            <w:tcBorders>
              <w:top w:val="single" w:sz="4" w:space="0" w:color="7F7F7F" w:themeColor="text1" w:themeTint="80"/>
              <w:bottom w:val="single" w:sz="4" w:space="0" w:color="7F7F7F" w:themeColor="text1" w:themeTint="80"/>
            </w:tcBorders>
            <w:vAlign w:val="center"/>
          </w:tcPr>
          <w:p w14:paraId="427A4959"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685CC308" w14:textId="77777777" w:rsidR="00B85ED7" w:rsidRPr="004D407A" w:rsidRDefault="00B85ED7" w:rsidP="00A1700F">
            <w:pPr>
              <w:rPr>
                <w:sz w:val="18"/>
              </w:rPr>
            </w:pPr>
            <w:r w:rsidRPr="004D407A">
              <w:rPr>
                <w:sz w:val="18"/>
              </w:rPr>
              <w:t>High</w:t>
            </w:r>
          </w:p>
        </w:tc>
      </w:tr>
      <w:tr w:rsidR="004D407A" w:rsidRPr="004D407A" w14:paraId="4035C002"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7116CE31" w14:textId="77777777" w:rsidR="00B85ED7" w:rsidRPr="004D407A" w:rsidRDefault="00B85ED7">
            <w:pPr>
              <w:pStyle w:val="BodyText"/>
              <w:numPr>
                <w:ilvl w:val="1"/>
                <w:numId w:val="38"/>
              </w:numPr>
              <w:spacing w:before="0"/>
              <w:jc w:val="left"/>
              <w:rPr>
                <w:b/>
                <w:smallCaps/>
                <w:sz w:val="18"/>
              </w:rPr>
            </w:pPr>
          </w:p>
        </w:tc>
        <w:tc>
          <w:tcPr>
            <w:tcW w:w="5349" w:type="dxa"/>
            <w:tcBorders>
              <w:top w:val="single" w:sz="4" w:space="0" w:color="7F7F7F" w:themeColor="text1" w:themeTint="80"/>
              <w:bottom w:val="single" w:sz="4" w:space="0" w:color="7F7F7F" w:themeColor="text1" w:themeTint="80"/>
            </w:tcBorders>
            <w:vAlign w:val="center"/>
          </w:tcPr>
          <w:p w14:paraId="12F11AF9" w14:textId="77777777" w:rsidR="00B85ED7" w:rsidRPr="004D407A" w:rsidRDefault="00B85ED7" w:rsidP="00A1700F">
            <w:pPr>
              <w:rPr>
                <w:b/>
                <w:smallCaps/>
                <w:sz w:val="18"/>
              </w:rPr>
            </w:pPr>
            <w:r w:rsidRPr="004D407A">
              <w:rPr>
                <w:b/>
                <w:smallCaps/>
                <w:sz w:val="18"/>
              </w:rPr>
              <w:t>uptake of vaccination services</w:t>
            </w:r>
          </w:p>
        </w:tc>
        <w:tc>
          <w:tcPr>
            <w:tcW w:w="1395" w:type="dxa"/>
            <w:tcBorders>
              <w:top w:val="single" w:sz="4" w:space="0" w:color="7F7F7F" w:themeColor="text1" w:themeTint="80"/>
              <w:bottom w:val="single" w:sz="4" w:space="0" w:color="7F7F7F" w:themeColor="text1" w:themeTint="80"/>
            </w:tcBorders>
            <w:vAlign w:val="center"/>
          </w:tcPr>
          <w:p w14:paraId="46A48EF5" w14:textId="77777777" w:rsidR="00B85ED7" w:rsidRPr="004D407A" w:rsidRDefault="00B85ED7" w:rsidP="00A1700F">
            <w:pPr>
              <w:rPr>
                <w:b/>
                <w:smallCaps/>
                <w:sz w:val="18"/>
              </w:rPr>
            </w:pPr>
            <w:r w:rsidRPr="004D407A">
              <w:rPr>
                <w:b/>
                <w:smallCaps/>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320D384D" w14:textId="77777777" w:rsidR="00B85ED7" w:rsidRPr="004D407A" w:rsidRDefault="00B85ED7" w:rsidP="00A1700F">
            <w:pPr>
              <w:rPr>
                <w:b/>
                <w:smallCaps/>
                <w:sz w:val="18"/>
              </w:rPr>
            </w:pPr>
            <w:r w:rsidRPr="004D407A">
              <w:rPr>
                <w:b/>
                <w:smallCaps/>
                <w:sz w:val="18"/>
              </w:rPr>
              <w:t>Medium</w:t>
            </w:r>
          </w:p>
        </w:tc>
      </w:tr>
      <w:tr w:rsidR="004D407A" w:rsidRPr="004D407A" w14:paraId="12C63755"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6913E4FD" w14:textId="77777777" w:rsidR="00B85ED7" w:rsidRPr="004D407A" w:rsidRDefault="00B85ED7">
            <w:pPr>
              <w:pStyle w:val="BodyText"/>
              <w:numPr>
                <w:ilvl w:val="2"/>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3B44BD10" w14:textId="77777777" w:rsidR="00B85ED7" w:rsidRPr="004D407A" w:rsidRDefault="00B85ED7" w:rsidP="00A1700F">
            <w:pPr>
              <w:rPr>
                <w:sz w:val="18"/>
              </w:rPr>
            </w:pPr>
            <w:r w:rsidRPr="004D407A">
              <w:rPr>
                <w:sz w:val="18"/>
              </w:rPr>
              <w:t>Demand for vaccination in low performing districts and city corporations</w:t>
            </w:r>
          </w:p>
        </w:tc>
        <w:tc>
          <w:tcPr>
            <w:tcW w:w="1395" w:type="dxa"/>
            <w:tcBorders>
              <w:top w:val="single" w:sz="4" w:space="0" w:color="7F7F7F" w:themeColor="text1" w:themeTint="80"/>
              <w:bottom w:val="single" w:sz="4" w:space="0" w:color="7F7F7F" w:themeColor="text1" w:themeTint="80"/>
            </w:tcBorders>
            <w:vAlign w:val="center"/>
          </w:tcPr>
          <w:p w14:paraId="5715F204" w14:textId="77777777" w:rsidR="00B85ED7" w:rsidRPr="004D407A" w:rsidRDefault="00B85ED7" w:rsidP="00A1700F">
            <w:pPr>
              <w:rPr>
                <w:sz w:val="18"/>
              </w:rPr>
            </w:pPr>
            <w:r w:rsidRPr="004D407A">
              <w:rPr>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7FF2702C" w14:textId="77777777" w:rsidR="00B85ED7" w:rsidRPr="004D407A" w:rsidRDefault="00B85ED7" w:rsidP="00A1700F">
            <w:pPr>
              <w:rPr>
                <w:sz w:val="18"/>
              </w:rPr>
            </w:pPr>
            <w:r w:rsidRPr="004D407A">
              <w:rPr>
                <w:sz w:val="18"/>
              </w:rPr>
              <w:t>Low</w:t>
            </w:r>
          </w:p>
        </w:tc>
      </w:tr>
      <w:tr w:rsidR="004D407A" w:rsidRPr="004D407A" w14:paraId="07F0EA3C"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5945685B"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56C158E7" w14:textId="77777777" w:rsidR="00B85ED7" w:rsidRPr="004D407A" w:rsidRDefault="00B85ED7" w:rsidP="00A1700F">
            <w:pPr>
              <w:rPr>
                <w:sz w:val="18"/>
              </w:rPr>
            </w:pPr>
            <w:r w:rsidRPr="004D407A">
              <w:rPr>
                <w:sz w:val="18"/>
              </w:rPr>
              <w:t>Knowledge of caregivers about availability of immunization services</w:t>
            </w:r>
          </w:p>
        </w:tc>
        <w:tc>
          <w:tcPr>
            <w:tcW w:w="1395" w:type="dxa"/>
            <w:tcBorders>
              <w:top w:val="single" w:sz="4" w:space="0" w:color="7F7F7F" w:themeColor="text1" w:themeTint="80"/>
              <w:bottom w:val="single" w:sz="4" w:space="0" w:color="7F7F7F" w:themeColor="text1" w:themeTint="80"/>
            </w:tcBorders>
            <w:vAlign w:val="center"/>
          </w:tcPr>
          <w:p w14:paraId="527C7AB2"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0C7BE445" w14:textId="77777777" w:rsidR="00B85ED7" w:rsidRPr="004D407A" w:rsidRDefault="00B85ED7" w:rsidP="00A1700F">
            <w:pPr>
              <w:rPr>
                <w:sz w:val="18"/>
              </w:rPr>
            </w:pPr>
            <w:r w:rsidRPr="004D407A">
              <w:rPr>
                <w:sz w:val="18"/>
              </w:rPr>
              <w:t>High</w:t>
            </w:r>
          </w:p>
        </w:tc>
      </w:tr>
      <w:tr w:rsidR="004D407A" w:rsidRPr="004D407A" w14:paraId="4692D518"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4056B7FE"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59DD6DF4" w14:textId="77777777" w:rsidR="00B85ED7" w:rsidRPr="004D407A" w:rsidRDefault="00B85ED7" w:rsidP="00A1700F">
            <w:pPr>
              <w:rPr>
                <w:sz w:val="18"/>
              </w:rPr>
            </w:pPr>
            <w:r w:rsidRPr="004D407A">
              <w:rPr>
                <w:sz w:val="18"/>
              </w:rPr>
              <w:t>Engagement of communities in community mobilization</w:t>
            </w:r>
          </w:p>
        </w:tc>
        <w:tc>
          <w:tcPr>
            <w:tcW w:w="1395" w:type="dxa"/>
            <w:tcBorders>
              <w:top w:val="single" w:sz="4" w:space="0" w:color="7F7F7F" w:themeColor="text1" w:themeTint="80"/>
              <w:bottom w:val="single" w:sz="4" w:space="0" w:color="7F7F7F" w:themeColor="text1" w:themeTint="80"/>
            </w:tcBorders>
            <w:vAlign w:val="center"/>
          </w:tcPr>
          <w:p w14:paraId="1ED00BF3"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2E6728BE" w14:textId="77777777" w:rsidR="00B85ED7" w:rsidRPr="004D407A" w:rsidRDefault="00B85ED7" w:rsidP="00A1700F">
            <w:pPr>
              <w:rPr>
                <w:sz w:val="18"/>
              </w:rPr>
            </w:pPr>
            <w:r w:rsidRPr="004D407A">
              <w:rPr>
                <w:sz w:val="18"/>
              </w:rPr>
              <w:t>High</w:t>
            </w:r>
          </w:p>
        </w:tc>
      </w:tr>
      <w:tr w:rsidR="004D407A" w:rsidRPr="004D407A" w14:paraId="247EBFCF"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0A05CBEB"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1B6CB3D1" w14:textId="77777777" w:rsidR="00B85ED7" w:rsidRPr="004D407A" w:rsidRDefault="00B85ED7" w:rsidP="00A1700F">
            <w:pPr>
              <w:rPr>
                <w:sz w:val="18"/>
              </w:rPr>
            </w:pPr>
            <w:r w:rsidRPr="004D407A">
              <w:rPr>
                <w:sz w:val="18"/>
              </w:rPr>
              <w:t>Staff capacity for IPC</w:t>
            </w:r>
          </w:p>
        </w:tc>
        <w:tc>
          <w:tcPr>
            <w:tcW w:w="1395" w:type="dxa"/>
            <w:tcBorders>
              <w:top w:val="single" w:sz="4" w:space="0" w:color="7F7F7F" w:themeColor="text1" w:themeTint="80"/>
              <w:bottom w:val="single" w:sz="4" w:space="0" w:color="7F7F7F" w:themeColor="text1" w:themeTint="80"/>
            </w:tcBorders>
            <w:vAlign w:val="center"/>
          </w:tcPr>
          <w:p w14:paraId="343B0A4E" w14:textId="77777777" w:rsidR="00B85ED7" w:rsidRPr="004D407A" w:rsidRDefault="00B85ED7" w:rsidP="00A1700F">
            <w:pPr>
              <w:rPr>
                <w:sz w:val="18"/>
              </w:rPr>
            </w:pP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580720B6" w14:textId="77777777" w:rsidR="00B85ED7" w:rsidRPr="004D407A" w:rsidRDefault="00B85ED7" w:rsidP="00A1700F">
            <w:pPr>
              <w:rPr>
                <w:sz w:val="18"/>
              </w:rPr>
            </w:pPr>
          </w:p>
        </w:tc>
      </w:tr>
      <w:tr w:rsidR="004D407A" w:rsidRPr="004D407A" w14:paraId="58651102"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2D912BF0" w14:textId="77777777" w:rsidR="00B85ED7" w:rsidRPr="004D407A" w:rsidRDefault="00B85ED7">
            <w:pPr>
              <w:pStyle w:val="BodyText"/>
              <w:numPr>
                <w:ilvl w:val="2"/>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354F5175" w14:textId="77777777" w:rsidR="00B85ED7" w:rsidRPr="004D407A" w:rsidRDefault="00B85ED7" w:rsidP="00A1700F">
            <w:pPr>
              <w:rPr>
                <w:sz w:val="18"/>
              </w:rPr>
            </w:pPr>
            <w:r w:rsidRPr="004D407A">
              <w:rPr>
                <w:sz w:val="18"/>
              </w:rPr>
              <w:t>Barriers for vaccination</w:t>
            </w:r>
          </w:p>
        </w:tc>
        <w:tc>
          <w:tcPr>
            <w:tcW w:w="1395" w:type="dxa"/>
            <w:tcBorders>
              <w:top w:val="single" w:sz="4" w:space="0" w:color="7F7F7F" w:themeColor="text1" w:themeTint="80"/>
              <w:bottom w:val="single" w:sz="4" w:space="0" w:color="7F7F7F" w:themeColor="text1" w:themeTint="80"/>
            </w:tcBorders>
            <w:vAlign w:val="center"/>
          </w:tcPr>
          <w:p w14:paraId="3EF4C2FB"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4EE8E9FB" w14:textId="77777777" w:rsidR="00B85ED7" w:rsidRPr="004D407A" w:rsidRDefault="00B85ED7" w:rsidP="00A1700F">
            <w:pPr>
              <w:rPr>
                <w:sz w:val="18"/>
              </w:rPr>
            </w:pPr>
            <w:r w:rsidRPr="004D407A">
              <w:rPr>
                <w:sz w:val="18"/>
              </w:rPr>
              <w:t>High</w:t>
            </w:r>
          </w:p>
        </w:tc>
      </w:tr>
      <w:tr w:rsidR="004D407A" w:rsidRPr="004D407A" w14:paraId="72E6E34F"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384A56DD"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16F32DA9" w14:textId="77777777" w:rsidR="00B85ED7" w:rsidRPr="004D407A" w:rsidRDefault="00B85ED7" w:rsidP="00A1700F">
            <w:pPr>
              <w:rPr>
                <w:sz w:val="18"/>
              </w:rPr>
            </w:pPr>
            <w:r w:rsidRPr="004D407A">
              <w:rPr>
                <w:sz w:val="18"/>
              </w:rPr>
              <w:t>Mobile and outreach service delivery in urban settings</w:t>
            </w:r>
          </w:p>
        </w:tc>
        <w:tc>
          <w:tcPr>
            <w:tcW w:w="1395" w:type="dxa"/>
            <w:tcBorders>
              <w:top w:val="single" w:sz="4" w:space="0" w:color="7F7F7F" w:themeColor="text1" w:themeTint="80"/>
              <w:bottom w:val="single" w:sz="4" w:space="0" w:color="7F7F7F" w:themeColor="text1" w:themeTint="80"/>
            </w:tcBorders>
            <w:vAlign w:val="center"/>
          </w:tcPr>
          <w:p w14:paraId="0A2B69EA"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3E8AEE5B" w14:textId="77777777" w:rsidR="00B85ED7" w:rsidRPr="004D407A" w:rsidRDefault="00B85ED7" w:rsidP="00A1700F">
            <w:pPr>
              <w:rPr>
                <w:sz w:val="18"/>
              </w:rPr>
            </w:pPr>
            <w:r w:rsidRPr="004D407A">
              <w:rPr>
                <w:sz w:val="18"/>
              </w:rPr>
              <w:t>High</w:t>
            </w:r>
          </w:p>
        </w:tc>
      </w:tr>
      <w:tr w:rsidR="004D407A" w:rsidRPr="004D407A" w14:paraId="0961FFCE"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1EAB4E21"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2CE1085A" w14:textId="77777777" w:rsidR="00B85ED7" w:rsidRPr="004D407A" w:rsidRDefault="00B85ED7" w:rsidP="00A1700F">
            <w:pPr>
              <w:rPr>
                <w:sz w:val="18"/>
              </w:rPr>
            </w:pPr>
            <w:r w:rsidRPr="004D407A">
              <w:rPr>
                <w:sz w:val="18"/>
              </w:rPr>
              <w:t>Effective strategies for improving service delivery in hard-to-reach areas including urban settings, specific groups</w:t>
            </w:r>
          </w:p>
        </w:tc>
        <w:tc>
          <w:tcPr>
            <w:tcW w:w="1395" w:type="dxa"/>
            <w:tcBorders>
              <w:top w:val="single" w:sz="4" w:space="0" w:color="7F7F7F" w:themeColor="text1" w:themeTint="80"/>
              <w:bottom w:val="single" w:sz="4" w:space="0" w:color="7F7F7F" w:themeColor="text1" w:themeTint="80"/>
            </w:tcBorders>
            <w:vAlign w:val="center"/>
          </w:tcPr>
          <w:p w14:paraId="500A3FA8"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3438FD81" w14:textId="77777777" w:rsidR="00B85ED7" w:rsidRPr="004D407A" w:rsidRDefault="00B85ED7" w:rsidP="00A1700F">
            <w:pPr>
              <w:rPr>
                <w:sz w:val="18"/>
              </w:rPr>
            </w:pPr>
            <w:r w:rsidRPr="004D407A">
              <w:rPr>
                <w:sz w:val="18"/>
              </w:rPr>
              <w:t>High</w:t>
            </w:r>
          </w:p>
        </w:tc>
      </w:tr>
      <w:tr w:rsidR="004D407A" w:rsidRPr="004D407A" w14:paraId="2F7EB77E"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0F9F2F52" w14:textId="77777777" w:rsidR="00B85ED7" w:rsidRPr="004D407A" w:rsidRDefault="00B85ED7">
            <w:pPr>
              <w:pStyle w:val="BodyText"/>
              <w:numPr>
                <w:ilvl w:val="3"/>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68E71A14" w14:textId="77777777" w:rsidR="00B85ED7" w:rsidRPr="004D407A" w:rsidRDefault="00B85ED7" w:rsidP="00A1700F">
            <w:pPr>
              <w:rPr>
                <w:sz w:val="18"/>
              </w:rPr>
            </w:pPr>
            <w:r w:rsidRPr="004D407A">
              <w:rPr>
                <w:sz w:val="18"/>
              </w:rPr>
              <w:t>Access to specific groups</w:t>
            </w:r>
          </w:p>
        </w:tc>
        <w:tc>
          <w:tcPr>
            <w:tcW w:w="1395" w:type="dxa"/>
            <w:tcBorders>
              <w:top w:val="single" w:sz="4" w:space="0" w:color="7F7F7F" w:themeColor="text1" w:themeTint="80"/>
              <w:bottom w:val="single" w:sz="4" w:space="0" w:color="7F7F7F" w:themeColor="text1" w:themeTint="80"/>
            </w:tcBorders>
            <w:vAlign w:val="center"/>
          </w:tcPr>
          <w:p w14:paraId="04E06170"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2F06B5F1" w14:textId="77777777" w:rsidR="00B85ED7" w:rsidRPr="004D407A" w:rsidRDefault="00B85ED7" w:rsidP="00A1700F">
            <w:pPr>
              <w:rPr>
                <w:sz w:val="18"/>
              </w:rPr>
            </w:pPr>
            <w:r w:rsidRPr="004D407A">
              <w:rPr>
                <w:sz w:val="18"/>
              </w:rPr>
              <w:t>High</w:t>
            </w:r>
          </w:p>
        </w:tc>
      </w:tr>
      <w:tr w:rsidR="004D407A" w:rsidRPr="004D407A" w14:paraId="3842F6B5"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2B52278E" w14:textId="77777777" w:rsidR="00B85ED7" w:rsidRPr="004D407A" w:rsidRDefault="00B85ED7">
            <w:pPr>
              <w:pStyle w:val="BodyText"/>
              <w:numPr>
                <w:ilvl w:val="0"/>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09C430B5" w14:textId="77777777" w:rsidR="00B85ED7" w:rsidRPr="004D407A" w:rsidRDefault="00B85ED7" w:rsidP="00A1700F">
            <w:pPr>
              <w:rPr>
                <w:b/>
                <w:bCs/>
                <w:sz w:val="18"/>
              </w:rPr>
            </w:pPr>
            <w:r w:rsidRPr="004D407A">
              <w:rPr>
                <w:b/>
                <w:bCs/>
                <w:sz w:val="18"/>
              </w:rPr>
              <w:t>Vaccine quality at the service delivery points</w:t>
            </w:r>
          </w:p>
        </w:tc>
        <w:tc>
          <w:tcPr>
            <w:tcW w:w="1395" w:type="dxa"/>
            <w:tcBorders>
              <w:top w:val="single" w:sz="4" w:space="0" w:color="7F7F7F" w:themeColor="text1" w:themeTint="80"/>
              <w:bottom w:val="single" w:sz="4" w:space="0" w:color="7F7F7F" w:themeColor="text1" w:themeTint="80"/>
            </w:tcBorders>
            <w:vAlign w:val="center"/>
          </w:tcPr>
          <w:p w14:paraId="468D331F" w14:textId="77777777" w:rsidR="00B85ED7" w:rsidRPr="004D407A" w:rsidRDefault="00B85ED7" w:rsidP="00A1700F">
            <w:pPr>
              <w:rPr>
                <w:sz w:val="18"/>
              </w:rPr>
            </w:pP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31EEFBE9" w14:textId="77777777" w:rsidR="00B85ED7" w:rsidRPr="004D407A" w:rsidRDefault="00B85ED7" w:rsidP="00A1700F">
            <w:pPr>
              <w:rPr>
                <w:sz w:val="18"/>
              </w:rPr>
            </w:pPr>
          </w:p>
        </w:tc>
      </w:tr>
      <w:tr w:rsidR="004D407A" w:rsidRPr="004D407A" w14:paraId="419BABC7"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7BFF4828" w14:textId="77777777" w:rsidR="00B85ED7" w:rsidRPr="004D407A" w:rsidRDefault="00B85ED7">
            <w:pPr>
              <w:pStyle w:val="BodyText"/>
              <w:numPr>
                <w:ilvl w:val="1"/>
                <w:numId w:val="38"/>
              </w:numPr>
              <w:spacing w:before="0"/>
              <w:jc w:val="left"/>
              <w:rPr>
                <w:b/>
                <w:smallCaps/>
                <w:sz w:val="18"/>
              </w:rPr>
            </w:pPr>
          </w:p>
        </w:tc>
        <w:tc>
          <w:tcPr>
            <w:tcW w:w="5349" w:type="dxa"/>
            <w:tcBorders>
              <w:top w:val="single" w:sz="4" w:space="0" w:color="7F7F7F" w:themeColor="text1" w:themeTint="80"/>
              <w:bottom w:val="single" w:sz="4" w:space="0" w:color="7F7F7F" w:themeColor="text1" w:themeTint="80"/>
            </w:tcBorders>
            <w:vAlign w:val="center"/>
          </w:tcPr>
          <w:p w14:paraId="0B800E89" w14:textId="77777777" w:rsidR="00B85ED7" w:rsidRPr="004D407A" w:rsidRDefault="00B85ED7" w:rsidP="00A1700F">
            <w:pPr>
              <w:rPr>
                <w:smallCaps/>
                <w:sz w:val="18"/>
              </w:rPr>
            </w:pPr>
            <w:r w:rsidRPr="004D407A">
              <w:rPr>
                <w:smallCaps/>
                <w:sz w:val="18"/>
              </w:rPr>
              <w:t>EVM Practices</w:t>
            </w:r>
          </w:p>
        </w:tc>
        <w:tc>
          <w:tcPr>
            <w:tcW w:w="1395" w:type="dxa"/>
            <w:tcBorders>
              <w:top w:val="single" w:sz="4" w:space="0" w:color="7F7F7F" w:themeColor="text1" w:themeTint="80"/>
              <w:bottom w:val="single" w:sz="4" w:space="0" w:color="7F7F7F" w:themeColor="text1" w:themeTint="80"/>
            </w:tcBorders>
            <w:vAlign w:val="center"/>
          </w:tcPr>
          <w:p w14:paraId="4ABA55BE" w14:textId="77777777" w:rsidR="00B85ED7" w:rsidRPr="004D407A" w:rsidRDefault="00B85ED7" w:rsidP="00A1700F">
            <w:pPr>
              <w:rPr>
                <w:smallCaps/>
                <w:sz w:val="18"/>
              </w:rPr>
            </w:pPr>
            <w:r w:rsidRPr="004D407A">
              <w:rPr>
                <w:smallCaps/>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697827CC" w14:textId="77777777" w:rsidR="00B85ED7" w:rsidRPr="004D407A" w:rsidRDefault="00B85ED7" w:rsidP="00A1700F">
            <w:pPr>
              <w:rPr>
                <w:smallCaps/>
                <w:sz w:val="18"/>
              </w:rPr>
            </w:pPr>
            <w:r w:rsidRPr="004D407A">
              <w:rPr>
                <w:smallCaps/>
                <w:sz w:val="18"/>
              </w:rPr>
              <w:t>Medium</w:t>
            </w:r>
          </w:p>
        </w:tc>
      </w:tr>
      <w:tr w:rsidR="004D407A" w:rsidRPr="004D407A" w14:paraId="4877CFF6"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0C19D600" w14:textId="77777777" w:rsidR="00B85ED7" w:rsidRPr="004D407A" w:rsidRDefault="00B85ED7">
            <w:pPr>
              <w:pStyle w:val="BodyText"/>
              <w:numPr>
                <w:ilvl w:val="2"/>
                <w:numId w:val="38"/>
              </w:numPr>
              <w:spacing w:before="0"/>
              <w:jc w:val="left"/>
              <w:rPr>
                <w:bCs/>
                <w:sz w:val="18"/>
              </w:rPr>
            </w:pPr>
          </w:p>
        </w:tc>
        <w:tc>
          <w:tcPr>
            <w:tcW w:w="5349" w:type="dxa"/>
            <w:tcBorders>
              <w:top w:val="single" w:sz="4" w:space="0" w:color="7F7F7F" w:themeColor="text1" w:themeTint="80"/>
              <w:bottom w:val="single" w:sz="4" w:space="0" w:color="7F7F7F" w:themeColor="text1" w:themeTint="80"/>
            </w:tcBorders>
            <w:vAlign w:val="center"/>
          </w:tcPr>
          <w:p w14:paraId="56337645" w14:textId="77777777" w:rsidR="00B85ED7" w:rsidRPr="004D407A" w:rsidRDefault="00B85ED7" w:rsidP="00A1700F">
            <w:pPr>
              <w:rPr>
                <w:bCs/>
                <w:sz w:val="18"/>
              </w:rPr>
            </w:pPr>
            <w:r w:rsidRPr="004D407A">
              <w:rPr>
                <w:bCs/>
                <w:sz w:val="18"/>
              </w:rPr>
              <w:t>Lack of training opportunities for cold-chain staff</w:t>
            </w:r>
          </w:p>
        </w:tc>
        <w:tc>
          <w:tcPr>
            <w:tcW w:w="1395" w:type="dxa"/>
            <w:tcBorders>
              <w:top w:val="single" w:sz="4" w:space="0" w:color="7F7F7F" w:themeColor="text1" w:themeTint="80"/>
              <w:bottom w:val="single" w:sz="4" w:space="0" w:color="7F7F7F" w:themeColor="text1" w:themeTint="80"/>
            </w:tcBorders>
            <w:vAlign w:val="center"/>
          </w:tcPr>
          <w:p w14:paraId="0F4D1EB8" w14:textId="77777777" w:rsidR="00B85ED7" w:rsidRPr="004D407A" w:rsidRDefault="00B85ED7" w:rsidP="00A1700F">
            <w:pPr>
              <w:rPr>
                <w:bCs/>
                <w:sz w:val="18"/>
              </w:rPr>
            </w:pPr>
            <w:r w:rsidRPr="004D407A">
              <w:rPr>
                <w:bCs/>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1CA030AB" w14:textId="77777777" w:rsidR="00B85ED7" w:rsidRPr="004D407A" w:rsidRDefault="00B85ED7" w:rsidP="00A1700F">
            <w:pPr>
              <w:rPr>
                <w:bCs/>
                <w:sz w:val="18"/>
              </w:rPr>
            </w:pPr>
            <w:r w:rsidRPr="004D407A">
              <w:rPr>
                <w:bCs/>
                <w:sz w:val="18"/>
              </w:rPr>
              <w:t>Medium</w:t>
            </w:r>
          </w:p>
        </w:tc>
      </w:tr>
      <w:tr w:rsidR="004D407A" w:rsidRPr="004D407A" w14:paraId="5CC78536"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3771E0EA" w14:textId="77777777" w:rsidR="00B85ED7" w:rsidRPr="004D407A" w:rsidRDefault="00B85ED7">
            <w:pPr>
              <w:pStyle w:val="BodyText"/>
              <w:numPr>
                <w:ilvl w:val="2"/>
                <w:numId w:val="38"/>
              </w:numPr>
              <w:spacing w:before="0"/>
              <w:jc w:val="left"/>
              <w:rPr>
                <w:bCs/>
                <w:sz w:val="18"/>
              </w:rPr>
            </w:pPr>
          </w:p>
        </w:tc>
        <w:tc>
          <w:tcPr>
            <w:tcW w:w="5349" w:type="dxa"/>
            <w:tcBorders>
              <w:top w:val="single" w:sz="4" w:space="0" w:color="7F7F7F" w:themeColor="text1" w:themeTint="80"/>
              <w:bottom w:val="single" w:sz="4" w:space="0" w:color="7F7F7F" w:themeColor="text1" w:themeTint="80"/>
            </w:tcBorders>
            <w:vAlign w:val="center"/>
          </w:tcPr>
          <w:p w14:paraId="26CE54F7" w14:textId="77777777" w:rsidR="00B85ED7" w:rsidRPr="004D407A" w:rsidRDefault="00B85ED7" w:rsidP="00A1700F">
            <w:pPr>
              <w:rPr>
                <w:bCs/>
                <w:sz w:val="18"/>
              </w:rPr>
            </w:pPr>
            <w:r w:rsidRPr="004D407A">
              <w:rPr>
                <w:bCs/>
                <w:sz w:val="18"/>
              </w:rPr>
              <w:t>Shortage of CC staff</w:t>
            </w:r>
          </w:p>
        </w:tc>
        <w:tc>
          <w:tcPr>
            <w:tcW w:w="1395" w:type="dxa"/>
            <w:tcBorders>
              <w:top w:val="single" w:sz="4" w:space="0" w:color="7F7F7F" w:themeColor="text1" w:themeTint="80"/>
              <w:bottom w:val="single" w:sz="4" w:space="0" w:color="7F7F7F" w:themeColor="text1" w:themeTint="80"/>
            </w:tcBorders>
            <w:vAlign w:val="center"/>
          </w:tcPr>
          <w:p w14:paraId="549E470B" w14:textId="77777777" w:rsidR="00B85ED7" w:rsidRPr="004D407A" w:rsidRDefault="00B85ED7" w:rsidP="00A1700F">
            <w:pPr>
              <w:rPr>
                <w:bCs/>
                <w:sz w:val="18"/>
              </w:rPr>
            </w:pPr>
            <w:r w:rsidRPr="004D407A">
              <w:rPr>
                <w:bCs/>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57185D7E" w14:textId="77777777" w:rsidR="00B85ED7" w:rsidRPr="004D407A" w:rsidRDefault="00B85ED7" w:rsidP="00A1700F">
            <w:pPr>
              <w:rPr>
                <w:bCs/>
                <w:sz w:val="18"/>
              </w:rPr>
            </w:pPr>
            <w:r w:rsidRPr="004D407A">
              <w:rPr>
                <w:bCs/>
                <w:sz w:val="18"/>
              </w:rPr>
              <w:t>Medium</w:t>
            </w:r>
          </w:p>
        </w:tc>
      </w:tr>
      <w:tr w:rsidR="004D407A" w:rsidRPr="004D407A" w14:paraId="78A6675D"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6D4E4BAC" w14:textId="77777777" w:rsidR="00B85ED7" w:rsidRPr="004D407A" w:rsidRDefault="00B85ED7">
            <w:pPr>
              <w:pStyle w:val="BodyText"/>
              <w:numPr>
                <w:ilvl w:val="1"/>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6FB9E444" w14:textId="77777777" w:rsidR="00B85ED7" w:rsidRPr="004D407A" w:rsidRDefault="00B85ED7" w:rsidP="00A1700F">
            <w:pPr>
              <w:rPr>
                <w:sz w:val="18"/>
              </w:rPr>
            </w:pPr>
            <w:r w:rsidRPr="004D407A">
              <w:rPr>
                <w:sz w:val="18"/>
              </w:rPr>
              <w:t>Quality of existing Cold-chain equipment</w:t>
            </w:r>
          </w:p>
        </w:tc>
        <w:tc>
          <w:tcPr>
            <w:tcW w:w="1395" w:type="dxa"/>
            <w:tcBorders>
              <w:top w:val="single" w:sz="4" w:space="0" w:color="7F7F7F" w:themeColor="text1" w:themeTint="80"/>
              <w:bottom w:val="single" w:sz="4" w:space="0" w:color="7F7F7F" w:themeColor="text1" w:themeTint="80"/>
            </w:tcBorders>
            <w:vAlign w:val="center"/>
          </w:tcPr>
          <w:p w14:paraId="4976FC5D"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74BC58C5" w14:textId="77777777" w:rsidR="00B85ED7" w:rsidRPr="004D407A" w:rsidRDefault="00B85ED7" w:rsidP="00A1700F">
            <w:pPr>
              <w:rPr>
                <w:sz w:val="18"/>
              </w:rPr>
            </w:pPr>
            <w:r w:rsidRPr="004D407A">
              <w:rPr>
                <w:sz w:val="18"/>
              </w:rPr>
              <w:t>Medium</w:t>
            </w:r>
          </w:p>
        </w:tc>
      </w:tr>
      <w:tr w:rsidR="004D407A" w:rsidRPr="004D407A" w14:paraId="489D3B8F"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22D846E9" w14:textId="77777777" w:rsidR="00B85ED7" w:rsidRPr="004D407A" w:rsidRDefault="00B85ED7">
            <w:pPr>
              <w:pStyle w:val="BodyText"/>
              <w:numPr>
                <w:ilvl w:val="2"/>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5E251051" w14:textId="77777777" w:rsidR="00B85ED7" w:rsidRPr="004D407A" w:rsidRDefault="00B85ED7" w:rsidP="00A1700F">
            <w:pPr>
              <w:rPr>
                <w:sz w:val="18"/>
              </w:rPr>
            </w:pPr>
            <w:r w:rsidRPr="004D407A">
              <w:rPr>
                <w:sz w:val="18"/>
              </w:rPr>
              <w:t>CCE maintenance and repairs capacity</w:t>
            </w:r>
          </w:p>
        </w:tc>
        <w:tc>
          <w:tcPr>
            <w:tcW w:w="1395" w:type="dxa"/>
            <w:tcBorders>
              <w:top w:val="single" w:sz="4" w:space="0" w:color="7F7F7F" w:themeColor="text1" w:themeTint="80"/>
              <w:bottom w:val="single" w:sz="4" w:space="0" w:color="7F7F7F" w:themeColor="text1" w:themeTint="80"/>
            </w:tcBorders>
            <w:vAlign w:val="center"/>
          </w:tcPr>
          <w:p w14:paraId="4EEFCBB1"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60661E17" w14:textId="77777777" w:rsidR="00B85ED7" w:rsidRPr="004D407A" w:rsidRDefault="00B85ED7" w:rsidP="00A1700F">
            <w:pPr>
              <w:rPr>
                <w:sz w:val="18"/>
              </w:rPr>
            </w:pPr>
            <w:r w:rsidRPr="004D407A">
              <w:rPr>
                <w:sz w:val="18"/>
              </w:rPr>
              <w:t>High</w:t>
            </w:r>
          </w:p>
        </w:tc>
      </w:tr>
      <w:tr w:rsidR="004D407A" w:rsidRPr="004D407A" w14:paraId="31AAD09A"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5302C9AB" w14:textId="77777777" w:rsidR="00B85ED7" w:rsidRPr="004D407A" w:rsidRDefault="00B85ED7">
            <w:pPr>
              <w:pStyle w:val="BodyText"/>
              <w:numPr>
                <w:ilvl w:val="1"/>
                <w:numId w:val="38"/>
              </w:numPr>
              <w:spacing w:before="0"/>
              <w:jc w:val="left"/>
              <w:rPr>
                <w:b/>
                <w:sz w:val="18"/>
              </w:rPr>
            </w:pPr>
          </w:p>
        </w:tc>
        <w:tc>
          <w:tcPr>
            <w:tcW w:w="5349" w:type="dxa"/>
            <w:tcBorders>
              <w:top w:val="single" w:sz="4" w:space="0" w:color="7F7F7F" w:themeColor="text1" w:themeTint="80"/>
              <w:bottom w:val="single" w:sz="4" w:space="0" w:color="7F7F7F" w:themeColor="text1" w:themeTint="80"/>
            </w:tcBorders>
            <w:vAlign w:val="center"/>
          </w:tcPr>
          <w:p w14:paraId="2CFF9477" w14:textId="77777777" w:rsidR="00B85ED7" w:rsidRPr="004D407A" w:rsidRDefault="00B85ED7" w:rsidP="00A1700F">
            <w:pPr>
              <w:rPr>
                <w:b/>
                <w:sz w:val="18"/>
              </w:rPr>
            </w:pPr>
            <w:r w:rsidRPr="004D407A">
              <w:rPr>
                <w:b/>
                <w:sz w:val="18"/>
              </w:rPr>
              <w:t>Immunization waste management</w:t>
            </w:r>
          </w:p>
        </w:tc>
        <w:tc>
          <w:tcPr>
            <w:tcW w:w="1395" w:type="dxa"/>
            <w:tcBorders>
              <w:top w:val="single" w:sz="4" w:space="0" w:color="7F7F7F" w:themeColor="text1" w:themeTint="80"/>
              <w:bottom w:val="single" w:sz="4" w:space="0" w:color="7F7F7F" w:themeColor="text1" w:themeTint="80"/>
            </w:tcBorders>
            <w:vAlign w:val="center"/>
          </w:tcPr>
          <w:p w14:paraId="63EF6FEC" w14:textId="77777777" w:rsidR="00B85ED7" w:rsidRPr="004D407A" w:rsidRDefault="00B85ED7" w:rsidP="00A1700F">
            <w:pPr>
              <w:tabs>
                <w:tab w:val="left" w:pos="206"/>
                <w:tab w:val="center" w:pos="589"/>
              </w:tabs>
              <w:rPr>
                <w:b/>
                <w:sz w:val="18"/>
              </w:rPr>
            </w:pP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73A590A4" w14:textId="77777777" w:rsidR="00B85ED7" w:rsidRPr="004D407A" w:rsidRDefault="00B85ED7" w:rsidP="00A1700F">
            <w:pPr>
              <w:rPr>
                <w:b/>
                <w:sz w:val="18"/>
              </w:rPr>
            </w:pPr>
          </w:p>
        </w:tc>
      </w:tr>
      <w:tr w:rsidR="004D407A" w:rsidRPr="004D407A" w14:paraId="13DEE0A2"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01116284" w14:textId="77777777" w:rsidR="00B85ED7" w:rsidRPr="004D407A" w:rsidRDefault="00B85ED7">
            <w:pPr>
              <w:pStyle w:val="BodyText"/>
              <w:numPr>
                <w:ilvl w:val="2"/>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12FD08C5" w14:textId="77777777" w:rsidR="00B85ED7" w:rsidRPr="004D407A" w:rsidRDefault="00B85ED7" w:rsidP="00A1700F">
            <w:pPr>
              <w:rPr>
                <w:sz w:val="18"/>
              </w:rPr>
            </w:pPr>
            <w:r w:rsidRPr="004D407A">
              <w:rPr>
                <w:sz w:val="18"/>
              </w:rPr>
              <w:t>Policy/Regulations for medical/immunization waste management</w:t>
            </w:r>
          </w:p>
        </w:tc>
        <w:tc>
          <w:tcPr>
            <w:tcW w:w="1395" w:type="dxa"/>
            <w:tcBorders>
              <w:top w:val="single" w:sz="4" w:space="0" w:color="7F7F7F" w:themeColor="text1" w:themeTint="80"/>
              <w:bottom w:val="single" w:sz="4" w:space="0" w:color="7F7F7F" w:themeColor="text1" w:themeTint="80"/>
            </w:tcBorders>
            <w:vAlign w:val="center"/>
          </w:tcPr>
          <w:p w14:paraId="1046247E"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6DF2BA38" w14:textId="77777777" w:rsidR="00B85ED7" w:rsidRPr="004D407A" w:rsidRDefault="00B85ED7" w:rsidP="00A1700F">
            <w:pPr>
              <w:rPr>
                <w:sz w:val="18"/>
              </w:rPr>
            </w:pPr>
            <w:r w:rsidRPr="004D407A">
              <w:rPr>
                <w:sz w:val="18"/>
              </w:rPr>
              <w:t>High</w:t>
            </w:r>
          </w:p>
        </w:tc>
      </w:tr>
      <w:tr w:rsidR="004D407A" w:rsidRPr="004D407A" w14:paraId="7016D588"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685C6078" w14:textId="77777777" w:rsidR="00B85ED7" w:rsidRPr="004D407A" w:rsidRDefault="00B85ED7">
            <w:pPr>
              <w:pStyle w:val="BodyText"/>
              <w:numPr>
                <w:ilvl w:val="2"/>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3AEDCF95" w14:textId="77777777" w:rsidR="00B85ED7" w:rsidRPr="004D407A" w:rsidRDefault="00B85ED7" w:rsidP="00A1700F">
            <w:pPr>
              <w:rPr>
                <w:sz w:val="18"/>
              </w:rPr>
            </w:pPr>
            <w:r w:rsidRPr="004D407A">
              <w:rPr>
                <w:sz w:val="18"/>
              </w:rPr>
              <w:t>Staff capacity for implement immunization waste management policy</w:t>
            </w:r>
          </w:p>
        </w:tc>
        <w:tc>
          <w:tcPr>
            <w:tcW w:w="1395" w:type="dxa"/>
            <w:tcBorders>
              <w:top w:val="single" w:sz="4" w:space="0" w:color="7F7F7F" w:themeColor="text1" w:themeTint="80"/>
              <w:bottom w:val="single" w:sz="4" w:space="0" w:color="7F7F7F" w:themeColor="text1" w:themeTint="80"/>
            </w:tcBorders>
            <w:vAlign w:val="center"/>
          </w:tcPr>
          <w:p w14:paraId="504167DC" w14:textId="77777777" w:rsidR="00B85ED7" w:rsidRPr="004D407A" w:rsidRDefault="00B85ED7" w:rsidP="00A1700F">
            <w:pPr>
              <w:rPr>
                <w:sz w:val="18"/>
              </w:rPr>
            </w:pPr>
            <w:r w:rsidRPr="004D407A">
              <w:rPr>
                <w:sz w:val="18"/>
              </w:rPr>
              <w:t>Strong</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783A4FDD" w14:textId="77777777" w:rsidR="00B85ED7" w:rsidRPr="004D407A" w:rsidRDefault="00B85ED7" w:rsidP="00A1700F">
            <w:pPr>
              <w:rPr>
                <w:sz w:val="18"/>
              </w:rPr>
            </w:pPr>
            <w:r w:rsidRPr="004D407A">
              <w:rPr>
                <w:sz w:val="18"/>
              </w:rPr>
              <w:t>High</w:t>
            </w:r>
          </w:p>
        </w:tc>
      </w:tr>
      <w:tr w:rsidR="004D407A" w:rsidRPr="004D407A" w14:paraId="53C8F63F" w14:textId="77777777" w:rsidTr="00A1700F">
        <w:tc>
          <w:tcPr>
            <w:tcW w:w="993" w:type="dxa"/>
            <w:tcBorders>
              <w:top w:val="single" w:sz="12" w:space="0" w:color="7F7F7F" w:themeColor="text1" w:themeTint="80"/>
              <w:left w:val="single" w:sz="12" w:space="0" w:color="7F7F7F" w:themeColor="text1" w:themeTint="80"/>
              <w:bottom w:val="single" w:sz="4" w:space="0" w:color="7F7F7F" w:themeColor="text1" w:themeTint="80"/>
            </w:tcBorders>
            <w:vAlign w:val="center"/>
          </w:tcPr>
          <w:p w14:paraId="370AB32D" w14:textId="77777777" w:rsidR="00B85ED7" w:rsidRPr="004D407A" w:rsidRDefault="00B85ED7">
            <w:pPr>
              <w:pStyle w:val="BodyText"/>
              <w:numPr>
                <w:ilvl w:val="0"/>
                <w:numId w:val="38"/>
              </w:numPr>
              <w:spacing w:before="0"/>
              <w:jc w:val="left"/>
              <w:rPr>
                <w:b/>
                <w:sz w:val="18"/>
              </w:rPr>
            </w:pPr>
          </w:p>
        </w:tc>
        <w:tc>
          <w:tcPr>
            <w:tcW w:w="5349" w:type="dxa"/>
            <w:tcBorders>
              <w:top w:val="single" w:sz="12" w:space="0" w:color="7F7F7F" w:themeColor="text1" w:themeTint="80"/>
              <w:bottom w:val="single" w:sz="4" w:space="0" w:color="7F7F7F" w:themeColor="text1" w:themeTint="80"/>
            </w:tcBorders>
            <w:vAlign w:val="center"/>
          </w:tcPr>
          <w:p w14:paraId="30888710" w14:textId="77777777" w:rsidR="00B85ED7" w:rsidRPr="004D407A" w:rsidRDefault="00B85ED7" w:rsidP="00A1700F">
            <w:pPr>
              <w:rPr>
                <w:b/>
                <w:sz w:val="18"/>
              </w:rPr>
            </w:pPr>
            <w:r w:rsidRPr="004D407A">
              <w:rPr>
                <w:b/>
                <w:sz w:val="18"/>
              </w:rPr>
              <w:t>INADEQUATE OUTBREAK PREVENTION MECHANISMS</w:t>
            </w:r>
          </w:p>
        </w:tc>
        <w:tc>
          <w:tcPr>
            <w:tcW w:w="1395" w:type="dxa"/>
            <w:tcBorders>
              <w:top w:val="single" w:sz="12" w:space="0" w:color="7F7F7F" w:themeColor="text1" w:themeTint="80"/>
              <w:bottom w:val="single" w:sz="4" w:space="0" w:color="7F7F7F" w:themeColor="text1" w:themeTint="80"/>
            </w:tcBorders>
            <w:vAlign w:val="center"/>
          </w:tcPr>
          <w:p w14:paraId="00B22FC2" w14:textId="77777777" w:rsidR="00B85ED7" w:rsidRPr="004D407A" w:rsidRDefault="00B85ED7" w:rsidP="00A1700F">
            <w:pPr>
              <w:rPr>
                <w:b/>
                <w:sz w:val="18"/>
              </w:rPr>
            </w:pPr>
          </w:p>
        </w:tc>
        <w:tc>
          <w:tcPr>
            <w:tcW w:w="1396" w:type="dxa"/>
            <w:tcBorders>
              <w:top w:val="single" w:sz="12" w:space="0" w:color="7F7F7F" w:themeColor="text1" w:themeTint="80"/>
              <w:bottom w:val="single" w:sz="4" w:space="0" w:color="7F7F7F" w:themeColor="text1" w:themeTint="80"/>
              <w:right w:val="single" w:sz="12" w:space="0" w:color="7F7F7F" w:themeColor="text1" w:themeTint="80"/>
            </w:tcBorders>
            <w:vAlign w:val="center"/>
          </w:tcPr>
          <w:p w14:paraId="4EDEC8C4" w14:textId="77777777" w:rsidR="00B85ED7" w:rsidRPr="004D407A" w:rsidRDefault="00B85ED7" w:rsidP="00A1700F">
            <w:pPr>
              <w:rPr>
                <w:b/>
                <w:sz w:val="18"/>
              </w:rPr>
            </w:pPr>
          </w:p>
        </w:tc>
      </w:tr>
      <w:tr w:rsidR="004D407A" w:rsidRPr="004D407A" w14:paraId="333F0E3E"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5F9BBB88" w14:textId="77777777" w:rsidR="00B85ED7" w:rsidRPr="004D407A" w:rsidRDefault="00B85ED7">
            <w:pPr>
              <w:pStyle w:val="BodyText"/>
              <w:numPr>
                <w:ilvl w:val="1"/>
                <w:numId w:val="38"/>
              </w:numPr>
              <w:spacing w:before="0"/>
              <w:jc w:val="left"/>
              <w:rPr>
                <w:b/>
                <w:smallCaps/>
                <w:sz w:val="18"/>
              </w:rPr>
            </w:pPr>
          </w:p>
        </w:tc>
        <w:tc>
          <w:tcPr>
            <w:tcW w:w="5349" w:type="dxa"/>
            <w:tcBorders>
              <w:top w:val="single" w:sz="4" w:space="0" w:color="7F7F7F" w:themeColor="text1" w:themeTint="80"/>
              <w:bottom w:val="single" w:sz="4" w:space="0" w:color="7F7F7F" w:themeColor="text1" w:themeTint="80"/>
            </w:tcBorders>
            <w:vAlign w:val="center"/>
          </w:tcPr>
          <w:p w14:paraId="747638C7" w14:textId="77777777" w:rsidR="00B85ED7" w:rsidRPr="004D407A" w:rsidRDefault="00B85ED7" w:rsidP="00A1700F">
            <w:pPr>
              <w:rPr>
                <w:b/>
                <w:smallCaps/>
                <w:sz w:val="18"/>
              </w:rPr>
            </w:pPr>
            <w:r w:rsidRPr="004D407A">
              <w:rPr>
                <w:b/>
                <w:smallCaps/>
                <w:sz w:val="18"/>
              </w:rPr>
              <w:t>Insufficient management of prevention mechanisms</w:t>
            </w:r>
          </w:p>
        </w:tc>
        <w:tc>
          <w:tcPr>
            <w:tcW w:w="1395" w:type="dxa"/>
            <w:tcBorders>
              <w:top w:val="single" w:sz="4" w:space="0" w:color="7F7F7F" w:themeColor="text1" w:themeTint="80"/>
              <w:bottom w:val="single" w:sz="4" w:space="0" w:color="7F7F7F" w:themeColor="text1" w:themeTint="80"/>
            </w:tcBorders>
            <w:vAlign w:val="center"/>
          </w:tcPr>
          <w:p w14:paraId="766D2B77" w14:textId="77777777" w:rsidR="00B85ED7" w:rsidRPr="004D407A" w:rsidRDefault="00B85ED7" w:rsidP="00A1700F">
            <w:pPr>
              <w:rPr>
                <w:b/>
                <w:smallCaps/>
                <w:sz w:val="18"/>
              </w:rPr>
            </w:pPr>
            <w:r w:rsidRPr="004D407A">
              <w:rPr>
                <w:b/>
                <w:smallCaps/>
                <w:sz w:val="18"/>
              </w:rPr>
              <w:t>Weak</w:t>
            </w:r>
            <w:r w:rsidRPr="004D407A">
              <w:rPr>
                <w:rStyle w:val="FootnoteReference"/>
                <w:b/>
                <w:smallCaps/>
                <w:sz w:val="18"/>
              </w:rPr>
              <w:footnoteReference w:id="46"/>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55297A20" w14:textId="77777777" w:rsidR="00B85ED7" w:rsidRPr="004D407A" w:rsidRDefault="00B85ED7" w:rsidP="00A1700F">
            <w:pPr>
              <w:rPr>
                <w:b/>
                <w:smallCaps/>
                <w:sz w:val="18"/>
              </w:rPr>
            </w:pPr>
            <w:r w:rsidRPr="004D407A">
              <w:rPr>
                <w:b/>
                <w:smallCaps/>
                <w:sz w:val="18"/>
              </w:rPr>
              <w:t>Medium</w:t>
            </w:r>
          </w:p>
        </w:tc>
      </w:tr>
      <w:tr w:rsidR="004D407A" w:rsidRPr="004D407A" w14:paraId="6FB3E5CE"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15123A97" w14:textId="77777777" w:rsidR="00B85ED7" w:rsidRPr="004D407A" w:rsidRDefault="00B85ED7">
            <w:pPr>
              <w:pStyle w:val="BodyText"/>
              <w:numPr>
                <w:ilvl w:val="1"/>
                <w:numId w:val="38"/>
              </w:numPr>
              <w:spacing w:before="0"/>
              <w:jc w:val="left"/>
              <w:rPr>
                <w:b/>
                <w:smallCaps/>
                <w:sz w:val="18"/>
              </w:rPr>
            </w:pPr>
          </w:p>
        </w:tc>
        <w:tc>
          <w:tcPr>
            <w:tcW w:w="5349" w:type="dxa"/>
            <w:tcBorders>
              <w:top w:val="single" w:sz="4" w:space="0" w:color="7F7F7F" w:themeColor="text1" w:themeTint="80"/>
              <w:bottom w:val="single" w:sz="4" w:space="0" w:color="7F7F7F" w:themeColor="text1" w:themeTint="80"/>
            </w:tcBorders>
            <w:vAlign w:val="center"/>
          </w:tcPr>
          <w:p w14:paraId="775E7311" w14:textId="77777777" w:rsidR="00B85ED7" w:rsidRPr="004D407A" w:rsidRDefault="00B85ED7" w:rsidP="00A1700F">
            <w:pPr>
              <w:rPr>
                <w:b/>
                <w:smallCaps/>
                <w:sz w:val="18"/>
              </w:rPr>
            </w:pPr>
            <w:r w:rsidRPr="004D407A">
              <w:rPr>
                <w:b/>
                <w:smallCaps/>
                <w:sz w:val="18"/>
              </w:rPr>
              <w:t>Lack of outbreak prevention strategy and strategy implementation plan</w:t>
            </w:r>
          </w:p>
        </w:tc>
        <w:tc>
          <w:tcPr>
            <w:tcW w:w="1395" w:type="dxa"/>
            <w:tcBorders>
              <w:top w:val="single" w:sz="4" w:space="0" w:color="7F7F7F" w:themeColor="text1" w:themeTint="80"/>
              <w:bottom w:val="single" w:sz="4" w:space="0" w:color="7F7F7F" w:themeColor="text1" w:themeTint="80"/>
            </w:tcBorders>
            <w:vAlign w:val="center"/>
          </w:tcPr>
          <w:p w14:paraId="7D714690" w14:textId="77777777" w:rsidR="00B85ED7" w:rsidRPr="004D407A" w:rsidRDefault="00B85ED7" w:rsidP="00A1700F">
            <w:pPr>
              <w:rPr>
                <w:b/>
                <w:smallCaps/>
                <w:sz w:val="18"/>
              </w:rPr>
            </w:pPr>
            <w:r w:rsidRPr="004D407A">
              <w:rPr>
                <w:b/>
                <w:smallCaps/>
                <w:sz w:val="18"/>
              </w:rPr>
              <w:t>Strong</w:t>
            </w:r>
            <w:r w:rsidRPr="004D407A">
              <w:rPr>
                <w:rStyle w:val="FootnoteReference"/>
                <w:b/>
                <w:smallCaps/>
                <w:sz w:val="18"/>
              </w:rPr>
              <w:footnoteReference w:id="47"/>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7DACF805" w14:textId="77777777" w:rsidR="00B85ED7" w:rsidRPr="004D407A" w:rsidRDefault="00B85ED7" w:rsidP="00A1700F">
            <w:pPr>
              <w:rPr>
                <w:b/>
                <w:smallCaps/>
                <w:sz w:val="18"/>
              </w:rPr>
            </w:pPr>
            <w:r w:rsidRPr="004D407A">
              <w:rPr>
                <w:b/>
                <w:smallCaps/>
                <w:sz w:val="18"/>
              </w:rPr>
              <w:t>High</w:t>
            </w:r>
          </w:p>
        </w:tc>
      </w:tr>
      <w:tr w:rsidR="004D407A" w:rsidRPr="004D407A" w14:paraId="0551DBFF"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6383F1C4" w14:textId="77777777" w:rsidR="00B85ED7" w:rsidRPr="004D407A" w:rsidRDefault="00B85ED7">
            <w:pPr>
              <w:pStyle w:val="BodyText"/>
              <w:numPr>
                <w:ilvl w:val="2"/>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57DED5A0" w14:textId="77777777" w:rsidR="00B85ED7" w:rsidRPr="004D407A" w:rsidRDefault="00B85ED7" w:rsidP="00A1700F">
            <w:pPr>
              <w:rPr>
                <w:sz w:val="18"/>
              </w:rPr>
            </w:pPr>
            <w:r w:rsidRPr="004D407A">
              <w:rPr>
                <w:sz w:val="18"/>
              </w:rPr>
              <w:t>Inadequate outbreak response capacity</w:t>
            </w:r>
          </w:p>
        </w:tc>
        <w:tc>
          <w:tcPr>
            <w:tcW w:w="1395" w:type="dxa"/>
            <w:tcBorders>
              <w:top w:val="single" w:sz="4" w:space="0" w:color="7F7F7F" w:themeColor="text1" w:themeTint="80"/>
              <w:bottom w:val="single" w:sz="4" w:space="0" w:color="7F7F7F" w:themeColor="text1" w:themeTint="80"/>
            </w:tcBorders>
            <w:vAlign w:val="center"/>
          </w:tcPr>
          <w:p w14:paraId="1AB64AC5" w14:textId="77777777" w:rsidR="00B85ED7" w:rsidRPr="004D407A" w:rsidRDefault="00B85ED7" w:rsidP="00A1700F">
            <w:pPr>
              <w:rPr>
                <w:sz w:val="18"/>
              </w:rPr>
            </w:pPr>
            <w:r w:rsidRPr="004D407A">
              <w:rPr>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5E5F33C4" w14:textId="77777777" w:rsidR="00B85ED7" w:rsidRPr="004D407A" w:rsidRDefault="00B85ED7" w:rsidP="00A1700F">
            <w:pPr>
              <w:rPr>
                <w:sz w:val="18"/>
              </w:rPr>
            </w:pPr>
            <w:r w:rsidRPr="004D407A">
              <w:rPr>
                <w:sz w:val="18"/>
              </w:rPr>
              <w:t>High</w:t>
            </w:r>
          </w:p>
        </w:tc>
      </w:tr>
      <w:tr w:rsidR="004D407A" w:rsidRPr="004D407A" w14:paraId="228C4F4B" w14:textId="77777777" w:rsidTr="00A1700F">
        <w:tc>
          <w:tcPr>
            <w:tcW w:w="993" w:type="dxa"/>
            <w:tcBorders>
              <w:top w:val="single" w:sz="4" w:space="0" w:color="7F7F7F" w:themeColor="text1" w:themeTint="80"/>
              <w:left w:val="single" w:sz="12" w:space="0" w:color="7F7F7F" w:themeColor="text1" w:themeTint="80"/>
              <w:bottom w:val="single" w:sz="4" w:space="0" w:color="7F7F7F" w:themeColor="text1" w:themeTint="80"/>
            </w:tcBorders>
            <w:vAlign w:val="center"/>
          </w:tcPr>
          <w:p w14:paraId="3071676E" w14:textId="77777777" w:rsidR="00B85ED7" w:rsidRPr="004D407A" w:rsidRDefault="00B85ED7">
            <w:pPr>
              <w:pStyle w:val="BodyText"/>
              <w:numPr>
                <w:ilvl w:val="2"/>
                <w:numId w:val="38"/>
              </w:numPr>
              <w:spacing w:before="0"/>
              <w:jc w:val="left"/>
              <w:rPr>
                <w:sz w:val="18"/>
              </w:rPr>
            </w:pPr>
          </w:p>
        </w:tc>
        <w:tc>
          <w:tcPr>
            <w:tcW w:w="5349" w:type="dxa"/>
            <w:tcBorders>
              <w:top w:val="single" w:sz="4" w:space="0" w:color="7F7F7F" w:themeColor="text1" w:themeTint="80"/>
              <w:bottom w:val="single" w:sz="4" w:space="0" w:color="7F7F7F" w:themeColor="text1" w:themeTint="80"/>
            </w:tcBorders>
            <w:vAlign w:val="center"/>
          </w:tcPr>
          <w:p w14:paraId="0999BDBB" w14:textId="77777777" w:rsidR="00B85ED7" w:rsidRPr="004D407A" w:rsidRDefault="00B85ED7" w:rsidP="00A1700F">
            <w:pPr>
              <w:rPr>
                <w:sz w:val="18"/>
              </w:rPr>
            </w:pPr>
            <w:r w:rsidRPr="004D407A">
              <w:rPr>
                <w:sz w:val="18"/>
              </w:rPr>
              <w:t>Inadequate resource and systems – commodities and logistics</w:t>
            </w:r>
          </w:p>
        </w:tc>
        <w:tc>
          <w:tcPr>
            <w:tcW w:w="1395" w:type="dxa"/>
            <w:tcBorders>
              <w:top w:val="single" w:sz="4" w:space="0" w:color="7F7F7F" w:themeColor="text1" w:themeTint="80"/>
              <w:bottom w:val="single" w:sz="4" w:space="0" w:color="7F7F7F" w:themeColor="text1" w:themeTint="80"/>
            </w:tcBorders>
            <w:vAlign w:val="center"/>
          </w:tcPr>
          <w:p w14:paraId="6A106F72" w14:textId="77777777" w:rsidR="00B85ED7" w:rsidRPr="004D407A" w:rsidRDefault="00B85ED7" w:rsidP="00A1700F">
            <w:pPr>
              <w:rPr>
                <w:sz w:val="18"/>
              </w:rPr>
            </w:pPr>
            <w:r w:rsidRPr="004D407A">
              <w:rPr>
                <w:sz w:val="18"/>
              </w:rPr>
              <w:t>Weak</w:t>
            </w:r>
          </w:p>
        </w:tc>
        <w:tc>
          <w:tcPr>
            <w:tcW w:w="1396" w:type="dxa"/>
            <w:tcBorders>
              <w:top w:val="single" w:sz="4" w:space="0" w:color="7F7F7F" w:themeColor="text1" w:themeTint="80"/>
              <w:bottom w:val="single" w:sz="4" w:space="0" w:color="7F7F7F" w:themeColor="text1" w:themeTint="80"/>
              <w:right w:val="single" w:sz="12" w:space="0" w:color="7F7F7F" w:themeColor="text1" w:themeTint="80"/>
            </w:tcBorders>
            <w:vAlign w:val="center"/>
          </w:tcPr>
          <w:p w14:paraId="13905151" w14:textId="77777777" w:rsidR="00B85ED7" w:rsidRPr="004D407A" w:rsidRDefault="00B85ED7" w:rsidP="00A1700F">
            <w:pPr>
              <w:rPr>
                <w:sz w:val="18"/>
              </w:rPr>
            </w:pPr>
            <w:r w:rsidRPr="004D407A">
              <w:rPr>
                <w:sz w:val="18"/>
              </w:rPr>
              <w:t>Medium</w:t>
            </w:r>
          </w:p>
        </w:tc>
      </w:tr>
      <w:tr w:rsidR="004D407A" w:rsidRPr="004D407A" w14:paraId="14149988" w14:textId="77777777" w:rsidTr="00A1700F">
        <w:tc>
          <w:tcPr>
            <w:tcW w:w="993" w:type="dxa"/>
            <w:tcBorders>
              <w:top w:val="single" w:sz="4" w:space="0" w:color="7F7F7F" w:themeColor="text1" w:themeTint="80"/>
              <w:left w:val="single" w:sz="12" w:space="0" w:color="7F7F7F" w:themeColor="text1" w:themeTint="80"/>
              <w:bottom w:val="single" w:sz="12" w:space="0" w:color="7F7F7F" w:themeColor="text1" w:themeTint="80"/>
            </w:tcBorders>
            <w:vAlign w:val="center"/>
          </w:tcPr>
          <w:p w14:paraId="7BCAB2EE" w14:textId="77777777" w:rsidR="00B85ED7" w:rsidRPr="004D407A" w:rsidRDefault="00B85ED7">
            <w:pPr>
              <w:pStyle w:val="BodyText"/>
              <w:numPr>
                <w:ilvl w:val="1"/>
                <w:numId w:val="38"/>
              </w:numPr>
              <w:spacing w:before="0"/>
              <w:jc w:val="left"/>
              <w:rPr>
                <w:b/>
                <w:smallCaps/>
                <w:sz w:val="18"/>
              </w:rPr>
            </w:pPr>
          </w:p>
        </w:tc>
        <w:tc>
          <w:tcPr>
            <w:tcW w:w="5349" w:type="dxa"/>
            <w:tcBorders>
              <w:top w:val="single" w:sz="4" w:space="0" w:color="7F7F7F" w:themeColor="text1" w:themeTint="80"/>
              <w:bottom w:val="single" w:sz="12" w:space="0" w:color="7F7F7F" w:themeColor="text1" w:themeTint="80"/>
            </w:tcBorders>
            <w:vAlign w:val="center"/>
          </w:tcPr>
          <w:p w14:paraId="2A3F47A1" w14:textId="77777777" w:rsidR="00B85ED7" w:rsidRPr="004D407A" w:rsidRDefault="00B85ED7" w:rsidP="00A1700F">
            <w:pPr>
              <w:rPr>
                <w:b/>
                <w:smallCaps/>
                <w:sz w:val="18"/>
              </w:rPr>
            </w:pPr>
            <w:r w:rsidRPr="004D407A">
              <w:rPr>
                <w:b/>
                <w:smallCaps/>
                <w:sz w:val="18"/>
              </w:rPr>
              <w:t>No strategic reserves of vaccines for rapid response</w:t>
            </w:r>
          </w:p>
        </w:tc>
        <w:tc>
          <w:tcPr>
            <w:tcW w:w="1395" w:type="dxa"/>
            <w:tcBorders>
              <w:top w:val="single" w:sz="4" w:space="0" w:color="7F7F7F" w:themeColor="text1" w:themeTint="80"/>
              <w:bottom w:val="single" w:sz="12" w:space="0" w:color="7F7F7F" w:themeColor="text1" w:themeTint="80"/>
            </w:tcBorders>
            <w:vAlign w:val="center"/>
          </w:tcPr>
          <w:p w14:paraId="58ABA602" w14:textId="77777777" w:rsidR="00B85ED7" w:rsidRPr="004D407A" w:rsidRDefault="00B85ED7" w:rsidP="00A1700F">
            <w:pPr>
              <w:rPr>
                <w:b/>
                <w:smallCaps/>
                <w:sz w:val="18"/>
              </w:rPr>
            </w:pPr>
            <w:r w:rsidRPr="004D407A">
              <w:rPr>
                <w:b/>
                <w:smallCaps/>
                <w:sz w:val="18"/>
              </w:rPr>
              <w:t>Strong</w:t>
            </w:r>
          </w:p>
        </w:tc>
        <w:tc>
          <w:tcPr>
            <w:tcW w:w="1396" w:type="dxa"/>
            <w:tcBorders>
              <w:top w:val="single" w:sz="4" w:space="0" w:color="7F7F7F" w:themeColor="text1" w:themeTint="80"/>
              <w:bottom w:val="single" w:sz="12" w:space="0" w:color="7F7F7F" w:themeColor="text1" w:themeTint="80"/>
              <w:right w:val="single" w:sz="12" w:space="0" w:color="7F7F7F" w:themeColor="text1" w:themeTint="80"/>
            </w:tcBorders>
            <w:vAlign w:val="center"/>
          </w:tcPr>
          <w:p w14:paraId="4C0C6F3F" w14:textId="77777777" w:rsidR="00B85ED7" w:rsidRPr="004D407A" w:rsidRDefault="00B85ED7" w:rsidP="00A1700F">
            <w:pPr>
              <w:rPr>
                <w:b/>
                <w:smallCaps/>
                <w:sz w:val="18"/>
              </w:rPr>
            </w:pPr>
            <w:r w:rsidRPr="004D407A">
              <w:rPr>
                <w:b/>
                <w:smallCaps/>
                <w:sz w:val="18"/>
              </w:rPr>
              <w:t>Medium</w:t>
            </w:r>
          </w:p>
        </w:tc>
      </w:tr>
    </w:tbl>
    <w:p w14:paraId="10ED918B" w14:textId="17F80220" w:rsidR="00594549" w:rsidRPr="004D407A" w:rsidRDefault="00D80429" w:rsidP="004D407A">
      <w:pPr>
        <w:pStyle w:val="BodyText"/>
        <w:ind w:firstLine="0"/>
        <w:rPr>
          <w:rFonts w:ascii="Arial" w:hAnsi="Arial"/>
        </w:rPr>
      </w:pPr>
      <w:bookmarkStart w:id="233" w:name="_Toc489491524"/>
      <w:bookmarkStart w:id="234" w:name="_Toc103004687"/>
      <w:r w:rsidRPr="004D407A">
        <w:rPr>
          <w:rFonts w:ascii="Arial" w:hAnsi="Arial"/>
        </w:rPr>
        <w:t xml:space="preserve">More details about the links between the root causes of the immunization system and NIS objectives and interventions are presented in </w:t>
      </w:r>
      <w:r w:rsidRPr="004D407A">
        <w:rPr>
          <w:rFonts w:ascii="Arial" w:hAnsi="Arial"/>
        </w:rPr>
        <w:fldChar w:fldCharType="begin"/>
      </w:r>
      <w:r w:rsidRPr="004D407A">
        <w:rPr>
          <w:rFonts w:ascii="Arial" w:hAnsi="Arial"/>
        </w:rPr>
        <w:instrText xml:space="preserve"> REF _Ref111910319 \h  \* MERGEFORMAT </w:instrText>
      </w:r>
      <w:r w:rsidRPr="004D407A">
        <w:rPr>
          <w:rFonts w:ascii="Arial" w:hAnsi="Arial"/>
        </w:rPr>
      </w:r>
      <w:r w:rsidRPr="004D407A">
        <w:rPr>
          <w:rFonts w:ascii="Arial" w:hAnsi="Arial"/>
        </w:rPr>
        <w:fldChar w:fldCharType="separate"/>
      </w:r>
      <w:r w:rsidRPr="004D407A">
        <w:rPr>
          <w:rFonts w:ascii="Arial" w:hAnsi="Arial"/>
        </w:rPr>
        <w:t>Figure 39</w:t>
      </w:r>
      <w:r w:rsidRPr="004D407A">
        <w:rPr>
          <w:rFonts w:ascii="Arial" w:hAnsi="Arial"/>
        </w:rPr>
        <w:fldChar w:fldCharType="end"/>
      </w:r>
      <w:r w:rsidRPr="004D407A">
        <w:rPr>
          <w:rFonts w:ascii="Arial" w:hAnsi="Arial"/>
        </w:rPr>
        <w:t xml:space="preserve"> on page </w:t>
      </w:r>
      <w:r w:rsidRPr="004D407A">
        <w:rPr>
          <w:rFonts w:ascii="Arial" w:hAnsi="Arial"/>
        </w:rPr>
        <w:fldChar w:fldCharType="begin"/>
      </w:r>
      <w:r w:rsidRPr="004D407A">
        <w:rPr>
          <w:rFonts w:ascii="Arial" w:hAnsi="Arial"/>
        </w:rPr>
        <w:instrText xml:space="preserve"> PAGEREF _Ref111910320 \h </w:instrText>
      </w:r>
      <w:r w:rsidRPr="004D407A">
        <w:rPr>
          <w:rFonts w:ascii="Arial" w:hAnsi="Arial"/>
        </w:rPr>
      </w:r>
      <w:r w:rsidRPr="004D407A">
        <w:rPr>
          <w:rFonts w:ascii="Arial" w:hAnsi="Arial"/>
        </w:rPr>
        <w:fldChar w:fldCharType="separate"/>
      </w:r>
      <w:r w:rsidRPr="004D407A">
        <w:rPr>
          <w:rFonts w:ascii="Arial" w:hAnsi="Arial"/>
          <w:noProof/>
        </w:rPr>
        <w:t>57</w:t>
      </w:r>
      <w:r w:rsidRPr="004D407A">
        <w:rPr>
          <w:rFonts w:ascii="Arial" w:hAnsi="Arial"/>
        </w:rPr>
        <w:fldChar w:fldCharType="end"/>
      </w:r>
      <w:r w:rsidRPr="004D407A">
        <w:rPr>
          <w:rFonts w:ascii="Arial" w:hAnsi="Arial"/>
        </w:rPr>
        <w:t xml:space="preserve"> below.</w:t>
      </w:r>
    </w:p>
    <w:p w14:paraId="04C6C3CB" w14:textId="6C3D90EC" w:rsidR="00E53D03" w:rsidRPr="004D407A" w:rsidRDefault="005B710F" w:rsidP="00E53D03">
      <w:pPr>
        <w:pStyle w:val="Heading1"/>
        <w:rPr>
          <w:color w:val="auto"/>
        </w:rPr>
      </w:pPr>
      <w:bookmarkStart w:id="235" w:name="_Toc111910263"/>
      <w:r w:rsidRPr="004D407A">
        <w:rPr>
          <w:color w:val="auto"/>
        </w:rPr>
        <w:lastRenderedPageBreak/>
        <w:t>Vision</w:t>
      </w:r>
      <w:r w:rsidR="006D2164" w:rsidRPr="004D407A">
        <w:rPr>
          <w:color w:val="auto"/>
        </w:rPr>
        <w:t xml:space="preserve">, </w:t>
      </w:r>
      <w:r w:rsidRPr="004D407A">
        <w:rPr>
          <w:color w:val="auto"/>
        </w:rPr>
        <w:t>O</w:t>
      </w:r>
      <w:r w:rsidR="00E53D03" w:rsidRPr="004D407A">
        <w:rPr>
          <w:color w:val="auto"/>
        </w:rPr>
        <w:t xml:space="preserve">bjectives and </w:t>
      </w:r>
      <w:r w:rsidRPr="004D407A">
        <w:rPr>
          <w:color w:val="auto"/>
        </w:rPr>
        <w:t>S</w:t>
      </w:r>
      <w:r w:rsidR="00E53D03" w:rsidRPr="004D407A">
        <w:rPr>
          <w:color w:val="auto"/>
        </w:rPr>
        <w:t>trategies</w:t>
      </w:r>
      <w:bookmarkEnd w:id="233"/>
      <w:bookmarkEnd w:id="234"/>
      <w:r w:rsidR="006D2164" w:rsidRPr="004D407A">
        <w:rPr>
          <w:color w:val="auto"/>
        </w:rPr>
        <w:t xml:space="preserve"> of the National Immunization Strategy</w:t>
      </w:r>
      <w:bookmarkEnd w:id="235"/>
    </w:p>
    <w:p w14:paraId="703D8E1F" w14:textId="0CB2AFDA" w:rsidR="005B710F" w:rsidRPr="004D407A" w:rsidRDefault="005B710F" w:rsidP="00E53D03">
      <w:pPr>
        <w:pStyle w:val="Heading2"/>
        <w:rPr>
          <w:color w:val="auto"/>
        </w:rPr>
      </w:pPr>
      <w:bookmarkStart w:id="236" w:name="_Toc111910264"/>
      <w:bookmarkStart w:id="237" w:name="_Toc489491525"/>
      <w:bookmarkStart w:id="238" w:name="_Toc103004688"/>
      <w:r w:rsidRPr="004D407A">
        <w:rPr>
          <w:color w:val="auto"/>
        </w:rPr>
        <w:t>NIS Vision</w:t>
      </w:r>
      <w:bookmarkEnd w:id="236"/>
    </w:p>
    <w:p w14:paraId="1B43F127" w14:textId="668A32ED" w:rsidR="005B710F" w:rsidRPr="004D407A" w:rsidRDefault="005B710F" w:rsidP="005B710F">
      <w:pPr>
        <w:pStyle w:val="BodyText"/>
        <w:rPr>
          <w:rFonts w:ascii="Arial" w:hAnsi="Arial"/>
        </w:rPr>
      </w:pPr>
      <w:r w:rsidRPr="004D407A">
        <w:rPr>
          <w:rFonts w:ascii="Arial" w:hAnsi="Arial"/>
          <w:b/>
          <w:bCs/>
        </w:rPr>
        <w:t xml:space="preserve">Vision: </w:t>
      </w:r>
      <w:r w:rsidRPr="004D407A">
        <w:rPr>
          <w:rFonts w:ascii="Arial" w:hAnsi="Arial"/>
          <w:i/>
          <w:iCs/>
        </w:rPr>
        <w:t>“Health</w:t>
      </w:r>
      <w:r w:rsidR="006D4750" w:rsidRPr="004D407A">
        <w:rPr>
          <w:rFonts w:ascii="Arial" w:hAnsi="Arial"/>
          <w:i/>
          <w:iCs/>
        </w:rPr>
        <w:t>y</w:t>
      </w:r>
      <w:r w:rsidRPr="004D407A">
        <w:rPr>
          <w:rFonts w:ascii="Arial" w:hAnsi="Arial"/>
          <w:i/>
          <w:iCs/>
        </w:rPr>
        <w:t xml:space="preserve"> life of people of Bangladesh is ensured through equitable vaccination, leaving no one behind”</w:t>
      </w:r>
      <w:r w:rsidRPr="004D407A">
        <w:rPr>
          <w:rFonts w:ascii="Arial" w:hAnsi="Arial"/>
        </w:rPr>
        <w:t>.</w:t>
      </w:r>
    </w:p>
    <w:p w14:paraId="5851FEB0" w14:textId="5F571F4F" w:rsidR="00E53D03" w:rsidRPr="004D407A" w:rsidRDefault="005B710F" w:rsidP="00E53D03">
      <w:pPr>
        <w:pStyle w:val="Heading2"/>
        <w:rPr>
          <w:color w:val="auto"/>
        </w:rPr>
      </w:pPr>
      <w:bookmarkStart w:id="239" w:name="_Toc111910265"/>
      <w:bookmarkEnd w:id="237"/>
      <w:bookmarkEnd w:id="238"/>
      <w:r w:rsidRPr="004D407A">
        <w:rPr>
          <w:color w:val="auto"/>
        </w:rPr>
        <w:t>Objectives and Strategic Interventions</w:t>
      </w:r>
      <w:bookmarkEnd w:id="239"/>
    </w:p>
    <w:p w14:paraId="5CA48BC3" w14:textId="59B72260" w:rsidR="00E53D03" w:rsidRPr="004D407A" w:rsidRDefault="007771A0" w:rsidP="00E53D03">
      <w:pPr>
        <w:pStyle w:val="BodyText"/>
      </w:pPr>
      <w:r w:rsidRPr="004D407A">
        <w:t xml:space="preserve"> The NIS objectives are </w:t>
      </w:r>
      <w:r w:rsidR="00E53D03" w:rsidRPr="004D407A">
        <w:t>based on the</w:t>
      </w:r>
      <w:r w:rsidRPr="004D407A">
        <w:t xml:space="preserve"> Immunization Agenda 2030,</w:t>
      </w:r>
      <w:r w:rsidR="00BC3032" w:rsidRPr="004D407A">
        <w:t xml:space="preserve"> Regional Vaccine Implementation Plan (RVIP 2022-2026) and </w:t>
      </w:r>
      <w:r w:rsidRPr="004D407A">
        <w:t xml:space="preserve">Bangladesh </w:t>
      </w:r>
      <w:r w:rsidR="00E53D03" w:rsidRPr="004D407A">
        <w:t>4</w:t>
      </w:r>
      <w:r w:rsidR="00E53D03" w:rsidRPr="004D407A">
        <w:rPr>
          <w:vertAlign w:val="superscript"/>
        </w:rPr>
        <w:t>th</w:t>
      </w:r>
      <w:r w:rsidR="00E53D03" w:rsidRPr="004D407A">
        <w:t xml:space="preserve"> HPNSP policy and implementation framework for EPI:</w:t>
      </w:r>
    </w:p>
    <w:p w14:paraId="61AEA33A" w14:textId="77777777" w:rsidR="003A25CF" w:rsidRPr="004D407A" w:rsidRDefault="003A25CF" w:rsidP="00E53D03">
      <w:pPr>
        <w:pStyle w:val="BodyText"/>
      </w:pPr>
    </w:p>
    <w:tbl>
      <w:tblPr>
        <w:tblW w:w="5000" w:type="pct"/>
        <w:tblBorders>
          <w:top w:val="single" w:sz="12" w:space="0" w:color="7F7F7F"/>
          <w:left w:val="single" w:sz="12" w:space="0" w:color="7F7F7F"/>
          <w:bottom w:val="single" w:sz="12" w:space="0" w:color="7F7F7F"/>
          <w:right w:val="single" w:sz="12" w:space="0" w:color="7F7F7F"/>
          <w:insideH w:val="single" w:sz="8" w:space="0" w:color="7F7F7F"/>
        </w:tblBorders>
        <w:tblLook w:val="04A0" w:firstRow="1" w:lastRow="0" w:firstColumn="1" w:lastColumn="0" w:noHBand="0" w:noVBand="1"/>
      </w:tblPr>
      <w:tblGrid>
        <w:gridCol w:w="2679"/>
        <w:gridCol w:w="6316"/>
      </w:tblGrid>
      <w:tr w:rsidR="004D407A" w:rsidRPr="004D407A" w14:paraId="0A64A337" w14:textId="77777777" w:rsidTr="00E21383">
        <w:trPr>
          <w:trHeight w:val="293"/>
        </w:trPr>
        <w:tc>
          <w:tcPr>
            <w:tcW w:w="1489" w:type="pct"/>
            <w:tcBorders>
              <w:top w:val="single" w:sz="12" w:space="0" w:color="FF0000"/>
              <w:bottom w:val="single" w:sz="8" w:space="0" w:color="7F7F7F"/>
            </w:tcBorders>
            <w:shd w:val="clear" w:color="auto" w:fill="auto"/>
            <w:vAlign w:val="center"/>
          </w:tcPr>
          <w:p w14:paraId="13F3F426" w14:textId="110F6A22" w:rsidR="003A25CF" w:rsidRPr="004D407A" w:rsidRDefault="003A25CF"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Objective</w:t>
            </w:r>
          </w:p>
        </w:tc>
        <w:tc>
          <w:tcPr>
            <w:tcW w:w="3511" w:type="pct"/>
            <w:tcBorders>
              <w:top w:val="single" w:sz="12" w:space="0" w:color="FF0000"/>
              <w:bottom w:val="single" w:sz="8" w:space="0" w:color="7F7F7F"/>
            </w:tcBorders>
            <w:shd w:val="clear" w:color="auto" w:fill="auto"/>
            <w:vAlign w:val="center"/>
          </w:tcPr>
          <w:p w14:paraId="41879B7B" w14:textId="69540816" w:rsidR="003A25CF" w:rsidRPr="004D407A" w:rsidRDefault="003A25CF"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Priority Strategic Interventions</w:t>
            </w:r>
          </w:p>
        </w:tc>
      </w:tr>
      <w:tr w:rsidR="004D407A" w:rsidRPr="004D407A" w14:paraId="53625AC9" w14:textId="77777777" w:rsidTr="00776ADE">
        <w:trPr>
          <w:trHeight w:val="293"/>
        </w:trPr>
        <w:tc>
          <w:tcPr>
            <w:tcW w:w="1489" w:type="pct"/>
            <w:tcBorders>
              <w:top w:val="single" w:sz="12" w:space="0" w:color="FF0000"/>
              <w:bottom w:val="single" w:sz="8" w:space="0" w:color="7F7F7F"/>
            </w:tcBorders>
            <w:shd w:val="clear" w:color="auto" w:fill="auto"/>
            <w:vAlign w:val="center"/>
          </w:tcPr>
          <w:p w14:paraId="7DF7FB48" w14:textId="77777777" w:rsidR="003A25CF" w:rsidRPr="004D407A" w:rsidRDefault="003A25CF" w:rsidP="00E21383">
            <w:pPr>
              <w:spacing w:after="0" w:line="240" w:lineRule="auto"/>
              <w:rPr>
                <w:rFonts w:ascii="Calibri" w:eastAsia="Times New Roman" w:hAnsi="Calibri" w:cs="Calibri"/>
                <w:sz w:val="18"/>
              </w:rPr>
            </w:pPr>
            <w:r w:rsidRPr="004D407A">
              <w:rPr>
                <w:rFonts w:ascii="Calibri" w:eastAsia="Times New Roman" w:hAnsi="Calibri" w:cs="Calibri"/>
                <w:b/>
                <w:bCs/>
                <w:sz w:val="18"/>
              </w:rPr>
              <w:t>Objective 1:</w:t>
            </w:r>
            <w:r w:rsidRPr="004D407A">
              <w:rPr>
                <w:rFonts w:ascii="Calibri" w:eastAsia="Times New Roman" w:hAnsi="Calibri" w:cs="Calibri"/>
                <w:sz w:val="18"/>
              </w:rPr>
              <w:tab/>
            </w:r>
          </w:p>
          <w:p w14:paraId="2D6FE73A" w14:textId="77777777" w:rsidR="003A25CF" w:rsidRPr="004D407A" w:rsidRDefault="003A25CF" w:rsidP="00E21383">
            <w:pPr>
              <w:spacing w:after="0" w:line="240" w:lineRule="auto"/>
              <w:rPr>
                <w:rFonts w:ascii="Calibri" w:eastAsia="Times New Roman" w:hAnsi="Calibri" w:cs="Calibri"/>
                <w:b/>
                <w:bCs/>
                <w:sz w:val="18"/>
                <w:szCs w:val="18"/>
              </w:rPr>
            </w:pPr>
            <w:r w:rsidRPr="004D407A">
              <w:rPr>
                <w:rFonts w:ascii="Calibri" w:eastAsia="Times New Roman" w:hAnsi="Calibri" w:cs="Calibri"/>
                <w:sz w:val="18"/>
              </w:rPr>
              <w:t>Achieve and maintain at least 95% full vaccination coverage at National level and 90% at Sub-national among under two years children and achieve and maintain at least 80% Td5 coverage at national level and 75% at sub national level</w:t>
            </w:r>
          </w:p>
        </w:tc>
        <w:tc>
          <w:tcPr>
            <w:tcW w:w="3511" w:type="pct"/>
            <w:tcBorders>
              <w:top w:val="single" w:sz="12" w:space="0" w:color="FF0000"/>
              <w:left w:val="single" w:sz="8" w:space="0" w:color="7F7F7F"/>
              <w:bottom w:val="single" w:sz="8" w:space="0" w:color="7F7F7F"/>
            </w:tcBorders>
            <w:vAlign w:val="center"/>
          </w:tcPr>
          <w:p w14:paraId="39066F77" w14:textId="704A83D9" w:rsidR="003A25CF" w:rsidRPr="004D407A" w:rsidRDefault="003A25CF">
            <w:pPr>
              <w:pStyle w:val="BodyTextT"/>
              <w:numPr>
                <w:ilvl w:val="1"/>
                <w:numId w:val="48"/>
              </w:numPr>
              <w:spacing w:before="40"/>
              <w:rPr>
                <w:rFonts w:ascii="Calibri" w:hAnsi="Calibri" w:cs="Calibri"/>
                <w:b/>
              </w:rPr>
            </w:pPr>
            <w:r w:rsidRPr="004D407A">
              <w:rPr>
                <w:rFonts w:ascii="Calibri" w:hAnsi="Calibri" w:cs="Calibri"/>
              </w:rPr>
              <w:t xml:space="preserve">Strengthen governance and management capacity of EPI through appropriate immunization policy that also includes. Integration of immunization with other Primary health care services, vaccination beyond current age, private vaccination, catch-up </w:t>
            </w:r>
            <w:proofErr w:type="gramStart"/>
            <w:r w:rsidRPr="004D407A">
              <w:rPr>
                <w:rFonts w:ascii="Calibri" w:hAnsi="Calibri" w:cs="Calibri"/>
              </w:rPr>
              <w:t>vaccination</w:t>
            </w:r>
            <w:proofErr w:type="gramEnd"/>
            <w:r w:rsidRPr="004D407A">
              <w:rPr>
                <w:rFonts w:ascii="Calibri" w:hAnsi="Calibri" w:cs="Calibri"/>
              </w:rPr>
              <w:t xml:space="preserve"> and booster doses) at all levels</w:t>
            </w:r>
          </w:p>
          <w:p w14:paraId="46EF0870" w14:textId="1FBACADA" w:rsidR="003A25CF" w:rsidRPr="004D407A" w:rsidRDefault="003A25CF">
            <w:pPr>
              <w:pStyle w:val="BodyTextT"/>
              <w:numPr>
                <w:ilvl w:val="1"/>
                <w:numId w:val="48"/>
              </w:numPr>
              <w:spacing w:before="40"/>
              <w:rPr>
                <w:rFonts w:ascii="Calibri" w:hAnsi="Calibri" w:cs="Calibri"/>
              </w:rPr>
            </w:pPr>
            <w:r w:rsidRPr="004D407A">
              <w:rPr>
                <w:rFonts w:ascii="Calibri" w:hAnsi="Calibri" w:cs="Calibri"/>
              </w:rPr>
              <w:t>Achieve immunization target rates in City Corporations and Municipalities</w:t>
            </w:r>
          </w:p>
          <w:p w14:paraId="5B239338" w14:textId="2BD299C1" w:rsidR="003A25CF" w:rsidRPr="004D407A" w:rsidRDefault="003A25CF">
            <w:pPr>
              <w:pStyle w:val="BodyTextT"/>
              <w:numPr>
                <w:ilvl w:val="1"/>
                <w:numId w:val="48"/>
              </w:numPr>
              <w:spacing w:before="40"/>
              <w:rPr>
                <w:rFonts w:ascii="Calibri" w:hAnsi="Calibri" w:cs="Calibri"/>
              </w:rPr>
            </w:pPr>
            <w:r w:rsidRPr="004D407A">
              <w:rPr>
                <w:rFonts w:ascii="Calibri" w:hAnsi="Calibri" w:cs="Calibri"/>
              </w:rPr>
              <w:t>Achieve immunization target rates among zero-dose children and missed communities</w:t>
            </w:r>
          </w:p>
          <w:p w14:paraId="7ED39FB6" w14:textId="06B43723" w:rsidR="003A25CF" w:rsidRPr="004D407A" w:rsidRDefault="003A25CF">
            <w:pPr>
              <w:pStyle w:val="BodyTextT"/>
              <w:numPr>
                <w:ilvl w:val="1"/>
                <w:numId w:val="48"/>
              </w:numPr>
              <w:spacing w:before="40"/>
              <w:rPr>
                <w:rFonts w:ascii="Calibri" w:hAnsi="Calibri" w:cs="Calibri"/>
              </w:rPr>
            </w:pPr>
            <w:r w:rsidRPr="004D407A">
              <w:rPr>
                <w:rFonts w:ascii="Calibri" w:hAnsi="Calibri" w:cs="Calibri"/>
              </w:rPr>
              <w:t>Improve EPI performance and achieve coverage targets in the under-served and high-risk areas such as:  geographically hard-to-reach areas; ethnic minorities and migrant population (refugees)</w:t>
            </w:r>
          </w:p>
          <w:p w14:paraId="17A2F731" w14:textId="221095D5" w:rsidR="003A25CF" w:rsidRPr="004D407A" w:rsidRDefault="003A25CF">
            <w:pPr>
              <w:pStyle w:val="BodyTextT"/>
              <w:numPr>
                <w:ilvl w:val="1"/>
                <w:numId w:val="48"/>
              </w:numPr>
              <w:spacing w:before="40"/>
              <w:rPr>
                <w:rFonts w:ascii="Calibri" w:hAnsi="Calibri" w:cs="Calibri"/>
              </w:rPr>
            </w:pPr>
            <w:r w:rsidRPr="004D407A">
              <w:rPr>
                <w:rFonts w:ascii="Calibri" w:hAnsi="Calibri" w:cs="Calibri"/>
              </w:rPr>
              <w:t xml:space="preserve">Update, formalize and implement data quality improvement plan to ensure high quality data management and monitoring supported by periodic assessment and survey, </w:t>
            </w:r>
            <w:proofErr w:type="gramStart"/>
            <w:r w:rsidRPr="004D407A">
              <w:rPr>
                <w:rFonts w:ascii="Calibri" w:hAnsi="Calibri" w:cs="Calibri"/>
              </w:rPr>
              <w:t>and  establish</w:t>
            </w:r>
            <w:proofErr w:type="gramEnd"/>
            <w:r w:rsidRPr="004D407A">
              <w:rPr>
                <w:rFonts w:ascii="Calibri" w:hAnsi="Calibri" w:cs="Calibri"/>
              </w:rPr>
              <w:t xml:space="preserve"> linkage  with HMIS, CRVS and birth registration</w:t>
            </w:r>
          </w:p>
          <w:p w14:paraId="61F1BFD5" w14:textId="29F3FC26" w:rsidR="003A25CF" w:rsidRPr="004D407A" w:rsidRDefault="003A25CF">
            <w:pPr>
              <w:pStyle w:val="BodyTextT"/>
              <w:numPr>
                <w:ilvl w:val="1"/>
                <w:numId w:val="48"/>
              </w:numPr>
              <w:spacing w:before="40"/>
              <w:rPr>
                <w:rFonts w:ascii="Calibri" w:hAnsi="Calibri" w:cs="Calibri"/>
              </w:rPr>
            </w:pPr>
            <w:r w:rsidRPr="004D407A">
              <w:rPr>
                <w:rFonts w:ascii="Calibri" w:hAnsi="Calibri" w:cs="Calibri"/>
              </w:rPr>
              <w:t xml:space="preserve">Ensure effective vaccine and </w:t>
            </w:r>
            <w:proofErr w:type="spellStart"/>
            <w:r w:rsidRPr="004D407A">
              <w:rPr>
                <w:rFonts w:ascii="Calibri" w:hAnsi="Calibri" w:cs="Calibri"/>
              </w:rPr>
              <w:t>iSC</w:t>
            </w:r>
            <w:proofErr w:type="spellEnd"/>
            <w:r w:rsidRPr="004D407A">
              <w:rPr>
                <w:rFonts w:ascii="Calibri" w:hAnsi="Calibri" w:cs="Calibri"/>
              </w:rPr>
              <w:t xml:space="preserve"> and cold-chain management including R&amp;D of CCE and uninterrupted supply of high-quality, potent vaccines and injection supplies at all levels</w:t>
            </w:r>
          </w:p>
          <w:p w14:paraId="12592E97" w14:textId="03F2E05D" w:rsidR="003A25CF" w:rsidRPr="004D407A" w:rsidRDefault="003A25CF">
            <w:pPr>
              <w:pStyle w:val="BodyTextT"/>
              <w:numPr>
                <w:ilvl w:val="1"/>
                <w:numId w:val="48"/>
              </w:numPr>
              <w:spacing w:before="40"/>
              <w:rPr>
                <w:rFonts w:ascii="Calibri" w:hAnsi="Calibri" w:cs="Calibri"/>
              </w:rPr>
            </w:pPr>
            <w:r w:rsidRPr="004D407A">
              <w:rPr>
                <w:rFonts w:ascii="Calibri" w:hAnsi="Calibri" w:cs="Calibri"/>
              </w:rPr>
              <w:t>Ensure adequate and effective human resource capacity at all levels of all districts, municipality and city-corporations through development and implementation of HR strategy and building capacity of existing HR</w:t>
            </w:r>
          </w:p>
          <w:p w14:paraId="025D1307" w14:textId="147F0D07" w:rsidR="003A25CF" w:rsidRPr="004D407A" w:rsidRDefault="003A25CF">
            <w:pPr>
              <w:pStyle w:val="BodyTextT"/>
              <w:numPr>
                <w:ilvl w:val="1"/>
                <w:numId w:val="48"/>
              </w:numPr>
              <w:spacing w:before="40"/>
              <w:rPr>
                <w:rFonts w:ascii="Calibri" w:hAnsi="Calibri" w:cs="Calibri"/>
              </w:rPr>
            </w:pPr>
            <w:r w:rsidRPr="004D407A">
              <w:rPr>
                <w:rFonts w:ascii="Calibri" w:hAnsi="Calibri" w:cs="Calibri"/>
              </w:rPr>
              <w:t>Increase uptake of immunization services in the low performing districts and city corporations through implementation of the demand generation and community mobilization intervention</w:t>
            </w:r>
          </w:p>
          <w:p w14:paraId="47AFA18C" w14:textId="15BD0581" w:rsidR="003A25CF" w:rsidRPr="004D407A" w:rsidRDefault="003A25CF">
            <w:pPr>
              <w:pStyle w:val="BodyTextT"/>
              <w:numPr>
                <w:ilvl w:val="1"/>
                <w:numId w:val="48"/>
              </w:numPr>
              <w:spacing w:before="40"/>
              <w:rPr>
                <w:rFonts w:ascii="Calibri" w:hAnsi="Calibri" w:cs="Calibri"/>
              </w:rPr>
            </w:pPr>
            <w:r w:rsidRPr="004D407A">
              <w:rPr>
                <w:rFonts w:ascii="Calibri" w:hAnsi="Calibri" w:cs="Calibri"/>
              </w:rPr>
              <w:t xml:space="preserve">Strengthening the outbreak preparedness and response mechanisms during emergencies, </w:t>
            </w:r>
            <w:proofErr w:type="gramStart"/>
            <w:r w:rsidRPr="004D407A">
              <w:rPr>
                <w:rFonts w:ascii="Calibri" w:hAnsi="Calibri" w:cs="Calibri"/>
              </w:rPr>
              <w:t>disaster</w:t>
            </w:r>
            <w:proofErr w:type="gramEnd"/>
            <w:r w:rsidRPr="004D407A">
              <w:rPr>
                <w:rFonts w:ascii="Calibri" w:hAnsi="Calibri" w:cs="Calibri"/>
              </w:rPr>
              <w:t xml:space="preserve"> and humanitarian crisis.  Strengthen and expand high quality VPD surveillance as a component of public health surveillance supported by laboratory</w:t>
            </w:r>
          </w:p>
          <w:p w14:paraId="37D565EF" w14:textId="70BAA887" w:rsidR="003A25CF" w:rsidRPr="004D407A" w:rsidRDefault="003A25CF">
            <w:pPr>
              <w:pStyle w:val="BodyTextT"/>
              <w:numPr>
                <w:ilvl w:val="1"/>
                <w:numId w:val="48"/>
              </w:numPr>
              <w:spacing w:before="40"/>
              <w:rPr>
                <w:rFonts w:ascii="Calibri" w:hAnsi="Calibri" w:cs="Calibri"/>
              </w:rPr>
            </w:pPr>
            <w:r w:rsidRPr="004D407A">
              <w:rPr>
                <w:rFonts w:ascii="Calibri" w:hAnsi="Calibri" w:cs="Calibri"/>
              </w:rPr>
              <w:t>Procurement of Vaccines</w:t>
            </w:r>
          </w:p>
          <w:p w14:paraId="08A23F48" w14:textId="1B840640" w:rsidR="003A25CF" w:rsidRPr="004D407A" w:rsidRDefault="003A25CF">
            <w:pPr>
              <w:pStyle w:val="BodyTextT"/>
              <w:numPr>
                <w:ilvl w:val="1"/>
                <w:numId w:val="48"/>
              </w:numPr>
              <w:spacing w:before="40"/>
              <w:rPr>
                <w:rFonts w:ascii="Calibri" w:hAnsi="Calibri" w:cs="Calibri"/>
              </w:rPr>
            </w:pPr>
            <w:r w:rsidRPr="004D407A">
              <w:rPr>
                <w:rFonts w:ascii="Calibri" w:hAnsi="Calibri" w:cs="Calibri"/>
              </w:rPr>
              <w:t>Introduction of booster doses</w:t>
            </w:r>
          </w:p>
        </w:tc>
      </w:tr>
    </w:tbl>
    <w:p w14:paraId="05D83EE7" w14:textId="5C49B66B" w:rsidR="0029435D" w:rsidRPr="004D407A" w:rsidRDefault="00AF317E" w:rsidP="0029435D">
      <w:pPr>
        <w:pStyle w:val="myHeading1"/>
        <w:rPr>
          <w:rFonts w:ascii="Arial" w:hAnsi="Arial"/>
          <w:i/>
          <w:iCs/>
          <w:color w:val="auto"/>
          <w:lang w:val="en-GB"/>
        </w:rPr>
      </w:pPr>
      <w:r w:rsidRPr="004D407A">
        <w:rPr>
          <w:rFonts w:ascii="Arial" w:hAnsi="Arial"/>
          <w:i/>
          <w:iCs/>
          <w:color w:val="auto"/>
          <w:lang w:val="en-GB"/>
        </w:rPr>
        <w:t xml:space="preserve">Objective 1: </w:t>
      </w:r>
      <w:r w:rsidR="005F4AFF" w:rsidRPr="004D407A">
        <w:rPr>
          <w:rFonts w:ascii="Arial" w:hAnsi="Arial"/>
          <w:i/>
          <w:iCs/>
          <w:color w:val="auto"/>
        </w:rPr>
        <w:t>Areas of Intervention</w:t>
      </w:r>
    </w:p>
    <w:p w14:paraId="53F1EAA6" w14:textId="6906F267" w:rsidR="0029435D" w:rsidRPr="004D407A" w:rsidRDefault="0029435D" w:rsidP="00A43994">
      <w:pPr>
        <w:pStyle w:val="BodyText"/>
        <w:rPr>
          <w:rFonts w:ascii="Arial" w:hAnsi="Arial"/>
        </w:rPr>
      </w:pPr>
      <w:r w:rsidRPr="004D407A">
        <w:rPr>
          <w:rFonts w:ascii="Arial" w:hAnsi="Arial"/>
        </w:rPr>
        <w:t>The strategic interventions of the Objective 1 of the NIS will be implemented through the</w:t>
      </w:r>
      <w:r w:rsidR="00B00906" w:rsidRPr="004D407A">
        <w:rPr>
          <w:rFonts w:ascii="Arial" w:hAnsi="Arial"/>
        </w:rPr>
        <w:t xml:space="preserve"> implementation of the sets of specific measures that are carefully selected and custom-tailored to the local context. The implementation of these interventions will be instrumental for addressing root causes and weaknesses identified in the different areas of immunization system performance:</w:t>
      </w:r>
      <w:r w:rsidRPr="004D407A">
        <w:rPr>
          <w:rFonts w:ascii="Arial" w:hAnsi="Arial"/>
        </w:rPr>
        <w:t xml:space="preserve"> </w:t>
      </w:r>
    </w:p>
    <w:p w14:paraId="02C3CE21" w14:textId="3D7356A8" w:rsidR="0029435D" w:rsidRPr="004D407A" w:rsidRDefault="0029435D">
      <w:pPr>
        <w:pStyle w:val="BodyText"/>
        <w:numPr>
          <w:ilvl w:val="0"/>
          <w:numId w:val="40"/>
        </w:numPr>
        <w:ind w:left="567" w:hanging="283"/>
        <w:rPr>
          <w:rFonts w:ascii="Arial" w:hAnsi="Arial"/>
        </w:rPr>
      </w:pPr>
      <w:r w:rsidRPr="004D407A">
        <w:rPr>
          <w:rFonts w:ascii="Arial" w:hAnsi="Arial"/>
          <w:b/>
          <w:bCs/>
          <w:i/>
          <w:iCs/>
        </w:rPr>
        <w:t>Development and institutionalization of the National Immunization Policy</w:t>
      </w:r>
      <w:r w:rsidRPr="004D407A">
        <w:rPr>
          <w:rFonts w:ascii="Arial" w:hAnsi="Arial"/>
        </w:rPr>
        <w:t xml:space="preserve"> will be one of the key interventions aiming at strengthening of Governance and Management </w:t>
      </w:r>
      <w:r w:rsidRPr="004D407A">
        <w:rPr>
          <w:rFonts w:ascii="Arial" w:hAnsi="Arial"/>
        </w:rPr>
        <w:lastRenderedPageBreak/>
        <w:t xml:space="preserve">capacity of EPI which in turn will contribute in strengthened performance of the immunization system in both rural and urban areas, improved coordination between all actors of the immunization system and achievement of main objectives of the NIS in increasing vaccination coverage among the underserved </w:t>
      </w:r>
      <w:r w:rsidR="00D46B2E" w:rsidRPr="004D407A">
        <w:rPr>
          <w:rFonts w:ascii="Arial" w:hAnsi="Arial"/>
        </w:rPr>
        <w:t>population</w:t>
      </w:r>
      <w:r w:rsidRPr="004D407A">
        <w:rPr>
          <w:rFonts w:ascii="Arial" w:hAnsi="Arial"/>
        </w:rPr>
        <w:t xml:space="preserve"> </w:t>
      </w:r>
      <w:r w:rsidR="00C577D2" w:rsidRPr="004D407A">
        <w:rPr>
          <w:rFonts w:ascii="Arial" w:hAnsi="Arial"/>
        </w:rPr>
        <w:t>groups.</w:t>
      </w:r>
      <w:r w:rsidR="00606553" w:rsidRPr="004D407A">
        <w:rPr>
          <w:rFonts w:ascii="Arial" w:hAnsi="Arial"/>
        </w:rPr>
        <w:t xml:space="preserve"> The immunization policy will also address Integration of immunization with other Primary health care services, vaccination beyond current age, private vaccination, catch-up vaccination, and booster doses) at all levels.</w:t>
      </w:r>
    </w:p>
    <w:p w14:paraId="2CC78A14" w14:textId="2108D768" w:rsidR="0029435D" w:rsidRPr="004D407A" w:rsidRDefault="0029435D">
      <w:pPr>
        <w:pStyle w:val="BodyText"/>
        <w:numPr>
          <w:ilvl w:val="0"/>
          <w:numId w:val="40"/>
        </w:numPr>
        <w:ind w:left="567" w:hanging="283"/>
        <w:rPr>
          <w:rFonts w:ascii="Arial" w:hAnsi="Arial"/>
        </w:rPr>
      </w:pPr>
      <w:r w:rsidRPr="004D407A">
        <w:rPr>
          <w:rFonts w:ascii="Arial" w:hAnsi="Arial"/>
          <w:b/>
          <w:bCs/>
          <w:i/>
          <w:iCs/>
        </w:rPr>
        <w:t>Strengthened capacity in supportive supervision</w:t>
      </w:r>
      <w:r w:rsidRPr="004D407A">
        <w:rPr>
          <w:rFonts w:ascii="Arial" w:hAnsi="Arial"/>
        </w:rPr>
        <w:t xml:space="preserve">, will contribute </w:t>
      </w:r>
      <w:r w:rsidR="003D238F" w:rsidRPr="004D407A">
        <w:rPr>
          <w:rFonts w:ascii="Arial" w:hAnsi="Arial"/>
        </w:rPr>
        <w:t>to</w:t>
      </w:r>
      <w:r w:rsidRPr="004D407A">
        <w:rPr>
          <w:rFonts w:ascii="Arial" w:hAnsi="Arial"/>
        </w:rPr>
        <w:t xml:space="preserve"> increased quality of immunization services and performance of the front-line service providers in coverage monitoring, VPD and AEFI surveillance and monitoring, as well as improved communication with the immunization target population groups.</w:t>
      </w:r>
    </w:p>
    <w:p w14:paraId="7E08DCAF" w14:textId="218326A9" w:rsidR="0029435D" w:rsidRPr="004D407A" w:rsidRDefault="00606553">
      <w:pPr>
        <w:pStyle w:val="BodyText"/>
        <w:numPr>
          <w:ilvl w:val="0"/>
          <w:numId w:val="40"/>
        </w:numPr>
        <w:ind w:left="567" w:hanging="283"/>
        <w:rPr>
          <w:rFonts w:ascii="Arial" w:hAnsi="Arial"/>
        </w:rPr>
      </w:pPr>
      <w:r w:rsidRPr="004D407A">
        <w:rPr>
          <w:rFonts w:ascii="Arial" w:hAnsi="Arial"/>
          <w:b/>
          <w:bCs/>
          <w:i/>
          <w:iCs/>
        </w:rPr>
        <w:t>I</w:t>
      </w:r>
      <w:r w:rsidR="00D46B2E" w:rsidRPr="004D407A">
        <w:rPr>
          <w:rFonts w:ascii="Arial" w:hAnsi="Arial"/>
          <w:b/>
          <w:bCs/>
          <w:i/>
          <w:iCs/>
        </w:rPr>
        <w:t>nstitutionalization of the Urban Immunization Strategy</w:t>
      </w:r>
      <w:r w:rsidR="0029435D" w:rsidRPr="004D407A">
        <w:rPr>
          <w:rFonts w:ascii="Arial" w:hAnsi="Arial"/>
        </w:rPr>
        <w:t xml:space="preserve"> will further contribute </w:t>
      </w:r>
      <w:r w:rsidR="003D238F" w:rsidRPr="004D407A">
        <w:rPr>
          <w:rFonts w:ascii="Arial" w:hAnsi="Arial"/>
        </w:rPr>
        <w:t>to</w:t>
      </w:r>
      <w:r w:rsidR="0029435D" w:rsidRPr="004D407A">
        <w:rPr>
          <w:rFonts w:ascii="Arial" w:hAnsi="Arial"/>
        </w:rPr>
        <w:t xml:space="preserve"> improved performance of the immunization system in the city corporations and municipalities. The strategy will be fully aligned with the national immunization policy and will serve as the key planning and guiding document for contributing </w:t>
      </w:r>
      <w:r w:rsidR="003D238F" w:rsidRPr="004D407A">
        <w:rPr>
          <w:rFonts w:ascii="Arial" w:hAnsi="Arial"/>
        </w:rPr>
        <w:t>to</w:t>
      </w:r>
      <w:r w:rsidR="0029435D" w:rsidRPr="004D407A">
        <w:rPr>
          <w:rFonts w:ascii="Arial" w:hAnsi="Arial"/>
        </w:rPr>
        <w:t xml:space="preserve"> improved service delivery in urban </w:t>
      </w:r>
      <w:r w:rsidR="003D238F" w:rsidRPr="004D407A">
        <w:rPr>
          <w:rFonts w:ascii="Arial" w:hAnsi="Arial"/>
        </w:rPr>
        <w:t>areas.</w:t>
      </w:r>
    </w:p>
    <w:p w14:paraId="350717FE" w14:textId="4AF7978F" w:rsidR="0029435D" w:rsidRPr="004D407A" w:rsidRDefault="0029435D">
      <w:pPr>
        <w:pStyle w:val="BodyText"/>
        <w:numPr>
          <w:ilvl w:val="0"/>
          <w:numId w:val="40"/>
        </w:numPr>
        <w:ind w:left="567" w:hanging="283"/>
        <w:rPr>
          <w:rFonts w:ascii="Arial" w:hAnsi="Arial"/>
        </w:rPr>
      </w:pPr>
      <w:r w:rsidRPr="004D407A">
        <w:rPr>
          <w:rFonts w:ascii="Arial" w:hAnsi="Arial"/>
          <w:b/>
          <w:bCs/>
          <w:i/>
          <w:iCs/>
        </w:rPr>
        <w:t>Development and advocacy for institutionalization of the HR development and deployment plan</w:t>
      </w:r>
      <w:r w:rsidRPr="004D407A">
        <w:rPr>
          <w:rFonts w:ascii="Arial" w:hAnsi="Arial"/>
        </w:rPr>
        <w:t xml:space="preserve"> (HDDP). The HDDP will be based on the two key documents: National Immunization Policy and Urban Immunization Strategy and will be instrumental in identification of the HR resource requirements for ensuring access to the equitable immunization services in all parts of the country. The HDDP will also provide information on the quantities and qualification of the immunization service </w:t>
      </w:r>
      <w:r w:rsidR="00C577D2" w:rsidRPr="004D407A">
        <w:rPr>
          <w:rFonts w:ascii="Arial" w:hAnsi="Arial"/>
        </w:rPr>
        <w:t>providers and</w:t>
      </w:r>
      <w:r w:rsidRPr="004D407A">
        <w:rPr>
          <w:rFonts w:ascii="Arial" w:hAnsi="Arial"/>
        </w:rPr>
        <w:t xml:space="preserve"> required resources for continuous capacity building of the immunization service providers at all levels.  </w:t>
      </w:r>
    </w:p>
    <w:p w14:paraId="5B90477C" w14:textId="674B74DE" w:rsidR="008A4676" w:rsidRPr="004D407A" w:rsidRDefault="008A4676">
      <w:pPr>
        <w:pStyle w:val="BodyText"/>
        <w:numPr>
          <w:ilvl w:val="0"/>
          <w:numId w:val="40"/>
        </w:numPr>
        <w:ind w:left="567" w:hanging="283"/>
        <w:rPr>
          <w:rFonts w:ascii="Arial" w:hAnsi="Arial"/>
        </w:rPr>
      </w:pPr>
      <w:r w:rsidRPr="004D407A">
        <w:rPr>
          <w:rFonts w:ascii="Arial" w:hAnsi="Arial"/>
          <w:b/>
          <w:bCs/>
        </w:rPr>
        <w:t>Achieving immunization coverage targets among the underserved population groups.</w:t>
      </w:r>
      <w:r w:rsidRPr="004D407A">
        <w:rPr>
          <w:rFonts w:ascii="Arial" w:hAnsi="Arial"/>
        </w:rPr>
        <w:t xml:space="preserve"> Design and implementation of the </w:t>
      </w:r>
      <w:r w:rsidR="003D238F" w:rsidRPr="004D407A">
        <w:rPr>
          <w:rFonts w:ascii="Arial" w:hAnsi="Arial"/>
        </w:rPr>
        <w:t>i</w:t>
      </w:r>
      <w:r w:rsidR="0029435D" w:rsidRPr="004D407A">
        <w:rPr>
          <w:rFonts w:ascii="Arial" w:hAnsi="Arial"/>
        </w:rPr>
        <w:t>nnovative and creative strategies for achieving vaccination coverage targets among the high-risk and underserved groups</w:t>
      </w:r>
      <w:r w:rsidRPr="004D407A">
        <w:rPr>
          <w:rFonts w:ascii="Arial" w:hAnsi="Arial"/>
        </w:rPr>
        <w:t xml:space="preserve"> is one of the most critical challenges faced by the immunization program in Bangladesh</w:t>
      </w:r>
      <w:r w:rsidR="0029435D" w:rsidRPr="004D407A">
        <w:rPr>
          <w:rFonts w:ascii="Arial" w:hAnsi="Arial"/>
        </w:rPr>
        <w:t xml:space="preserve">.  </w:t>
      </w:r>
    </w:p>
    <w:p w14:paraId="7121D617" w14:textId="1176BD99" w:rsidR="00040B8A" w:rsidRPr="004D407A" w:rsidRDefault="0029435D" w:rsidP="00915420">
      <w:pPr>
        <w:pStyle w:val="BodyText"/>
        <w:ind w:left="567" w:firstLine="0"/>
        <w:rPr>
          <w:rFonts w:ascii="Arial" w:hAnsi="Arial"/>
        </w:rPr>
      </w:pPr>
      <w:r w:rsidRPr="004D407A">
        <w:rPr>
          <w:rFonts w:ascii="Arial" w:hAnsi="Arial"/>
        </w:rPr>
        <w:t>As it is shown in the hierarchy of the strategies proposed by the NIS</w:t>
      </w:r>
      <w:r w:rsidR="00040B8A" w:rsidRPr="004D407A">
        <w:rPr>
          <w:rFonts w:ascii="Arial" w:hAnsi="Arial"/>
        </w:rPr>
        <w:t>, the strategic intervention</w:t>
      </w:r>
      <w:r w:rsidRPr="004D407A">
        <w:rPr>
          <w:rFonts w:ascii="Arial" w:hAnsi="Arial"/>
        </w:rPr>
        <w:t xml:space="preserve"> “development, formalization and implementation of specific, creative and strategic interventions for reaching out to the different types of the high risk, and/or underserved groups”</w:t>
      </w:r>
      <w:r w:rsidR="00040B8A" w:rsidRPr="004D407A">
        <w:rPr>
          <w:rFonts w:ascii="Arial" w:hAnsi="Arial"/>
        </w:rPr>
        <w:t xml:space="preserve"> aims at </w:t>
      </w:r>
      <w:r w:rsidR="00915420" w:rsidRPr="004D407A">
        <w:rPr>
          <w:rFonts w:ascii="Arial" w:hAnsi="Arial"/>
        </w:rPr>
        <w:t xml:space="preserve">acceleration of </w:t>
      </w:r>
      <w:r w:rsidR="00985894" w:rsidRPr="004D407A">
        <w:rPr>
          <w:rFonts w:ascii="Arial" w:hAnsi="Arial"/>
        </w:rPr>
        <w:t>immunization services among the underserved population groups, i.e.</w:t>
      </w:r>
      <w:r w:rsidR="00040B8A" w:rsidRPr="004D407A">
        <w:rPr>
          <w:rFonts w:ascii="Arial" w:hAnsi="Arial"/>
        </w:rPr>
        <w:t xml:space="preserve"> (pockets of unvaccinated people) in city corporations and municipalities (urban slums), geographically hard-to-reach areas</w:t>
      </w:r>
      <w:r w:rsidR="00985894" w:rsidRPr="004D407A">
        <w:rPr>
          <w:rFonts w:ascii="Arial" w:hAnsi="Arial"/>
        </w:rPr>
        <w:t>,</w:t>
      </w:r>
      <w:r w:rsidR="00040B8A" w:rsidRPr="004D407A">
        <w:rPr>
          <w:rFonts w:ascii="Arial" w:hAnsi="Arial"/>
        </w:rPr>
        <w:t xml:space="preserve"> zero-dose children and missed communities</w:t>
      </w:r>
      <w:r w:rsidR="00985894" w:rsidRPr="004D407A">
        <w:rPr>
          <w:rFonts w:ascii="Arial" w:hAnsi="Arial"/>
        </w:rPr>
        <w:t xml:space="preserve"> and</w:t>
      </w:r>
      <w:r w:rsidR="00040B8A" w:rsidRPr="004D407A">
        <w:rPr>
          <w:rFonts w:ascii="Arial" w:hAnsi="Arial"/>
        </w:rPr>
        <w:t xml:space="preserve"> ethnic minority groups and migrants (refugees).</w:t>
      </w:r>
    </w:p>
    <w:p w14:paraId="15F6D6FC" w14:textId="0D48CC9A" w:rsidR="00A43994" w:rsidRPr="004D407A" w:rsidRDefault="005D518C" w:rsidP="00DB2357">
      <w:pPr>
        <w:pStyle w:val="BodyText"/>
        <w:ind w:left="567" w:firstLine="0"/>
        <w:rPr>
          <w:rFonts w:ascii="Arial" w:hAnsi="Arial"/>
        </w:rPr>
      </w:pPr>
      <w:r w:rsidRPr="004D407A">
        <w:rPr>
          <w:rFonts w:ascii="Arial" w:hAnsi="Arial"/>
        </w:rPr>
        <w:t>C</w:t>
      </w:r>
      <w:r w:rsidR="0022769D" w:rsidRPr="004D407A">
        <w:rPr>
          <w:rFonts w:ascii="Arial" w:hAnsi="Arial"/>
        </w:rPr>
        <w:t>onsidering diversity of these groups</w:t>
      </w:r>
      <w:r w:rsidRPr="004D407A">
        <w:rPr>
          <w:rFonts w:ascii="Arial" w:hAnsi="Arial"/>
        </w:rPr>
        <w:t>,</w:t>
      </w:r>
      <w:r w:rsidR="0022769D" w:rsidRPr="004D407A">
        <w:rPr>
          <w:rFonts w:ascii="Arial" w:hAnsi="Arial"/>
        </w:rPr>
        <w:t xml:space="preserve"> </w:t>
      </w:r>
      <w:r w:rsidR="00915420" w:rsidRPr="004D407A">
        <w:rPr>
          <w:rFonts w:ascii="Arial" w:hAnsi="Arial"/>
        </w:rPr>
        <w:t>NIS</w:t>
      </w:r>
      <w:r w:rsidRPr="004D407A">
        <w:rPr>
          <w:rFonts w:ascii="Arial" w:hAnsi="Arial"/>
        </w:rPr>
        <w:t xml:space="preserve"> 2023-2027</w:t>
      </w:r>
      <w:r w:rsidR="008A4676" w:rsidRPr="004D407A">
        <w:rPr>
          <w:rFonts w:ascii="Arial" w:hAnsi="Arial"/>
        </w:rPr>
        <w:t xml:space="preserve"> </w:t>
      </w:r>
      <w:r w:rsidRPr="004D407A">
        <w:rPr>
          <w:rFonts w:ascii="Arial" w:hAnsi="Arial"/>
        </w:rPr>
        <w:t>proposes</w:t>
      </w:r>
      <w:r w:rsidR="008A4676" w:rsidRPr="004D407A">
        <w:rPr>
          <w:rFonts w:ascii="Arial" w:hAnsi="Arial"/>
        </w:rPr>
        <w:t xml:space="preserve"> design and implementation of the innovative </w:t>
      </w:r>
      <w:r w:rsidR="00DB2357" w:rsidRPr="004D407A">
        <w:rPr>
          <w:rFonts w:ascii="Arial" w:hAnsi="Arial"/>
        </w:rPr>
        <w:t>Specific Focused Strategies</w:t>
      </w:r>
      <w:r w:rsidR="00915420" w:rsidRPr="004D407A">
        <w:rPr>
          <w:rFonts w:ascii="Arial" w:hAnsi="Arial"/>
        </w:rPr>
        <w:t xml:space="preserve"> </w:t>
      </w:r>
      <w:r w:rsidRPr="004D407A">
        <w:rPr>
          <w:rFonts w:ascii="Arial" w:hAnsi="Arial"/>
        </w:rPr>
        <w:t xml:space="preserve">that are custom tailored to the needs of </w:t>
      </w:r>
      <w:r w:rsidR="00DB2357" w:rsidRPr="004D407A">
        <w:rPr>
          <w:rFonts w:ascii="Arial" w:hAnsi="Arial"/>
        </w:rPr>
        <w:t xml:space="preserve">these </w:t>
      </w:r>
      <w:r w:rsidRPr="004D407A">
        <w:rPr>
          <w:rFonts w:ascii="Arial" w:hAnsi="Arial"/>
        </w:rPr>
        <w:t xml:space="preserve">risk </w:t>
      </w:r>
      <w:proofErr w:type="spellStart"/>
      <w:proofErr w:type="gramStart"/>
      <w:r w:rsidRPr="004D407A">
        <w:rPr>
          <w:rFonts w:ascii="Arial" w:hAnsi="Arial"/>
        </w:rPr>
        <w:t>groups,that</w:t>
      </w:r>
      <w:proofErr w:type="spellEnd"/>
      <w:proofErr w:type="gramEnd"/>
      <w:r w:rsidRPr="004D407A">
        <w:rPr>
          <w:rFonts w:ascii="Arial" w:hAnsi="Arial"/>
        </w:rPr>
        <w:t xml:space="preserve"> have different locations, cultural roots and/or behavior for </w:t>
      </w:r>
      <w:r w:rsidR="00915420" w:rsidRPr="004D407A">
        <w:rPr>
          <w:rFonts w:ascii="Arial" w:hAnsi="Arial"/>
        </w:rPr>
        <w:t>achieving immunization targets</w:t>
      </w:r>
      <w:r w:rsidR="00DB2357" w:rsidRPr="004D407A">
        <w:rPr>
          <w:rFonts w:ascii="Arial" w:hAnsi="Arial"/>
        </w:rPr>
        <w:t xml:space="preserve">. </w:t>
      </w:r>
      <w:r w:rsidR="0029435D" w:rsidRPr="004D407A">
        <w:rPr>
          <w:rFonts w:ascii="Arial" w:hAnsi="Arial"/>
        </w:rPr>
        <w:t>These Specific Focused Strateg</w:t>
      </w:r>
      <w:r w:rsidR="00DB2357" w:rsidRPr="004D407A">
        <w:rPr>
          <w:rFonts w:ascii="Arial" w:hAnsi="Arial"/>
        </w:rPr>
        <w:t>ies</w:t>
      </w:r>
      <w:r w:rsidR="0029435D" w:rsidRPr="004D407A">
        <w:rPr>
          <w:rFonts w:ascii="Arial" w:hAnsi="Arial"/>
        </w:rPr>
        <w:t xml:space="preserve"> will be built upon analysis of specific root causes of absence of or partial vaccination of each group. </w:t>
      </w:r>
    </w:p>
    <w:p w14:paraId="427F122B" w14:textId="26559B83" w:rsidR="00A43994" w:rsidRPr="004D407A" w:rsidRDefault="0029435D" w:rsidP="00A43994">
      <w:pPr>
        <w:pStyle w:val="BodyText"/>
        <w:ind w:left="567" w:firstLine="0"/>
        <w:rPr>
          <w:rFonts w:ascii="Arial" w:hAnsi="Arial"/>
        </w:rPr>
      </w:pPr>
      <w:r w:rsidRPr="004D407A">
        <w:rPr>
          <w:rFonts w:ascii="Arial" w:hAnsi="Arial"/>
        </w:rPr>
        <w:t xml:space="preserve">The corrective intervention of the Strategy will be designed the way that it will address the needs of a particular group and thus, contributes to the achievement of the program goals. For instance, in the </w:t>
      </w:r>
      <w:r w:rsidR="00DB2357" w:rsidRPr="004D407A">
        <w:rPr>
          <w:rFonts w:ascii="Arial" w:hAnsi="Arial"/>
        </w:rPr>
        <w:t>ethnic</w:t>
      </w:r>
      <w:r w:rsidRPr="004D407A">
        <w:rPr>
          <w:rFonts w:ascii="Arial" w:hAnsi="Arial"/>
        </w:rPr>
        <w:t xml:space="preserve"> groups, emphasis will be done on </w:t>
      </w:r>
      <w:proofErr w:type="gramStart"/>
      <w:r w:rsidRPr="004D407A">
        <w:rPr>
          <w:rFonts w:ascii="Arial" w:hAnsi="Arial"/>
        </w:rPr>
        <w:t>Social</w:t>
      </w:r>
      <w:proofErr w:type="gramEnd"/>
      <w:r w:rsidRPr="004D407A">
        <w:rPr>
          <w:rFonts w:ascii="Arial" w:hAnsi="Arial"/>
        </w:rPr>
        <w:t xml:space="preserve"> mobilization through supporting community leaders, while in the hard-to-reach areas, the key </w:t>
      </w:r>
      <w:r w:rsidRPr="004D407A">
        <w:rPr>
          <w:rFonts w:ascii="Arial" w:hAnsi="Arial"/>
        </w:rPr>
        <w:lastRenderedPageBreak/>
        <w:t xml:space="preserve">component of the Strategy might be increasing access to the immunization services through establishment of the fixed site </w:t>
      </w:r>
      <w:r w:rsidR="00C577D2" w:rsidRPr="004D407A">
        <w:rPr>
          <w:rFonts w:ascii="Arial" w:hAnsi="Arial"/>
        </w:rPr>
        <w:t>etc.</w:t>
      </w:r>
    </w:p>
    <w:p w14:paraId="32756177" w14:textId="467833AA" w:rsidR="0029435D" w:rsidRPr="004D407A" w:rsidRDefault="0029435D" w:rsidP="00A43994">
      <w:pPr>
        <w:pStyle w:val="BodyText"/>
        <w:ind w:left="567" w:firstLine="0"/>
        <w:rPr>
          <w:rFonts w:ascii="Arial" w:hAnsi="Arial"/>
        </w:rPr>
      </w:pPr>
      <w:r w:rsidRPr="004D407A">
        <w:rPr>
          <w:rFonts w:ascii="Arial" w:hAnsi="Arial"/>
        </w:rPr>
        <w:t xml:space="preserve">Based on the situational analysis, the </w:t>
      </w:r>
      <w:r w:rsidR="005C15EA" w:rsidRPr="004D407A">
        <w:rPr>
          <w:rFonts w:ascii="Arial" w:hAnsi="Arial"/>
        </w:rPr>
        <w:t>NIS</w:t>
      </w:r>
      <w:r w:rsidRPr="004D407A">
        <w:rPr>
          <w:rFonts w:ascii="Arial" w:hAnsi="Arial"/>
        </w:rPr>
        <w:t xml:space="preserve"> identified four types of the risk groups that have different risks and require tailored approach for the effectiveness of Specific Focused strategy implementation:</w:t>
      </w:r>
    </w:p>
    <w:p w14:paraId="5C28D0A5" w14:textId="77777777" w:rsidR="0029435D" w:rsidRPr="004D407A" w:rsidRDefault="0029435D">
      <w:pPr>
        <w:pStyle w:val="BodyText"/>
        <w:numPr>
          <w:ilvl w:val="0"/>
          <w:numId w:val="39"/>
        </w:numPr>
        <w:rPr>
          <w:rFonts w:ascii="Arial" w:hAnsi="Arial"/>
        </w:rPr>
      </w:pPr>
      <w:r w:rsidRPr="004D407A">
        <w:rPr>
          <w:rFonts w:ascii="Arial" w:hAnsi="Arial"/>
        </w:rPr>
        <w:t>Children / child-bearing age women (CBAW) living in Urban slums</w:t>
      </w:r>
    </w:p>
    <w:p w14:paraId="24D92F8C" w14:textId="77777777" w:rsidR="0029435D" w:rsidRPr="004D407A" w:rsidRDefault="0029435D">
      <w:pPr>
        <w:pStyle w:val="BodyText"/>
        <w:numPr>
          <w:ilvl w:val="0"/>
          <w:numId w:val="39"/>
        </w:numPr>
        <w:rPr>
          <w:rFonts w:ascii="Arial" w:hAnsi="Arial"/>
        </w:rPr>
      </w:pPr>
      <w:r w:rsidRPr="004D407A">
        <w:rPr>
          <w:rFonts w:ascii="Arial" w:hAnsi="Arial"/>
        </w:rPr>
        <w:t>Ethnic minorities and Tribal communities living in mountainous areas</w:t>
      </w:r>
    </w:p>
    <w:p w14:paraId="3B01CD06" w14:textId="77777777" w:rsidR="0029435D" w:rsidRPr="004D407A" w:rsidRDefault="0029435D">
      <w:pPr>
        <w:pStyle w:val="BodyText"/>
        <w:numPr>
          <w:ilvl w:val="0"/>
          <w:numId w:val="39"/>
        </w:numPr>
        <w:rPr>
          <w:rFonts w:ascii="Arial" w:hAnsi="Arial"/>
        </w:rPr>
      </w:pPr>
      <w:r w:rsidRPr="004D407A">
        <w:rPr>
          <w:rFonts w:ascii="Arial" w:hAnsi="Arial"/>
        </w:rPr>
        <w:t>Zero-dose children and missed communities</w:t>
      </w:r>
    </w:p>
    <w:p w14:paraId="2A459362" w14:textId="77777777" w:rsidR="00A43994" w:rsidRPr="004D407A" w:rsidRDefault="0029435D">
      <w:pPr>
        <w:pStyle w:val="BodyText"/>
        <w:numPr>
          <w:ilvl w:val="0"/>
          <w:numId w:val="39"/>
        </w:numPr>
        <w:rPr>
          <w:rFonts w:ascii="Arial" w:hAnsi="Arial"/>
        </w:rPr>
      </w:pPr>
      <w:r w:rsidRPr="004D407A">
        <w:rPr>
          <w:rFonts w:ascii="Arial" w:hAnsi="Arial"/>
        </w:rPr>
        <w:t>Refugees</w:t>
      </w:r>
    </w:p>
    <w:p w14:paraId="16045E58" w14:textId="40B759B7" w:rsidR="0029435D" w:rsidRPr="004D407A" w:rsidRDefault="00A43994" w:rsidP="00EA2B23">
      <w:pPr>
        <w:pStyle w:val="BodyText"/>
        <w:ind w:left="567" w:firstLine="0"/>
      </w:pPr>
      <w:r w:rsidRPr="004D407A">
        <w:rPr>
          <w:rFonts w:ascii="Arial" w:hAnsi="Arial"/>
          <w:bCs/>
          <w:noProof/>
        </w:rPr>
        <w:drawing>
          <wp:anchor distT="0" distB="0" distL="114300" distR="114300" simplePos="0" relativeHeight="251672576" behindDoc="0" locked="0" layoutInCell="1" allowOverlap="1" wp14:anchorId="707C24CE" wp14:editId="38A3720F">
            <wp:simplePos x="0" y="0"/>
            <wp:positionH relativeFrom="column">
              <wp:posOffset>338455</wp:posOffset>
            </wp:positionH>
            <wp:positionV relativeFrom="paragraph">
              <wp:posOffset>427355</wp:posOffset>
            </wp:positionV>
            <wp:extent cx="4229735" cy="3017520"/>
            <wp:effectExtent l="0" t="0" r="0" b="0"/>
            <wp:wrapTopAndBottom/>
            <wp:docPr id="4" name="Picture 4"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9735" cy="3017520"/>
                    </a:xfrm>
                    <a:prstGeom prst="rect">
                      <a:avLst/>
                    </a:prstGeom>
                  </pic:spPr>
                </pic:pic>
              </a:graphicData>
            </a:graphic>
            <wp14:sizeRelH relativeFrom="margin">
              <wp14:pctWidth>0</wp14:pctWidth>
            </wp14:sizeRelH>
            <wp14:sizeRelV relativeFrom="margin">
              <wp14:pctHeight>0</wp14:pctHeight>
            </wp14:sizeRelV>
          </wp:anchor>
        </w:drawing>
      </w:r>
      <w:r w:rsidR="0029435D" w:rsidRPr="004D407A">
        <w:rPr>
          <w:rFonts w:ascii="Arial" w:hAnsi="Arial"/>
          <w:bCs/>
        </w:rPr>
        <w:t xml:space="preserve">The logic for </w:t>
      </w:r>
      <w:r w:rsidR="0029435D" w:rsidRPr="004D407A">
        <w:rPr>
          <w:rFonts w:ascii="Arial" w:hAnsi="Arial"/>
        </w:rPr>
        <w:t>distribution</w:t>
      </w:r>
      <w:r w:rsidR="0029435D" w:rsidRPr="004D407A">
        <w:rPr>
          <w:rFonts w:ascii="Arial" w:hAnsi="Arial"/>
          <w:bCs/>
        </w:rPr>
        <w:t xml:space="preserve"> of Specific Focused Strategies and interventions tailored to hard-to-reach groups are presented in the table below</w:t>
      </w:r>
      <w:r w:rsidR="0029435D" w:rsidRPr="004D407A">
        <w:rPr>
          <w:rStyle w:val="FootnoteReference"/>
          <w:lang w:eastAsia="en-GB"/>
        </w:rPr>
        <w:footnoteReference w:id="48"/>
      </w:r>
    </w:p>
    <w:p w14:paraId="40A411E9" w14:textId="59EEFEF1" w:rsidR="0029435D" w:rsidRPr="004D407A" w:rsidRDefault="0029435D" w:rsidP="0029435D">
      <w:pPr>
        <w:pStyle w:val="BodyTextT"/>
      </w:pPr>
    </w:p>
    <w:p w14:paraId="714FFD78" w14:textId="66788855" w:rsidR="0029435D" w:rsidRPr="004D407A" w:rsidRDefault="0029435D">
      <w:pPr>
        <w:pStyle w:val="BodyText"/>
        <w:numPr>
          <w:ilvl w:val="0"/>
          <w:numId w:val="40"/>
        </w:numPr>
        <w:ind w:left="567" w:hanging="283"/>
        <w:rPr>
          <w:rFonts w:ascii="Arial" w:hAnsi="Arial"/>
        </w:rPr>
      </w:pPr>
      <w:r w:rsidRPr="004D407A">
        <w:rPr>
          <w:rFonts w:ascii="Arial" w:hAnsi="Arial"/>
        </w:rPr>
        <w:t xml:space="preserve">The NIS considers significant improvement of the data management capacity that will include training of the MLM and front-line service providers in the data management; equipping the service providers in urban areas with the set of equipment for data recording and reporting in electronic format; development and institutionalization of the defaulter tracking system, </w:t>
      </w:r>
    </w:p>
    <w:p w14:paraId="24BBDF07" w14:textId="38D525E0" w:rsidR="0029435D" w:rsidRPr="004D407A" w:rsidRDefault="00125D89">
      <w:pPr>
        <w:pStyle w:val="BodyText"/>
        <w:numPr>
          <w:ilvl w:val="0"/>
          <w:numId w:val="40"/>
        </w:numPr>
        <w:ind w:left="567" w:hanging="283"/>
        <w:rPr>
          <w:rFonts w:ascii="Arial" w:hAnsi="Arial"/>
        </w:rPr>
      </w:pPr>
      <w:r w:rsidRPr="004D407A">
        <w:rPr>
          <w:rFonts w:ascii="Arial" w:hAnsi="Arial"/>
        </w:rPr>
        <w:t xml:space="preserve">Surveillance system strengthening will be one of the focus areas of the NIS. The interventions in this area will include </w:t>
      </w:r>
      <w:r w:rsidR="0029435D" w:rsidRPr="004D407A">
        <w:rPr>
          <w:rFonts w:ascii="Arial" w:hAnsi="Arial"/>
        </w:rPr>
        <w:t>integration of the VPD surveillance platform into the e-surveillance platform which will improve data management and its quality.</w:t>
      </w:r>
    </w:p>
    <w:p w14:paraId="5667E1E3" w14:textId="661642FA" w:rsidR="0029435D" w:rsidRPr="004D407A" w:rsidRDefault="0029435D">
      <w:pPr>
        <w:pStyle w:val="BodyText"/>
        <w:numPr>
          <w:ilvl w:val="0"/>
          <w:numId w:val="40"/>
        </w:numPr>
        <w:ind w:left="567" w:hanging="283"/>
        <w:rPr>
          <w:rFonts w:ascii="Arial" w:hAnsi="Arial"/>
        </w:rPr>
      </w:pPr>
      <w:r w:rsidRPr="004D407A">
        <w:rPr>
          <w:rFonts w:ascii="Arial" w:hAnsi="Arial"/>
        </w:rPr>
        <w:t xml:space="preserve">Improvement of the Vaccine Management and logistics systems and processes is one of the most critical areas for achievement of the objectives of this NIS. The specific </w:t>
      </w:r>
      <w:r w:rsidR="007B1E7D" w:rsidRPr="004D407A">
        <w:rPr>
          <w:rFonts w:ascii="Arial" w:hAnsi="Arial"/>
        </w:rPr>
        <w:t>intervention</w:t>
      </w:r>
      <w:r w:rsidRPr="004D407A">
        <w:rPr>
          <w:rFonts w:ascii="Arial" w:hAnsi="Arial"/>
        </w:rPr>
        <w:t xml:space="preserve"> in this area includes upgrade of the EVM system through the implementation of the EVM improvement plan, development of the different SOPs and guidebooks for improving cold-chain and logistics system operations and deployment of </w:t>
      </w:r>
      <w:r w:rsidRPr="004D407A">
        <w:rPr>
          <w:rFonts w:ascii="Arial" w:hAnsi="Arial"/>
        </w:rPr>
        <w:lastRenderedPageBreak/>
        <w:t>the new types of equipment ensuring precise temperature monitoring during the storage and transportation of vaccines.</w:t>
      </w:r>
    </w:p>
    <w:p w14:paraId="6A51B334" w14:textId="7A201D48" w:rsidR="0029435D" w:rsidRPr="004D407A" w:rsidRDefault="0029435D">
      <w:pPr>
        <w:pStyle w:val="BodyText"/>
        <w:numPr>
          <w:ilvl w:val="0"/>
          <w:numId w:val="40"/>
        </w:numPr>
        <w:ind w:left="567" w:hanging="283"/>
        <w:rPr>
          <w:rFonts w:ascii="Arial" w:hAnsi="Arial"/>
        </w:rPr>
      </w:pPr>
      <w:r w:rsidRPr="004D407A">
        <w:rPr>
          <w:rFonts w:ascii="Arial" w:hAnsi="Arial"/>
        </w:rPr>
        <w:t xml:space="preserve">HR capacity building is traditionally one of the main areas in the Bangladesh immunization system, that requires significant and regular investments to ensure availability of the qualified staff in all parts of the country. The specific interventions of the NIS will aim at developing HR capacity in immunization service delivery, micro-planning, vaccine monitoring, VPD and AEFI surveillance and monitoring, improvement of the cold-chain operations at all levels as well as significantly improving </w:t>
      </w:r>
      <w:r w:rsidR="003D238F" w:rsidRPr="004D407A">
        <w:rPr>
          <w:rFonts w:ascii="Arial" w:hAnsi="Arial"/>
        </w:rPr>
        <w:t xml:space="preserve">inter-personnel </w:t>
      </w:r>
      <w:r w:rsidRPr="004D407A">
        <w:rPr>
          <w:rFonts w:ascii="Arial" w:hAnsi="Arial"/>
        </w:rPr>
        <w:t>communication skills of the immunization</w:t>
      </w:r>
      <w:r w:rsidR="003D238F" w:rsidRPr="004D407A">
        <w:rPr>
          <w:rFonts w:ascii="Arial" w:hAnsi="Arial"/>
        </w:rPr>
        <w:t xml:space="preserve"> staff</w:t>
      </w:r>
      <w:r w:rsidRPr="004D407A">
        <w:rPr>
          <w:rFonts w:ascii="Arial" w:hAnsi="Arial"/>
        </w:rPr>
        <w:t>.</w:t>
      </w:r>
    </w:p>
    <w:p w14:paraId="5B54C7C0" w14:textId="5D0DEA27" w:rsidR="0029435D" w:rsidRPr="004D407A" w:rsidRDefault="0029435D">
      <w:pPr>
        <w:pStyle w:val="BodyText"/>
        <w:numPr>
          <w:ilvl w:val="0"/>
          <w:numId w:val="40"/>
        </w:numPr>
        <w:ind w:left="567" w:hanging="283"/>
        <w:rPr>
          <w:rFonts w:ascii="Arial" w:hAnsi="Arial"/>
        </w:rPr>
      </w:pPr>
      <w:r w:rsidRPr="004D407A">
        <w:rPr>
          <w:rFonts w:ascii="Arial" w:hAnsi="Arial"/>
        </w:rPr>
        <w:t xml:space="preserve">Demand for immunization services will be one of the focus </w:t>
      </w:r>
      <w:r w:rsidR="003D238F" w:rsidRPr="004D407A">
        <w:rPr>
          <w:rFonts w:ascii="Arial" w:hAnsi="Arial"/>
        </w:rPr>
        <w:t>areas</w:t>
      </w:r>
      <w:r w:rsidRPr="004D407A">
        <w:rPr>
          <w:rFonts w:ascii="Arial" w:hAnsi="Arial"/>
        </w:rPr>
        <w:t xml:space="preserve"> of the NIS. Critical interventions of this area will improve communication with the communities on the immunization related issues and mobilization capacity of the target communities. The communication and demand generation activities will focus on the low performing and underserved areas to ensure achievement of the key objectives of this NIS. </w:t>
      </w:r>
    </w:p>
    <w:p w14:paraId="14C7F465" w14:textId="22FE3A80" w:rsidR="0029435D" w:rsidRPr="004D407A" w:rsidRDefault="0029435D">
      <w:pPr>
        <w:pStyle w:val="BodyText"/>
        <w:numPr>
          <w:ilvl w:val="0"/>
          <w:numId w:val="40"/>
        </w:numPr>
        <w:ind w:left="567" w:hanging="283"/>
        <w:rPr>
          <w:lang w:eastAsia="en-GB"/>
        </w:rPr>
      </w:pPr>
      <w:r w:rsidRPr="004D407A">
        <w:rPr>
          <w:rFonts w:ascii="Arial" w:hAnsi="Arial"/>
        </w:rPr>
        <w:t>Over the course of the NIS implementation, the specific interventions will be carried out for assessment of the outbreak preparedness and response system, mapping of the existing problems and development of the specific “improvement plan”, that will be instrumental for updating the existing outbreak preparedness and response plan.</w:t>
      </w:r>
    </w:p>
    <w:tbl>
      <w:tblPr>
        <w:tblW w:w="5000" w:type="pct"/>
        <w:tblBorders>
          <w:top w:val="single" w:sz="12" w:space="0" w:color="7F7F7F"/>
          <w:left w:val="single" w:sz="12" w:space="0" w:color="7F7F7F"/>
          <w:bottom w:val="single" w:sz="12" w:space="0" w:color="7F7F7F"/>
          <w:right w:val="single" w:sz="12" w:space="0" w:color="7F7F7F"/>
          <w:insideH w:val="single" w:sz="8" w:space="0" w:color="7F7F7F"/>
        </w:tblBorders>
        <w:tblLook w:val="04A0" w:firstRow="1" w:lastRow="0" w:firstColumn="1" w:lastColumn="0" w:noHBand="0" w:noVBand="1"/>
      </w:tblPr>
      <w:tblGrid>
        <w:gridCol w:w="2537"/>
        <w:gridCol w:w="6458"/>
      </w:tblGrid>
      <w:tr w:rsidR="004D407A" w:rsidRPr="004D407A" w14:paraId="57B78130" w14:textId="77777777" w:rsidTr="00776ADE">
        <w:trPr>
          <w:trHeight w:val="293"/>
        </w:trPr>
        <w:tc>
          <w:tcPr>
            <w:tcW w:w="1410" w:type="pct"/>
            <w:tcBorders>
              <w:top w:val="single" w:sz="12" w:space="0" w:color="FF0000"/>
              <w:bottom w:val="single" w:sz="8" w:space="0" w:color="7F7F7F"/>
            </w:tcBorders>
            <w:shd w:val="clear" w:color="auto" w:fill="auto"/>
            <w:vAlign w:val="center"/>
          </w:tcPr>
          <w:p w14:paraId="2E0F695F" w14:textId="77777777" w:rsidR="0045116D" w:rsidRPr="004D407A" w:rsidRDefault="0045116D" w:rsidP="00E21383">
            <w:pPr>
              <w:spacing w:after="0" w:line="240" w:lineRule="auto"/>
              <w:rPr>
                <w:rFonts w:ascii="Calibri" w:eastAsia="Times New Roman" w:hAnsi="Calibri" w:cs="Calibri"/>
                <w:b/>
                <w:bCs/>
                <w:sz w:val="18"/>
              </w:rPr>
            </w:pPr>
            <w:bookmarkStart w:id="240" w:name="_Hlk111910951"/>
            <w:r w:rsidRPr="004D407A">
              <w:rPr>
                <w:rFonts w:ascii="Calibri" w:eastAsia="Times New Roman" w:hAnsi="Calibri" w:cs="Calibri"/>
                <w:b/>
                <w:bCs/>
                <w:sz w:val="18"/>
              </w:rPr>
              <w:t>Objective</w:t>
            </w:r>
          </w:p>
        </w:tc>
        <w:tc>
          <w:tcPr>
            <w:tcW w:w="3590" w:type="pct"/>
            <w:tcBorders>
              <w:top w:val="single" w:sz="12" w:space="0" w:color="FF0000"/>
              <w:bottom w:val="single" w:sz="8" w:space="0" w:color="7F7F7F"/>
            </w:tcBorders>
            <w:shd w:val="clear" w:color="auto" w:fill="auto"/>
            <w:vAlign w:val="center"/>
          </w:tcPr>
          <w:p w14:paraId="204A2699" w14:textId="77777777" w:rsidR="0045116D" w:rsidRPr="004D407A" w:rsidRDefault="0045116D"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Priority Strategic Interventions</w:t>
            </w:r>
          </w:p>
        </w:tc>
      </w:tr>
      <w:tr w:rsidR="004D407A" w:rsidRPr="004D407A" w14:paraId="0A936208" w14:textId="77777777" w:rsidTr="00776ADE">
        <w:trPr>
          <w:trHeight w:val="293"/>
        </w:trPr>
        <w:tc>
          <w:tcPr>
            <w:tcW w:w="1410" w:type="pct"/>
            <w:tcBorders>
              <w:top w:val="single" w:sz="12" w:space="0" w:color="FF0000"/>
              <w:bottom w:val="single" w:sz="8" w:space="0" w:color="7F7F7F"/>
            </w:tcBorders>
            <w:shd w:val="clear" w:color="auto" w:fill="auto"/>
            <w:vAlign w:val="center"/>
          </w:tcPr>
          <w:p w14:paraId="35E404D3" w14:textId="77777777" w:rsidR="0045116D" w:rsidRPr="004D407A" w:rsidRDefault="0045116D" w:rsidP="00E21383">
            <w:pPr>
              <w:spacing w:after="0" w:line="240" w:lineRule="auto"/>
              <w:rPr>
                <w:rFonts w:ascii="Calibri" w:eastAsia="Times New Roman" w:hAnsi="Calibri" w:cs="Calibri"/>
                <w:sz w:val="18"/>
              </w:rPr>
            </w:pPr>
            <w:r w:rsidRPr="004D407A">
              <w:rPr>
                <w:rFonts w:ascii="Calibri" w:eastAsia="Times New Roman" w:hAnsi="Calibri" w:cs="Calibri"/>
                <w:b/>
                <w:bCs/>
                <w:sz w:val="18"/>
              </w:rPr>
              <w:t>Objective 2:</w:t>
            </w:r>
            <w:r w:rsidRPr="004D407A">
              <w:rPr>
                <w:rFonts w:ascii="Calibri" w:eastAsia="Times New Roman" w:hAnsi="Calibri" w:cs="Calibri"/>
                <w:sz w:val="18"/>
              </w:rPr>
              <w:tab/>
            </w:r>
          </w:p>
          <w:p w14:paraId="0799EC32" w14:textId="77777777" w:rsidR="0045116D" w:rsidRPr="004D407A" w:rsidRDefault="0045116D" w:rsidP="00E21383">
            <w:pPr>
              <w:spacing w:after="0" w:line="240" w:lineRule="auto"/>
              <w:rPr>
                <w:rFonts w:ascii="Calibri" w:eastAsia="Times New Roman" w:hAnsi="Calibri" w:cs="Calibri"/>
                <w:sz w:val="18"/>
              </w:rPr>
            </w:pPr>
            <w:r w:rsidRPr="004D407A">
              <w:rPr>
                <w:rFonts w:ascii="Calibri" w:eastAsia="Times New Roman" w:hAnsi="Calibri" w:cs="Calibri"/>
                <w:sz w:val="18"/>
              </w:rPr>
              <w:t>Maintain Polio Free Status</w:t>
            </w:r>
          </w:p>
        </w:tc>
        <w:tc>
          <w:tcPr>
            <w:tcW w:w="3590" w:type="pct"/>
            <w:tcBorders>
              <w:top w:val="single" w:sz="12" w:space="0" w:color="FF0000"/>
              <w:left w:val="single" w:sz="8" w:space="0" w:color="7F7F7F"/>
              <w:bottom w:val="single" w:sz="8" w:space="0" w:color="7F7F7F"/>
            </w:tcBorders>
            <w:vAlign w:val="center"/>
          </w:tcPr>
          <w:p w14:paraId="3706EFF7" w14:textId="58181C41" w:rsidR="0045116D" w:rsidRPr="004D407A" w:rsidRDefault="0045116D">
            <w:pPr>
              <w:pStyle w:val="BodyTextT"/>
              <w:numPr>
                <w:ilvl w:val="1"/>
                <w:numId w:val="47"/>
              </w:numPr>
              <w:spacing w:before="40"/>
              <w:rPr>
                <w:rFonts w:ascii="Calibri" w:hAnsi="Calibri" w:cs="Calibri"/>
              </w:rPr>
            </w:pPr>
            <w:r w:rsidRPr="004D407A">
              <w:rPr>
                <w:rFonts w:ascii="Calibri" w:hAnsi="Calibri" w:cs="Calibri"/>
              </w:rPr>
              <w:t xml:space="preserve">Ensure early detection and appropriate response to outbreak of poliovirus of any type through certification standard AFP surveillance, environmental </w:t>
            </w:r>
            <w:proofErr w:type="gramStart"/>
            <w:r w:rsidRPr="004D407A">
              <w:rPr>
                <w:rFonts w:ascii="Calibri" w:hAnsi="Calibri" w:cs="Calibri"/>
              </w:rPr>
              <w:t>surveillance</w:t>
            </w:r>
            <w:proofErr w:type="gramEnd"/>
            <w:r w:rsidRPr="004D407A">
              <w:rPr>
                <w:rFonts w:ascii="Calibri" w:hAnsi="Calibri" w:cs="Calibri"/>
              </w:rPr>
              <w:t xml:space="preserve"> and outbreak response plan in place</w:t>
            </w:r>
          </w:p>
          <w:p w14:paraId="20309A3E" w14:textId="4CFE7938" w:rsidR="0045116D" w:rsidRPr="004D407A" w:rsidRDefault="0045116D">
            <w:pPr>
              <w:pStyle w:val="BodyTextT"/>
              <w:numPr>
                <w:ilvl w:val="1"/>
                <w:numId w:val="47"/>
              </w:numPr>
              <w:spacing w:before="40"/>
              <w:rPr>
                <w:rFonts w:ascii="Calibri" w:hAnsi="Calibri" w:cs="Calibri"/>
              </w:rPr>
            </w:pPr>
            <w:r w:rsidRPr="004D407A">
              <w:rPr>
                <w:rFonts w:ascii="Calibri" w:hAnsi="Calibri" w:cs="Calibri"/>
              </w:rPr>
              <w:t>Ensure high population immunity against poliovirus through high routine OPV and IPV coverage</w:t>
            </w:r>
          </w:p>
          <w:p w14:paraId="039A0941" w14:textId="0180E5D2" w:rsidR="0045116D" w:rsidRPr="004D407A" w:rsidRDefault="0045116D">
            <w:pPr>
              <w:pStyle w:val="BodyTextT"/>
              <w:numPr>
                <w:ilvl w:val="1"/>
                <w:numId w:val="47"/>
              </w:numPr>
              <w:spacing w:before="40"/>
              <w:rPr>
                <w:rFonts w:ascii="Calibri" w:hAnsi="Calibri" w:cs="Calibri"/>
              </w:rPr>
            </w:pPr>
            <w:r w:rsidRPr="004D407A">
              <w:rPr>
                <w:rFonts w:ascii="Calibri" w:hAnsi="Calibri" w:cs="Calibri"/>
              </w:rPr>
              <w:t>Ensure containment of poliovirus as per GAP III and polio certification</w:t>
            </w:r>
          </w:p>
          <w:p w14:paraId="4761B617" w14:textId="00B50D24" w:rsidR="0045116D" w:rsidRPr="004D407A" w:rsidRDefault="0045116D">
            <w:pPr>
              <w:pStyle w:val="BodyTextT"/>
              <w:numPr>
                <w:ilvl w:val="1"/>
                <w:numId w:val="47"/>
              </w:numPr>
              <w:spacing w:before="40"/>
              <w:rPr>
                <w:rFonts w:ascii="Calibri" w:hAnsi="Calibri" w:cs="Calibri"/>
              </w:rPr>
            </w:pPr>
            <w:r w:rsidRPr="004D407A">
              <w:rPr>
                <w:rFonts w:ascii="Calibri" w:hAnsi="Calibri" w:cs="Calibri"/>
              </w:rPr>
              <w:t>Ensure appropriate transition of polio surveillance network and assets</w:t>
            </w:r>
          </w:p>
        </w:tc>
      </w:tr>
    </w:tbl>
    <w:bookmarkEnd w:id="240"/>
    <w:p w14:paraId="0742AC3B" w14:textId="55E85DC5" w:rsidR="0029435D" w:rsidRPr="004D407A" w:rsidRDefault="00737CBF" w:rsidP="00737CBF">
      <w:pPr>
        <w:pStyle w:val="myHeading1"/>
        <w:rPr>
          <w:rFonts w:asciiTheme="minorHAnsi" w:hAnsiTheme="minorHAnsi"/>
          <w:i/>
          <w:iCs/>
          <w:color w:val="auto"/>
        </w:rPr>
      </w:pPr>
      <w:r w:rsidRPr="004D407A">
        <w:rPr>
          <w:rFonts w:ascii="Arial" w:hAnsi="Arial"/>
          <w:i/>
          <w:iCs/>
          <w:color w:val="auto"/>
        </w:rPr>
        <w:t xml:space="preserve">Objective 2: </w:t>
      </w:r>
      <w:r w:rsidR="005F4AFF" w:rsidRPr="004D407A">
        <w:rPr>
          <w:rFonts w:ascii="Arial" w:hAnsi="Arial"/>
          <w:i/>
          <w:iCs/>
          <w:color w:val="auto"/>
        </w:rPr>
        <w:t>Areas of Intervention</w:t>
      </w:r>
    </w:p>
    <w:p w14:paraId="0ACF555A" w14:textId="2E60A942" w:rsidR="00357974" w:rsidRPr="004D407A" w:rsidRDefault="00E549FD">
      <w:pPr>
        <w:pStyle w:val="BodyText"/>
        <w:numPr>
          <w:ilvl w:val="0"/>
          <w:numId w:val="40"/>
        </w:numPr>
        <w:ind w:left="567" w:hanging="283"/>
        <w:rPr>
          <w:rFonts w:ascii="Arial" w:hAnsi="Arial"/>
        </w:rPr>
      </w:pPr>
      <w:r w:rsidRPr="004D407A">
        <w:rPr>
          <w:rFonts w:ascii="Arial" w:hAnsi="Arial"/>
        </w:rPr>
        <w:t>Achievement of the Objective 2 of the NIS is planned through implementation of the following specific measures which will consider organization of the regular orientation of the health staff  (including private providers of the health services) on AFP surveillance, conducting regular visits to active and passive sites and analysis of AFP performance indicators</w:t>
      </w:r>
      <w:r w:rsidR="00357974" w:rsidRPr="004D407A">
        <w:rPr>
          <w:rFonts w:ascii="Arial" w:hAnsi="Arial"/>
        </w:rPr>
        <w:t xml:space="preserve">, as well as implementation of the </w:t>
      </w:r>
      <w:r w:rsidRPr="004D407A">
        <w:rPr>
          <w:rFonts w:ascii="Arial" w:hAnsi="Arial"/>
        </w:rPr>
        <w:t>follow-up actions to achieve</w:t>
      </w:r>
      <w:r w:rsidR="00357974" w:rsidRPr="004D407A">
        <w:rPr>
          <w:rFonts w:ascii="Arial" w:hAnsi="Arial"/>
        </w:rPr>
        <w:t xml:space="preserve"> progress against</w:t>
      </w:r>
      <w:r w:rsidRPr="004D407A">
        <w:rPr>
          <w:rFonts w:ascii="Arial" w:hAnsi="Arial"/>
        </w:rPr>
        <w:t xml:space="preserve"> the indicators at the national and sub-national levels. </w:t>
      </w:r>
      <w:r w:rsidR="00357974" w:rsidRPr="004D407A">
        <w:rPr>
          <w:rFonts w:ascii="Arial" w:hAnsi="Arial"/>
        </w:rPr>
        <w:t xml:space="preserve"> The interventions also include update of the outbreak response plan (synchronized with the revision of the outbreak preparedness and response system and expanding environmental surveillance to other sites as it will be appropriate. </w:t>
      </w:r>
    </w:p>
    <w:tbl>
      <w:tblPr>
        <w:tblW w:w="5000" w:type="pct"/>
        <w:tblBorders>
          <w:top w:val="single" w:sz="12" w:space="0" w:color="7F7F7F"/>
          <w:left w:val="single" w:sz="12" w:space="0" w:color="7F7F7F"/>
          <w:bottom w:val="single" w:sz="12" w:space="0" w:color="7F7F7F"/>
          <w:right w:val="single" w:sz="12" w:space="0" w:color="7F7F7F"/>
          <w:insideH w:val="single" w:sz="8" w:space="0" w:color="7F7F7F"/>
        </w:tblBorders>
        <w:tblLook w:val="04A0" w:firstRow="1" w:lastRow="0" w:firstColumn="1" w:lastColumn="0" w:noHBand="0" w:noVBand="1"/>
      </w:tblPr>
      <w:tblGrid>
        <w:gridCol w:w="2447"/>
        <w:gridCol w:w="6548"/>
      </w:tblGrid>
      <w:tr w:rsidR="004D407A" w:rsidRPr="004D407A" w14:paraId="4806710A" w14:textId="77777777" w:rsidTr="00776ADE">
        <w:trPr>
          <w:trHeight w:val="293"/>
        </w:trPr>
        <w:tc>
          <w:tcPr>
            <w:tcW w:w="1360" w:type="pct"/>
            <w:tcBorders>
              <w:top w:val="single" w:sz="12" w:space="0" w:color="FF0000"/>
              <w:bottom w:val="single" w:sz="8" w:space="0" w:color="7F7F7F"/>
            </w:tcBorders>
            <w:shd w:val="clear" w:color="auto" w:fill="auto"/>
            <w:vAlign w:val="center"/>
          </w:tcPr>
          <w:p w14:paraId="73859D99" w14:textId="77777777" w:rsidR="000B7152" w:rsidRPr="004D407A" w:rsidRDefault="000B7152"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Objective</w:t>
            </w:r>
          </w:p>
        </w:tc>
        <w:tc>
          <w:tcPr>
            <w:tcW w:w="3640" w:type="pct"/>
            <w:tcBorders>
              <w:top w:val="single" w:sz="12" w:space="0" w:color="FF0000"/>
              <w:bottom w:val="single" w:sz="8" w:space="0" w:color="7F7F7F"/>
            </w:tcBorders>
            <w:shd w:val="clear" w:color="auto" w:fill="auto"/>
            <w:vAlign w:val="center"/>
          </w:tcPr>
          <w:p w14:paraId="67FBF582" w14:textId="77777777" w:rsidR="000B7152" w:rsidRPr="004D407A" w:rsidRDefault="000B7152"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Priority Strategic Interventions</w:t>
            </w:r>
          </w:p>
        </w:tc>
      </w:tr>
      <w:tr w:rsidR="004D407A" w:rsidRPr="004D407A" w14:paraId="068FA81F" w14:textId="77777777" w:rsidTr="00776ADE">
        <w:trPr>
          <w:trHeight w:val="293"/>
        </w:trPr>
        <w:tc>
          <w:tcPr>
            <w:tcW w:w="1360" w:type="pct"/>
            <w:tcBorders>
              <w:top w:val="single" w:sz="12" w:space="0" w:color="FF0000"/>
              <w:bottom w:val="single" w:sz="8" w:space="0" w:color="7F7F7F"/>
            </w:tcBorders>
            <w:shd w:val="clear" w:color="auto" w:fill="auto"/>
            <w:vAlign w:val="center"/>
          </w:tcPr>
          <w:p w14:paraId="3A2B6D4A" w14:textId="77777777" w:rsidR="000B7152" w:rsidRPr="004D407A" w:rsidRDefault="000B7152" w:rsidP="00E21383">
            <w:pPr>
              <w:spacing w:after="0" w:line="240" w:lineRule="auto"/>
              <w:rPr>
                <w:rFonts w:ascii="Calibri" w:eastAsia="Times New Roman" w:hAnsi="Calibri" w:cs="Calibri"/>
                <w:sz w:val="18"/>
              </w:rPr>
            </w:pPr>
            <w:r w:rsidRPr="004D407A">
              <w:rPr>
                <w:rFonts w:ascii="Calibri" w:eastAsia="Times New Roman" w:hAnsi="Calibri" w:cs="Calibri"/>
                <w:b/>
                <w:bCs/>
                <w:sz w:val="18"/>
              </w:rPr>
              <w:t>Objective 3:</w:t>
            </w:r>
            <w:r w:rsidRPr="004D407A">
              <w:rPr>
                <w:rFonts w:ascii="Calibri" w:eastAsia="Times New Roman" w:hAnsi="Calibri" w:cs="Calibri"/>
                <w:sz w:val="18"/>
              </w:rPr>
              <w:tab/>
            </w:r>
          </w:p>
          <w:p w14:paraId="2F0C95DD" w14:textId="77777777" w:rsidR="000B7152" w:rsidRPr="004D407A" w:rsidRDefault="000B7152" w:rsidP="00E21383">
            <w:pPr>
              <w:spacing w:after="0" w:line="240" w:lineRule="auto"/>
              <w:rPr>
                <w:rFonts w:ascii="Calibri" w:eastAsia="Times New Roman" w:hAnsi="Calibri" w:cs="Calibri"/>
                <w:sz w:val="18"/>
              </w:rPr>
            </w:pPr>
            <w:r w:rsidRPr="004D407A">
              <w:rPr>
                <w:rFonts w:ascii="Calibri" w:eastAsia="Times New Roman" w:hAnsi="Calibri" w:cs="Calibri"/>
                <w:sz w:val="18"/>
              </w:rPr>
              <w:t>Maintain MNT Elimination Status</w:t>
            </w:r>
          </w:p>
        </w:tc>
        <w:tc>
          <w:tcPr>
            <w:tcW w:w="3640" w:type="pct"/>
            <w:tcBorders>
              <w:top w:val="single" w:sz="12" w:space="0" w:color="FF0000"/>
              <w:left w:val="single" w:sz="8" w:space="0" w:color="7F7F7F"/>
              <w:bottom w:val="single" w:sz="8" w:space="0" w:color="7F7F7F"/>
            </w:tcBorders>
            <w:vAlign w:val="center"/>
          </w:tcPr>
          <w:p w14:paraId="10DDFAEE" w14:textId="7A8E6668" w:rsidR="000B7152" w:rsidRPr="004D407A" w:rsidRDefault="000B7152">
            <w:pPr>
              <w:pStyle w:val="BodyTextT"/>
              <w:numPr>
                <w:ilvl w:val="1"/>
                <w:numId w:val="46"/>
              </w:numPr>
              <w:spacing w:before="40"/>
              <w:rPr>
                <w:rFonts w:ascii="Calibri" w:hAnsi="Calibri" w:cs="Calibri"/>
              </w:rPr>
            </w:pPr>
            <w:r w:rsidRPr="004D407A">
              <w:rPr>
                <w:rFonts w:ascii="Calibri" w:hAnsi="Calibri" w:cs="Calibri"/>
              </w:rPr>
              <w:t xml:space="preserve">Ensure </w:t>
            </w:r>
            <w:r w:rsidRPr="004D407A">
              <w:t>periodic</w:t>
            </w:r>
            <w:r w:rsidRPr="004D407A">
              <w:rPr>
                <w:rFonts w:ascii="Calibri" w:hAnsi="Calibri" w:cs="Calibri"/>
              </w:rPr>
              <w:t xml:space="preserve"> review of MNTE status and implementations of review outcomes</w:t>
            </w:r>
          </w:p>
          <w:p w14:paraId="2EF0466B" w14:textId="602B1AEF" w:rsidR="000B7152" w:rsidRPr="004D407A" w:rsidRDefault="000B7152">
            <w:pPr>
              <w:pStyle w:val="BodyTextT"/>
              <w:numPr>
                <w:ilvl w:val="1"/>
                <w:numId w:val="46"/>
              </w:numPr>
              <w:spacing w:before="40"/>
              <w:rPr>
                <w:rFonts w:ascii="Calibri" w:hAnsi="Calibri" w:cs="Calibri"/>
              </w:rPr>
            </w:pPr>
            <w:r w:rsidRPr="004D407A">
              <w:rPr>
                <w:rFonts w:ascii="Calibri" w:hAnsi="Calibri" w:cs="Calibri"/>
              </w:rPr>
              <w:t>Achieve and maintain high Td coverage level</w:t>
            </w:r>
          </w:p>
          <w:p w14:paraId="52CA3510" w14:textId="533E209A" w:rsidR="000B7152" w:rsidRPr="004D407A" w:rsidRDefault="000B7152">
            <w:pPr>
              <w:pStyle w:val="BodyTextT"/>
              <w:numPr>
                <w:ilvl w:val="1"/>
                <w:numId w:val="46"/>
              </w:numPr>
              <w:spacing w:before="40"/>
              <w:rPr>
                <w:rFonts w:ascii="Calibri" w:hAnsi="Calibri" w:cs="Calibri"/>
              </w:rPr>
            </w:pPr>
            <w:r w:rsidRPr="004D407A">
              <w:rPr>
                <w:rFonts w:ascii="Calibri" w:hAnsi="Calibri" w:cs="Calibri"/>
              </w:rPr>
              <w:t>Strengthen MNT surveillance and outbreak response</w:t>
            </w:r>
          </w:p>
          <w:p w14:paraId="32627783" w14:textId="0E12DF49" w:rsidR="000B7152" w:rsidRPr="004D407A" w:rsidRDefault="000B7152">
            <w:pPr>
              <w:pStyle w:val="BodyTextT"/>
              <w:numPr>
                <w:ilvl w:val="1"/>
                <w:numId w:val="46"/>
              </w:numPr>
              <w:spacing w:before="40"/>
              <w:rPr>
                <w:rFonts w:ascii="Calibri" w:hAnsi="Calibri" w:cs="Calibri"/>
              </w:rPr>
            </w:pPr>
            <w:r w:rsidRPr="004D407A">
              <w:rPr>
                <w:rFonts w:ascii="Calibri" w:hAnsi="Calibri" w:cs="Calibri"/>
              </w:rPr>
              <w:t xml:space="preserve">Ensure ANC screening for Td vaccination of Pregnant women and </w:t>
            </w:r>
            <w:proofErr w:type="gramStart"/>
            <w:r w:rsidRPr="004D407A">
              <w:rPr>
                <w:rFonts w:ascii="Calibri" w:hAnsi="Calibri" w:cs="Calibri"/>
              </w:rPr>
              <w:t>Promote</w:t>
            </w:r>
            <w:proofErr w:type="gramEnd"/>
            <w:r w:rsidRPr="004D407A">
              <w:rPr>
                <w:rFonts w:ascii="Calibri" w:hAnsi="Calibri" w:cs="Calibri"/>
              </w:rPr>
              <w:t xml:space="preserve"> institutional delivery and safe delivery practice</w:t>
            </w:r>
          </w:p>
        </w:tc>
      </w:tr>
    </w:tbl>
    <w:p w14:paraId="18C2840D" w14:textId="02C732CB" w:rsidR="00D6010A" w:rsidRPr="004D407A" w:rsidRDefault="00737CBF" w:rsidP="00737CBF">
      <w:pPr>
        <w:pStyle w:val="myHeading1"/>
        <w:rPr>
          <w:rFonts w:ascii="Arial" w:hAnsi="Arial"/>
          <w:i/>
          <w:iCs/>
          <w:color w:val="auto"/>
        </w:rPr>
      </w:pPr>
      <w:r w:rsidRPr="004D407A">
        <w:rPr>
          <w:rFonts w:ascii="Arial" w:hAnsi="Arial"/>
          <w:i/>
          <w:iCs/>
          <w:color w:val="auto"/>
        </w:rPr>
        <w:t xml:space="preserve">Objective 3: </w:t>
      </w:r>
      <w:r w:rsidR="005F4AFF" w:rsidRPr="004D407A">
        <w:rPr>
          <w:rFonts w:ascii="Arial" w:hAnsi="Arial"/>
          <w:i/>
          <w:iCs/>
          <w:color w:val="auto"/>
        </w:rPr>
        <w:t>Areas of Intervention</w:t>
      </w:r>
    </w:p>
    <w:p w14:paraId="21B148DF" w14:textId="07F700AA" w:rsidR="00D6010A" w:rsidRPr="004D407A" w:rsidRDefault="00357974">
      <w:pPr>
        <w:pStyle w:val="BodyText"/>
        <w:numPr>
          <w:ilvl w:val="0"/>
          <w:numId w:val="40"/>
        </w:numPr>
        <w:ind w:left="567" w:hanging="283"/>
        <w:rPr>
          <w:rFonts w:ascii="Arial" w:hAnsi="Arial"/>
        </w:rPr>
      </w:pPr>
      <w:r w:rsidRPr="004D407A">
        <w:rPr>
          <w:rFonts w:ascii="Arial" w:hAnsi="Arial"/>
        </w:rPr>
        <w:t xml:space="preserve">Strategic interventions of the Objective 3 of the NIS will be implemented through the </w:t>
      </w:r>
      <w:r w:rsidR="002B5CD1" w:rsidRPr="004D407A">
        <w:rPr>
          <w:rFonts w:ascii="Arial" w:hAnsi="Arial"/>
        </w:rPr>
        <w:t xml:space="preserve">periodic review of MNTE status and implementation of the recommendations, elaboration of the School Td Immunization Strategy, through coordination with Maternal </w:t>
      </w:r>
      <w:r w:rsidR="002B5CD1" w:rsidRPr="004D407A">
        <w:rPr>
          <w:rFonts w:ascii="Arial" w:hAnsi="Arial"/>
        </w:rPr>
        <w:lastRenderedPageBreak/>
        <w:t xml:space="preserve">and Child Health Programs and an active participation of the communities. The coordination </w:t>
      </w:r>
      <w:r w:rsidR="003D238F" w:rsidRPr="004D407A">
        <w:rPr>
          <w:rFonts w:ascii="Arial" w:hAnsi="Arial"/>
        </w:rPr>
        <w:t xml:space="preserve">with education sector and immunization </w:t>
      </w:r>
      <w:r w:rsidR="002B5CD1" w:rsidRPr="004D407A">
        <w:rPr>
          <w:rFonts w:ascii="Arial" w:hAnsi="Arial"/>
        </w:rPr>
        <w:t xml:space="preserve">partners will be improved through the development and institutionalization of the specific SOPs. </w:t>
      </w:r>
    </w:p>
    <w:tbl>
      <w:tblPr>
        <w:tblW w:w="5000" w:type="pct"/>
        <w:tblBorders>
          <w:top w:val="single" w:sz="12" w:space="0" w:color="7F7F7F"/>
          <w:left w:val="single" w:sz="12" w:space="0" w:color="7F7F7F"/>
          <w:bottom w:val="single" w:sz="12" w:space="0" w:color="7F7F7F"/>
          <w:right w:val="single" w:sz="12" w:space="0" w:color="7F7F7F"/>
          <w:insideH w:val="single" w:sz="8" w:space="0" w:color="7F7F7F"/>
        </w:tblBorders>
        <w:tblLook w:val="04A0" w:firstRow="1" w:lastRow="0" w:firstColumn="1" w:lastColumn="0" w:noHBand="0" w:noVBand="1"/>
      </w:tblPr>
      <w:tblGrid>
        <w:gridCol w:w="2537"/>
        <w:gridCol w:w="6458"/>
      </w:tblGrid>
      <w:tr w:rsidR="004D407A" w:rsidRPr="004D407A" w14:paraId="545B4EFE" w14:textId="77777777" w:rsidTr="00776ADE">
        <w:trPr>
          <w:trHeight w:val="293"/>
        </w:trPr>
        <w:tc>
          <w:tcPr>
            <w:tcW w:w="1410" w:type="pct"/>
            <w:tcBorders>
              <w:top w:val="single" w:sz="12" w:space="0" w:color="FF0000"/>
              <w:bottom w:val="single" w:sz="8" w:space="0" w:color="7F7F7F"/>
            </w:tcBorders>
            <w:shd w:val="clear" w:color="auto" w:fill="auto"/>
            <w:vAlign w:val="center"/>
          </w:tcPr>
          <w:p w14:paraId="58771F41" w14:textId="77777777" w:rsidR="00843770" w:rsidRPr="004D407A" w:rsidRDefault="00843770" w:rsidP="00E21383">
            <w:pPr>
              <w:spacing w:after="0" w:line="240" w:lineRule="auto"/>
              <w:rPr>
                <w:rFonts w:ascii="Calibri" w:eastAsia="Times New Roman" w:hAnsi="Calibri" w:cs="Calibri"/>
                <w:b/>
                <w:bCs/>
                <w:sz w:val="18"/>
              </w:rPr>
            </w:pPr>
            <w:bookmarkStart w:id="241" w:name="_Hlk111911738"/>
            <w:r w:rsidRPr="004D407A">
              <w:rPr>
                <w:rFonts w:ascii="Calibri" w:eastAsia="Times New Roman" w:hAnsi="Calibri" w:cs="Calibri"/>
                <w:b/>
                <w:bCs/>
                <w:sz w:val="18"/>
              </w:rPr>
              <w:t>Objective</w:t>
            </w:r>
          </w:p>
        </w:tc>
        <w:tc>
          <w:tcPr>
            <w:tcW w:w="3590" w:type="pct"/>
            <w:tcBorders>
              <w:top w:val="single" w:sz="12" w:space="0" w:color="FF0000"/>
              <w:bottom w:val="single" w:sz="8" w:space="0" w:color="7F7F7F"/>
            </w:tcBorders>
            <w:shd w:val="clear" w:color="auto" w:fill="auto"/>
            <w:vAlign w:val="center"/>
          </w:tcPr>
          <w:p w14:paraId="6CF6D521" w14:textId="77777777" w:rsidR="00843770" w:rsidRPr="004D407A" w:rsidRDefault="00843770"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Priority Strategic Interventions</w:t>
            </w:r>
          </w:p>
        </w:tc>
      </w:tr>
      <w:tr w:rsidR="004D407A" w:rsidRPr="004D407A" w14:paraId="5B71D67C" w14:textId="77777777" w:rsidTr="00776ADE">
        <w:trPr>
          <w:trHeight w:val="293"/>
        </w:trPr>
        <w:tc>
          <w:tcPr>
            <w:tcW w:w="1410" w:type="pct"/>
            <w:tcBorders>
              <w:top w:val="single" w:sz="12" w:space="0" w:color="FF0000"/>
              <w:bottom w:val="single" w:sz="8" w:space="0" w:color="7F7F7F"/>
            </w:tcBorders>
            <w:shd w:val="clear" w:color="auto" w:fill="auto"/>
            <w:vAlign w:val="center"/>
          </w:tcPr>
          <w:p w14:paraId="4DF257CA" w14:textId="77777777" w:rsidR="00843770" w:rsidRPr="004D407A" w:rsidRDefault="00843770" w:rsidP="00E21383">
            <w:pPr>
              <w:spacing w:after="0" w:line="240" w:lineRule="auto"/>
              <w:rPr>
                <w:rFonts w:ascii="Calibri" w:eastAsia="Times New Roman" w:hAnsi="Calibri" w:cs="Calibri"/>
                <w:sz w:val="18"/>
              </w:rPr>
            </w:pPr>
            <w:r w:rsidRPr="004D407A">
              <w:rPr>
                <w:rFonts w:ascii="Calibri" w:eastAsia="Times New Roman" w:hAnsi="Calibri" w:cs="Calibri"/>
                <w:b/>
                <w:bCs/>
                <w:sz w:val="18"/>
              </w:rPr>
              <w:t>Objective 4:</w:t>
            </w:r>
            <w:r w:rsidRPr="004D407A">
              <w:rPr>
                <w:rFonts w:ascii="Calibri" w:eastAsia="Times New Roman" w:hAnsi="Calibri" w:cs="Calibri"/>
                <w:sz w:val="18"/>
              </w:rPr>
              <w:tab/>
            </w:r>
          </w:p>
          <w:p w14:paraId="651EC157" w14:textId="77777777" w:rsidR="00843770" w:rsidRPr="004D407A" w:rsidRDefault="00843770" w:rsidP="00E21383">
            <w:pPr>
              <w:spacing w:after="0" w:line="240" w:lineRule="auto"/>
              <w:rPr>
                <w:rFonts w:ascii="Calibri" w:eastAsia="Times New Roman" w:hAnsi="Calibri" w:cs="Calibri"/>
                <w:sz w:val="18"/>
              </w:rPr>
            </w:pPr>
            <w:r w:rsidRPr="004D407A">
              <w:rPr>
                <w:rFonts w:ascii="Calibri" w:eastAsia="Times New Roman" w:hAnsi="Calibri" w:cs="Calibri"/>
                <w:sz w:val="18"/>
              </w:rPr>
              <w:t>Elimination of Measles, Rubella and CRS by 2024</w:t>
            </w:r>
          </w:p>
        </w:tc>
        <w:tc>
          <w:tcPr>
            <w:tcW w:w="3590" w:type="pct"/>
            <w:tcBorders>
              <w:top w:val="single" w:sz="12" w:space="0" w:color="FF0000"/>
              <w:left w:val="single" w:sz="8" w:space="0" w:color="7F7F7F"/>
              <w:bottom w:val="single" w:sz="8" w:space="0" w:color="7F7F7F"/>
            </w:tcBorders>
            <w:vAlign w:val="center"/>
          </w:tcPr>
          <w:p w14:paraId="67EC0217" w14:textId="34AFD9EA" w:rsidR="00843770" w:rsidRPr="004D407A" w:rsidRDefault="00843770">
            <w:pPr>
              <w:pStyle w:val="BodyTextT"/>
              <w:numPr>
                <w:ilvl w:val="1"/>
                <w:numId w:val="45"/>
              </w:numPr>
              <w:spacing w:before="40"/>
            </w:pPr>
            <w:r w:rsidRPr="004D407A">
              <w:t xml:space="preserve">Achieve and maintain 95% equitable coverage with 2 doses of MR vaccine at the national </w:t>
            </w:r>
            <w:r w:rsidRPr="004D407A">
              <w:rPr>
                <w:szCs w:val="20"/>
              </w:rPr>
              <w:t>and</w:t>
            </w:r>
            <w:r w:rsidRPr="004D407A">
              <w:t xml:space="preserve"> sub-national levels through routine and supplemental immunization</w:t>
            </w:r>
          </w:p>
          <w:p w14:paraId="6419243D" w14:textId="6AA9E3AE" w:rsidR="00843770" w:rsidRPr="004D407A" w:rsidRDefault="00843770">
            <w:pPr>
              <w:pStyle w:val="BodyTextT"/>
              <w:numPr>
                <w:ilvl w:val="1"/>
                <w:numId w:val="45"/>
              </w:numPr>
              <w:spacing w:before="40"/>
            </w:pPr>
            <w:r w:rsidRPr="004D407A">
              <w:t xml:space="preserve">Achieve Elimination Standard case-based measles, rubella and CRS surveillance and </w:t>
            </w:r>
            <w:proofErr w:type="spellStart"/>
            <w:r w:rsidRPr="004D407A">
              <w:t>programme</w:t>
            </w:r>
            <w:proofErr w:type="spellEnd"/>
            <w:r w:rsidRPr="004D407A">
              <w:t xml:space="preserve"> performance indicators</w:t>
            </w:r>
          </w:p>
          <w:p w14:paraId="339029FA" w14:textId="11C1E019" w:rsidR="00843770" w:rsidRPr="004D407A" w:rsidRDefault="00843770">
            <w:pPr>
              <w:pStyle w:val="BodyTextT"/>
              <w:numPr>
                <w:ilvl w:val="1"/>
                <w:numId w:val="45"/>
              </w:numPr>
              <w:spacing w:before="40"/>
            </w:pPr>
            <w:r w:rsidRPr="004D407A">
              <w:t>Maintain an accredited measles and rubella laboratory to conduct serologic and virologic/molecular testing for measles rubella and CRS</w:t>
            </w:r>
          </w:p>
          <w:p w14:paraId="3CA7324A" w14:textId="3E028DC6" w:rsidR="00843770" w:rsidRPr="004D407A" w:rsidRDefault="00843770">
            <w:pPr>
              <w:pStyle w:val="BodyTextT"/>
              <w:numPr>
                <w:ilvl w:val="1"/>
                <w:numId w:val="45"/>
              </w:numPr>
              <w:spacing w:before="40"/>
            </w:pPr>
            <w:r w:rsidRPr="004D407A">
              <w:t>Ensure update of measles, rubella elimination action plan and monitoring of implementation</w:t>
            </w:r>
          </w:p>
          <w:p w14:paraId="75410BE2" w14:textId="3D005E6A" w:rsidR="00843770" w:rsidRPr="004D407A" w:rsidRDefault="00843770">
            <w:pPr>
              <w:pStyle w:val="BodyTextT"/>
              <w:numPr>
                <w:ilvl w:val="1"/>
                <w:numId w:val="45"/>
              </w:numPr>
              <w:spacing w:before="40"/>
              <w:rPr>
                <w:rFonts w:ascii="Calibri" w:hAnsi="Calibri" w:cs="Calibri"/>
              </w:rPr>
            </w:pPr>
            <w:r w:rsidRPr="004D407A">
              <w:t>Ensure early detection and adequate response to measles and rubella outbreak</w:t>
            </w:r>
          </w:p>
        </w:tc>
      </w:tr>
    </w:tbl>
    <w:bookmarkEnd w:id="241"/>
    <w:p w14:paraId="1A22403C" w14:textId="3841CED5" w:rsidR="005F4AFF" w:rsidRPr="004D407A" w:rsidRDefault="005F4AFF" w:rsidP="005F4AFF">
      <w:pPr>
        <w:pStyle w:val="myHeading1"/>
        <w:rPr>
          <w:rFonts w:ascii="Arial" w:hAnsi="Arial"/>
          <w:i/>
          <w:iCs/>
          <w:color w:val="auto"/>
        </w:rPr>
      </w:pPr>
      <w:r w:rsidRPr="004D407A">
        <w:rPr>
          <w:rFonts w:ascii="Arial" w:hAnsi="Arial"/>
          <w:i/>
          <w:iCs/>
          <w:color w:val="auto"/>
        </w:rPr>
        <w:t>Objective 4: Areas of Intervention</w:t>
      </w:r>
    </w:p>
    <w:p w14:paraId="32DFB641" w14:textId="1814D9C9" w:rsidR="005F4AFF" w:rsidRPr="004D407A" w:rsidRDefault="00657FBB">
      <w:pPr>
        <w:pStyle w:val="BodyText"/>
        <w:numPr>
          <w:ilvl w:val="0"/>
          <w:numId w:val="40"/>
        </w:numPr>
        <w:ind w:left="567" w:hanging="283"/>
        <w:rPr>
          <w:rFonts w:ascii="Arial" w:hAnsi="Arial"/>
        </w:rPr>
      </w:pPr>
      <w:r w:rsidRPr="004D407A">
        <w:rPr>
          <w:rFonts w:ascii="Arial" w:hAnsi="Arial"/>
        </w:rPr>
        <w:t>The Strategic Interventions for achieving Measles and Rubella and CRS by 2024 will be implemented through</w:t>
      </w:r>
      <w:r w:rsidR="00663EE3" w:rsidRPr="004D407A">
        <w:rPr>
          <w:rFonts w:ascii="Arial" w:hAnsi="Arial"/>
        </w:rPr>
        <w:t xml:space="preserve"> overall and significant improvement of the measles coverage in both rural and urban areas of the country, improvement of the real time monitoring of MR vaccination and strengthening supportive supervision capacities and practices will be significant contribution in addressing coverage challenges. NIS considers significant investments for improving service delivery through improving service delivery infrastructure and building HR capacity for equitable and effective delivery of immunization services. The areas of focus also include improvement of the data management and reporting capacity. Finally, the planned interventions consider </w:t>
      </w:r>
      <w:r w:rsidR="00AB744D" w:rsidRPr="004D407A">
        <w:rPr>
          <w:rFonts w:ascii="Arial" w:hAnsi="Arial"/>
        </w:rPr>
        <w:t xml:space="preserve">update of measles and rubella elimination action plan with the participation of all key national and international stakeholders. </w:t>
      </w:r>
    </w:p>
    <w:tbl>
      <w:tblPr>
        <w:tblW w:w="5000" w:type="pct"/>
        <w:tblBorders>
          <w:top w:val="single" w:sz="12" w:space="0" w:color="7F7F7F"/>
          <w:left w:val="single" w:sz="12" w:space="0" w:color="7F7F7F"/>
          <w:bottom w:val="single" w:sz="12" w:space="0" w:color="7F7F7F"/>
          <w:right w:val="single" w:sz="12" w:space="0" w:color="7F7F7F"/>
          <w:insideH w:val="single" w:sz="8" w:space="0" w:color="7F7F7F"/>
        </w:tblBorders>
        <w:tblLook w:val="04A0" w:firstRow="1" w:lastRow="0" w:firstColumn="1" w:lastColumn="0" w:noHBand="0" w:noVBand="1"/>
      </w:tblPr>
      <w:tblGrid>
        <w:gridCol w:w="2537"/>
        <w:gridCol w:w="6458"/>
      </w:tblGrid>
      <w:tr w:rsidR="004D407A" w:rsidRPr="004D407A" w14:paraId="4A5DE2F3" w14:textId="77777777" w:rsidTr="00E21383">
        <w:trPr>
          <w:trHeight w:val="293"/>
        </w:trPr>
        <w:tc>
          <w:tcPr>
            <w:tcW w:w="1410" w:type="pct"/>
            <w:tcBorders>
              <w:top w:val="single" w:sz="12" w:space="0" w:color="FF0000"/>
              <w:bottom w:val="single" w:sz="8" w:space="0" w:color="7F7F7F"/>
            </w:tcBorders>
            <w:shd w:val="clear" w:color="auto" w:fill="auto"/>
            <w:vAlign w:val="center"/>
          </w:tcPr>
          <w:p w14:paraId="4C3F2B3D" w14:textId="77777777" w:rsidR="00495B48" w:rsidRPr="004D407A" w:rsidRDefault="00495B48"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Objective</w:t>
            </w:r>
          </w:p>
        </w:tc>
        <w:tc>
          <w:tcPr>
            <w:tcW w:w="3590" w:type="pct"/>
            <w:tcBorders>
              <w:top w:val="single" w:sz="12" w:space="0" w:color="FF0000"/>
              <w:bottom w:val="single" w:sz="8" w:space="0" w:color="7F7F7F"/>
            </w:tcBorders>
            <w:shd w:val="clear" w:color="auto" w:fill="auto"/>
            <w:vAlign w:val="center"/>
          </w:tcPr>
          <w:p w14:paraId="2E6A9835" w14:textId="77777777" w:rsidR="00495B48" w:rsidRPr="004D407A" w:rsidRDefault="00495B48"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Priority Strategic Interventions</w:t>
            </w:r>
          </w:p>
        </w:tc>
      </w:tr>
      <w:tr w:rsidR="004D407A" w:rsidRPr="004D407A" w14:paraId="4B36D354" w14:textId="77777777" w:rsidTr="00E21383">
        <w:trPr>
          <w:trHeight w:val="293"/>
        </w:trPr>
        <w:tc>
          <w:tcPr>
            <w:tcW w:w="1410" w:type="pct"/>
            <w:tcBorders>
              <w:top w:val="single" w:sz="12" w:space="0" w:color="FF0000"/>
              <w:bottom w:val="single" w:sz="8" w:space="0" w:color="7F7F7F"/>
            </w:tcBorders>
            <w:shd w:val="clear" w:color="auto" w:fill="auto"/>
            <w:vAlign w:val="center"/>
          </w:tcPr>
          <w:p w14:paraId="0ED858E0" w14:textId="77777777" w:rsidR="00495B48" w:rsidRPr="004D407A" w:rsidRDefault="00495B48" w:rsidP="00E21383">
            <w:pPr>
              <w:spacing w:after="0" w:line="240" w:lineRule="auto"/>
              <w:rPr>
                <w:rFonts w:ascii="Calibri" w:eastAsia="Times New Roman" w:hAnsi="Calibri" w:cs="Calibri"/>
                <w:sz w:val="18"/>
              </w:rPr>
            </w:pPr>
            <w:r w:rsidRPr="004D407A">
              <w:rPr>
                <w:rFonts w:ascii="Calibri" w:eastAsia="Times New Roman" w:hAnsi="Calibri" w:cs="Calibri"/>
                <w:b/>
                <w:bCs/>
                <w:sz w:val="18"/>
              </w:rPr>
              <w:t>Objective 5:</w:t>
            </w:r>
            <w:r w:rsidRPr="004D407A">
              <w:rPr>
                <w:rFonts w:ascii="Calibri" w:eastAsia="Times New Roman" w:hAnsi="Calibri" w:cs="Calibri"/>
                <w:sz w:val="18"/>
              </w:rPr>
              <w:tab/>
            </w:r>
          </w:p>
          <w:p w14:paraId="1CD63FA0" w14:textId="77777777" w:rsidR="00495B48" w:rsidRPr="004D407A" w:rsidRDefault="00495B48" w:rsidP="00E21383">
            <w:pPr>
              <w:spacing w:after="0" w:line="240" w:lineRule="auto"/>
              <w:rPr>
                <w:rFonts w:ascii="Calibri" w:eastAsia="Times New Roman" w:hAnsi="Calibri" w:cs="Calibri"/>
                <w:sz w:val="18"/>
              </w:rPr>
            </w:pPr>
            <w:r w:rsidRPr="004D407A">
              <w:rPr>
                <w:rFonts w:ascii="Calibri" w:eastAsia="Times New Roman" w:hAnsi="Calibri" w:cs="Calibri"/>
                <w:sz w:val="18"/>
              </w:rPr>
              <w:t>Maintain Hepatitis B control through vaccination</w:t>
            </w:r>
          </w:p>
        </w:tc>
        <w:tc>
          <w:tcPr>
            <w:tcW w:w="3590" w:type="pct"/>
            <w:tcBorders>
              <w:top w:val="single" w:sz="12" w:space="0" w:color="FF0000"/>
              <w:left w:val="single" w:sz="8" w:space="0" w:color="7F7F7F"/>
              <w:bottom w:val="single" w:sz="8" w:space="0" w:color="7F7F7F"/>
            </w:tcBorders>
            <w:vAlign w:val="center"/>
          </w:tcPr>
          <w:p w14:paraId="6253A415" w14:textId="27CE34A4" w:rsidR="00495B48" w:rsidRPr="004D407A" w:rsidRDefault="00495B48">
            <w:pPr>
              <w:pStyle w:val="BodyTextT"/>
              <w:numPr>
                <w:ilvl w:val="1"/>
                <w:numId w:val="44"/>
              </w:numPr>
              <w:spacing w:before="40"/>
              <w:rPr>
                <w:szCs w:val="20"/>
              </w:rPr>
            </w:pPr>
            <w:r w:rsidRPr="004D407A">
              <w:rPr>
                <w:szCs w:val="20"/>
              </w:rPr>
              <w:t>Maintain high coverage rate of HepB3 vaccination (Penta3) at all levels especially high risk and hard to reach areas</w:t>
            </w:r>
          </w:p>
          <w:p w14:paraId="3DCA93FE" w14:textId="11C3CD95" w:rsidR="00495B48" w:rsidRPr="004D407A" w:rsidRDefault="00495B48">
            <w:pPr>
              <w:pStyle w:val="BodyTextT"/>
              <w:numPr>
                <w:ilvl w:val="1"/>
                <w:numId w:val="44"/>
              </w:numPr>
              <w:spacing w:before="40"/>
              <w:rPr>
                <w:szCs w:val="20"/>
              </w:rPr>
            </w:pPr>
            <w:r w:rsidRPr="004D407A">
              <w:rPr>
                <w:szCs w:val="20"/>
              </w:rPr>
              <w:t xml:space="preserve">Conduct </w:t>
            </w:r>
            <w:proofErr w:type="spellStart"/>
            <w:r w:rsidRPr="004D407A">
              <w:rPr>
                <w:szCs w:val="20"/>
              </w:rPr>
              <w:t>sero</w:t>
            </w:r>
            <w:proofErr w:type="spellEnd"/>
            <w:r w:rsidRPr="004D407A">
              <w:rPr>
                <w:szCs w:val="20"/>
              </w:rPr>
              <w:t>-survey when required</w:t>
            </w:r>
          </w:p>
          <w:p w14:paraId="1F9C535D" w14:textId="7D5D1C84" w:rsidR="00495B48" w:rsidRPr="004D407A" w:rsidRDefault="00495B48">
            <w:pPr>
              <w:pStyle w:val="BodyTextT"/>
              <w:numPr>
                <w:ilvl w:val="1"/>
                <w:numId w:val="44"/>
              </w:numPr>
              <w:spacing w:before="40"/>
            </w:pPr>
            <w:r w:rsidRPr="004D407A">
              <w:rPr>
                <w:szCs w:val="20"/>
              </w:rPr>
              <w:t>Develop and implementation of the Hepatitis B elimination strategy in coordination with other relevant sectors</w:t>
            </w:r>
          </w:p>
        </w:tc>
      </w:tr>
    </w:tbl>
    <w:p w14:paraId="66E20662" w14:textId="3C27F53C" w:rsidR="00D6010A" w:rsidRPr="004D407A" w:rsidRDefault="005F4AFF" w:rsidP="005F4AFF">
      <w:pPr>
        <w:pStyle w:val="myHeading1"/>
        <w:rPr>
          <w:rFonts w:ascii="Arial" w:hAnsi="Arial"/>
          <w:i/>
          <w:iCs/>
          <w:color w:val="auto"/>
        </w:rPr>
      </w:pPr>
      <w:r w:rsidRPr="004D407A">
        <w:rPr>
          <w:rFonts w:ascii="Arial" w:hAnsi="Arial"/>
          <w:i/>
          <w:iCs/>
          <w:color w:val="auto"/>
        </w:rPr>
        <w:t>Objective 5: Areas of Intervention</w:t>
      </w:r>
    </w:p>
    <w:p w14:paraId="1330D73F" w14:textId="1F98EB8A" w:rsidR="00D6010A" w:rsidRPr="004D407A" w:rsidRDefault="00386526">
      <w:pPr>
        <w:pStyle w:val="BodyText"/>
        <w:numPr>
          <w:ilvl w:val="0"/>
          <w:numId w:val="40"/>
        </w:numPr>
        <w:ind w:left="567" w:hanging="283"/>
        <w:rPr>
          <w:rFonts w:ascii="Arial" w:hAnsi="Arial"/>
        </w:rPr>
      </w:pPr>
      <w:r w:rsidRPr="004D407A">
        <w:rPr>
          <w:rFonts w:ascii="Arial" w:hAnsi="Arial"/>
        </w:rPr>
        <w:t xml:space="preserve">The strategic interventions for maintenance of the Hepatitis control through vaccination will include achievement and maintenance target coverage levels of HepB3 vaccination and conducting early virological investigation, with immediate reporting, sample collection and adequate response and case management and monitoring. </w:t>
      </w:r>
    </w:p>
    <w:tbl>
      <w:tblPr>
        <w:tblW w:w="5000" w:type="pct"/>
        <w:tblBorders>
          <w:top w:val="single" w:sz="12" w:space="0" w:color="7F7F7F"/>
          <w:left w:val="single" w:sz="12" w:space="0" w:color="7F7F7F"/>
          <w:bottom w:val="single" w:sz="12" w:space="0" w:color="7F7F7F"/>
          <w:right w:val="single" w:sz="12" w:space="0" w:color="7F7F7F"/>
          <w:insideH w:val="single" w:sz="8" w:space="0" w:color="7F7F7F"/>
        </w:tblBorders>
        <w:tblLook w:val="04A0" w:firstRow="1" w:lastRow="0" w:firstColumn="1" w:lastColumn="0" w:noHBand="0" w:noVBand="1"/>
      </w:tblPr>
      <w:tblGrid>
        <w:gridCol w:w="2537"/>
        <w:gridCol w:w="6458"/>
      </w:tblGrid>
      <w:tr w:rsidR="004D407A" w:rsidRPr="004D407A" w14:paraId="3FC0BF9F" w14:textId="77777777" w:rsidTr="00E21383">
        <w:trPr>
          <w:trHeight w:val="293"/>
        </w:trPr>
        <w:tc>
          <w:tcPr>
            <w:tcW w:w="1410" w:type="pct"/>
            <w:tcBorders>
              <w:top w:val="single" w:sz="12" w:space="0" w:color="FF0000"/>
              <w:bottom w:val="single" w:sz="8" w:space="0" w:color="7F7F7F"/>
            </w:tcBorders>
            <w:shd w:val="clear" w:color="auto" w:fill="auto"/>
            <w:vAlign w:val="center"/>
          </w:tcPr>
          <w:p w14:paraId="236D7116" w14:textId="77777777" w:rsidR="00A52153" w:rsidRPr="004D407A" w:rsidRDefault="00A52153"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Objective</w:t>
            </w:r>
          </w:p>
        </w:tc>
        <w:tc>
          <w:tcPr>
            <w:tcW w:w="3590" w:type="pct"/>
            <w:tcBorders>
              <w:top w:val="single" w:sz="12" w:space="0" w:color="FF0000"/>
              <w:bottom w:val="single" w:sz="8" w:space="0" w:color="7F7F7F"/>
            </w:tcBorders>
            <w:shd w:val="clear" w:color="auto" w:fill="auto"/>
            <w:vAlign w:val="center"/>
          </w:tcPr>
          <w:p w14:paraId="38982498" w14:textId="77777777" w:rsidR="00A52153" w:rsidRPr="004D407A" w:rsidRDefault="00A52153"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Priority Strategic Interventions</w:t>
            </w:r>
          </w:p>
        </w:tc>
      </w:tr>
      <w:tr w:rsidR="004D407A" w:rsidRPr="004D407A" w14:paraId="47F9BC90" w14:textId="77777777" w:rsidTr="00E21383">
        <w:trPr>
          <w:trHeight w:val="293"/>
        </w:trPr>
        <w:tc>
          <w:tcPr>
            <w:tcW w:w="1410" w:type="pct"/>
            <w:tcBorders>
              <w:top w:val="single" w:sz="12" w:space="0" w:color="FF0000"/>
              <w:bottom w:val="single" w:sz="8" w:space="0" w:color="7F7F7F"/>
            </w:tcBorders>
            <w:shd w:val="clear" w:color="auto" w:fill="auto"/>
            <w:vAlign w:val="center"/>
          </w:tcPr>
          <w:p w14:paraId="60841FE2" w14:textId="77777777" w:rsidR="00A52153" w:rsidRPr="004D407A" w:rsidRDefault="00A52153" w:rsidP="00E21383">
            <w:pPr>
              <w:spacing w:after="0" w:line="240" w:lineRule="auto"/>
              <w:rPr>
                <w:rFonts w:ascii="Calibri" w:eastAsia="Times New Roman" w:hAnsi="Calibri" w:cs="Calibri"/>
                <w:sz w:val="18"/>
              </w:rPr>
            </w:pPr>
            <w:r w:rsidRPr="004D407A">
              <w:rPr>
                <w:rFonts w:ascii="Calibri" w:eastAsia="Times New Roman" w:hAnsi="Calibri" w:cs="Calibri"/>
                <w:b/>
                <w:bCs/>
                <w:sz w:val="18"/>
              </w:rPr>
              <w:t>Objective 6:</w:t>
            </w:r>
            <w:r w:rsidRPr="004D407A">
              <w:rPr>
                <w:rFonts w:ascii="Calibri" w:eastAsia="Times New Roman" w:hAnsi="Calibri" w:cs="Calibri"/>
                <w:sz w:val="18"/>
              </w:rPr>
              <w:tab/>
            </w:r>
          </w:p>
          <w:p w14:paraId="47C81B3C" w14:textId="77777777" w:rsidR="00A52153" w:rsidRPr="004D407A" w:rsidRDefault="00A52153" w:rsidP="00E21383">
            <w:pPr>
              <w:spacing w:after="0" w:line="240" w:lineRule="auto"/>
              <w:rPr>
                <w:rFonts w:ascii="Calibri" w:eastAsia="Times New Roman" w:hAnsi="Calibri" w:cs="Calibri"/>
                <w:sz w:val="18"/>
              </w:rPr>
            </w:pPr>
            <w:r w:rsidRPr="004D407A">
              <w:rPr>
                <w:rFonts w:ascii="Calibri" w:eastAsia="Times New Roman" w:hAnsi="Calibri" w:cs="Calibri"/>
                <w:sz w:val="18"/>
              </w:rPr>
              <w:t>Ensure access to the High-Quality Vaccines</w:t>
            </w:r>
          </w:p>
        </w:tc>
        <w:tc>
          <w:tcPr>
            <w:tcW w:w="3590" w:type="pct"/>
            <w:tcBorders>
              <w:top w:val="single" w:sz="12" w:space="0" w:color="FF0000"/>
              <w:left w:val="single" w:sz="8" w:space="0" w:color="7F7F7F"/>
              <w:bottom w:val="single" w:sz="8" w:space="0" w:color="7F7F7F"/>
            </w:tcBorders>
            <w:vAlign w:val="center"/>
          </w:tcPr>
          <w:p w14:paraId="62C9A97B" w14:textId="59B9849C" w:rsidR="00A52153" w:rsidRPr="004D407A" w:rsidRDefault="00A52153">
            <w:pPr>
              <w:pStyle w:val="BodyTextT"/>
              <w:numPr>
                <w:ilvl w:val="1"/>
                <w:numId w:val="43"/>
              </w:numPr>
              <w:spacing w:before="40"/>
              <w:rPr>
                <w:szCs w:val="20"/>
              </w:rPr>
            </w:pPr>
            <w:r w:rsidRPr="004D407A">
              <w:rPr>
                <w:szCs w:val="20"/>
              </w:rPr>
              <w:t>Strengthen capacity of NRA to undertake all NRA functions for ensuring selection of high-quality vaccines</w:t>
            </w:r>
          </w:p>
          <w:p w14:paraId="6D77C7F8" w14:textId="3F5651A1" w:rsidR="00A52153" w:rsidRPr="004D407A" w:rsidRDefault="00A52153">
            <w:pPr>
              <w:pStyle w:val="BodyTextT"/>
              <w:numPr>
                <w:ilvl w:val="1"/>
                <w:numId w:val="43"/>
              </w:numPr>
              <w:spacing w:before="40"/>
              <w:rPr>
                <w:szCs w:val="20"/>
              </w:rPr>
            </w:pPr>
            <w:r w:rsidRPr="004D407A">
              <w:rPr>
                <w:szCs w:val="20"/>
              </w:rPr>
              <w:t>Strengthen AEFI surveillance</w:t>
            </w:r>
          </w:p>
          <w:p w14:paraId="273F71B4" w14:textId="67A0A7E7" w:rsidR="00A52153" w:rsidRPr="004D407A" w:rsidRDefault="00A52153">
            <w:pPr>
              <w:pStyle w:val="BodyTextT"/>
              <w:numPr>
                <w:ilvl w:val="1"/>
                <w:numId w:val="43"/>
              </w:numPr>
              <w:spacing w:before="40"/>
              <w:rPr>
                <w:szCs w:val="20"/>
              </w:rPr>
            </w:pPr>
            <w:r w:rsidRPr="004D407A">
              <w:rPr>
                <w:szCs w:val="20"/>
              </w:rPr>
              <w:t>Explore and support domestic production of vaccines</w:t>
            </w:r>
          </w:p>
        </w:tc>
      </w:tr>
    </w:tbl>
    <w:p w14:paraId="4214A474" w14:textId="3289CF5F" w:rsidR="005F4AFF" w:rsidRPr="004D407A" w:rsidRDefault="005F4AFF" w:rsidP="005F4AFF">
      <w:pPr>
        <w:pStyle w:val="myHeading1"/>
        <w:rPr>
          <w:rFonts w:ascii="Arial" w:hAnsi="Arial"/>
          <w:i/>
          <w:iCs/>
          <w:color w:val="auto"/>
        </w:rPr>
      </w:pPr>
      <w:r w:rsidRPr="004D407A">
        <w:rPr>
          <w:rFonts w:ascii="Arial" w:hAnsi="Arial"/>
          <w:i/>
          <w:iCs/>
          <w:color w:val="auto"/>
        </w:rPr>
        <w:t>Objective 6: Areas of Intervention</w:t>
      </w:r>
    </w:p>
    <w:p w14:paraId="11EA011C" w14:textId="27306173" w:rsidR="005F4AFF" w:rsidRPr="004D407A" w:rsidRDefault="00DD142C">
      <w:pPr>
        <w:pStyle w:val="BodyText"/>
        <w:numPr>
          <w:ilvl w:val="0"/>
          <w:numId w:val="40"/>
        </w:numPr>
        <w:ind w:left="567" w:hanging="283"/>
        <w:rPr>
          <w:rFonts w:ascii="Arial" w:hAnsi="Arial"/>
        </w:rPr>
      </w:pPr>
      <w:r w:rsidRPr="004D407A">
        <w:rPr>
          <w:rFonts w:ascii="Arial" w:hAnsi="Arial"/>
        </w:rPr>
        <w:t>The NIS will be focused on strengthening NRA capacity to assure high quality of vaccines used by the immunization system. These interventions will include costing and implementation of the NRA institutional development plan</w:t>
      </w:r>
      <w:r w:rsidR="00E23A41" w:rsidRPr="004D407A">
        <w:rPr>
          <w:rFonts w:ascii="Arial" w:hAnsi="Arial"/>
        </w:rPr>
        <w:t xml:space="preserve">, set of activities for seeking “Maturity Level III” according to the WHO Global Benchmarking and HR development. </w:t>
      </w:r>
      <w:r w:rsidR="00E23A41" w:rsidRPr="004D407A">
        <w:rPr>
          <w:rFonts w:ascii="Arial" w:hAnsi="Arial"/>
        </w:rPr>
        <w:lastRenderedPageBreak/>
        <w:t xml:space="preserve">The interventions will </w:t>
      </w:r>
      <w:r w:rsidR="003D238F" w:rsidRPr="004D407A">
        <w:rPr>
          <w:rFonts w:ascii="Arial" w:hAnsi="Arial"/>
        </w:rPr>
        <w:t>also aim</w:t>
      </w:r>
      <w:r w:rsidR="00E23A41" w:rsidRPr="004D407A">
        <w:rPr>
          <w:rFonts w:ascii="Arial" w:hAnsi="Arial"/>
        </w:rPr>
        <w:t xml:space="preserve"> at strengthening post-marketing surveillance and lab testing capacity to empower NRA for performing all standard functions.</w:t>
      </w:r>
    </w:p>
    <w:tbl>
      <w:tblPr>
        <w:tblW w:w="5000" w:type="pct"/>
        <w:tblBorders>
          <w:top w:val="single" w:sz="12" w:space="0" w:color="7F7F7F"/>
          <w:left w:val="single" w:sz="12" w:space="0" w:color="7F7F7F"/>
          <w:bottom w:val="single" w:sz="12" w:space="0" w:color="7F7F7F"/>
          <w:right w:val="single" w:sz="12" w:space="0" w:color="7F7F7F"/>
          <w:insideH w:val="single" w:sz="8" w:space="0" w:color="7F7F7F"/>
        </w:tblBorders>
        <w:tblLook w:val="04A0" w:firstRow="1" w:lastRow="0" w:firstColumn="1" w:lastColumn="0" w:noHBand="0" w:noVBand="1"/>
      </w:tblPr>
      <w:tblGrid>
        <w:gridCol w:w="2537"/>
        <w:gridCol w:w="6458"/>
      </w:tblGrid>
      <w:tr w:rsidR="004D407A" w:rsidRPr="004D407A" w14:paraId="22B63355" w14:textId="77777777" w:rsidTr="00E21383">
        <w:trPr>
          <w:trHeight w:val="293"/>
        </w:trPr>
        <w:tc>
          <w:tcPr>
            <w:tcW w:w="1410" w:type="pct"/>
            <w:tcBorders>
              <w:top w:val="single" w:sz="12" w:space="0" w:color="FF0000"/>
              <w:bottom w:val="single" w:sz="8" w:space="0" w:color="7F7F7F"/>
            </w:tcBorders>
            <w:shd w:val="clear" w:color="auto" w:fill="auto"/>
            <w:vAlign w:val="center"/>
          </w:tcPr>
          <w:p w14:paraId="65EFFE88" w14:textId="77777777" w:rsidR="00C719A9" w:rsidRPr="004D407A" w:rsidRDefault="00C719A9" w:rsidP="00E21383">
            <w:pPr>
              <w:spacing w:after="0" w:line="240" w:lineRule="auto"/>
              <w:rPr>
                <w:rFonts w:ascii="Calibri" w:eastAsia="Times New Roman" w:hAnsi="Calibri" w:cs="Calibri"/>
                <w:b/>
                <w:bCs/>
                <w:sz w:val="18"/>
              </w:rPr>
            </w:pPr>
            <w:bookmarkStart w:id="242" w:name="_Hlk111911915"/>
            <w:r w:rsidRPr="004D407A">
              <w:rPr>
                <w:rFonts w:ascii="Calibri" w:eastAsia="Times New Roman" w:hAnsi="Calibri" w:cs="Calibri"/>
                <w:b/>
                <w:bCs/>
                <w:sz w:val="18"/>
              </w:rPr>
              <w:t>Objective</w:t>
            </w:r>
          </w:p>
        </w:tc>
        <w:tc>
          <w:tcPr>
            <w:tcW w:w="3590" w:type="pct"/>
            <w:tcBorders>
              <w:top w:val="single" w:sz="12" w:space="0" w:color="FF0000"/>
              <w:bottom w:val="single" w:sz="8" w:space="0" w:color="7F7F7F"/>
            </w:tcBorders>
            <w:shd w:val="clear" w:color="auto" w:fill="auto"/>
            <w:vAlign w:val="center"/>
          </w:tcPr>
          <w:p w14:paraId="43049ADF" w14:textId="77777777" w:rsidR="00C719A9" w:rsidRPr="004D407A" w:rsidRDefault="00C719A9"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Priority Strategic Interventions</w:t>
            </w:r>
          </w:p>
        </w:tc>
      </w:tr>
      <w:tr w:rsidR="004D407A" w:rsidRPr="004D407A" w14:paraId="7FA70306" w14:textId="77777777" w:rsidTr="00E21383">
        <w:trPr>
          <w:trHeight w:val="293"/>
        </w:trPr>
        <w:tc>
          <w:tcPr>
            <w:tcW w:w="1410" w:type="pct"/>
            <w:tcBorders>
              <w:top w:val="single" w:sz="12" w:space="0" w:color="FF0000"/>
              <w:bottom w:val="single" w:sz="8" w:space="0" w:color="7F7F7F"/>
            </w:tcBorders>
            <w:shd w:val="clear" w:color="auto" w:fill="auto"/>
            <w:vAlign w:val="center"/>
          </w:tcPr>
          <w:p w14:paraId="42DC00F2" w14:textId="77777777" w:rsidR="00C719A9" w:rsidRPr="004D407A" w:rsidRDefault="00C719A9" w:rsidP="00E21383">
            <w:pPr>
              <w:spacing w:after="0" w:line="240" w:lineRule="auto"/>
              <w:rPr>
                <w:rFonts w:ascii="Calibri" w:eastAsia="Times New Roman" w:hAnsi="Calibri" w:cs="Calibri"/>
                <w:sz w:val="18"/>
              </w:rPr>
            </w:pPr>
            <w:r w:rsidRPr="004D407A">
              <w:rPr>
                <w:rFonts w:ascii="Calibri" w:eastAsia="Times New Roman" w:hAnsi="Calibri" w:cs="Calibri"/>
                <w:b/>
                <w:bCs/>
                <w:sz w:val="18"/>
              </w:rPr>
              <w:t>Objective 7:</w:t>
            </w:r>
            <w:r w:rsidRPr="004D407A">
              <w:rPr>
                <w:rFonts w:ascii="Calibri" w:eastAsia="Times New Roman" w:hAnsi="Calibri" w:cs="Calibri"/>
                <w:sz w:val="18"/>
              </w:rPr>
              <w:tab/>
            </w:r>
          </w:p>
          <w:p w14:paraId="0D1D1F2E" w14:textId="77777777" w:rsidR="00C719A9" w:rsidRPr="004D407A" w:rsidRDefault="00C719A9" w:rsidP="00E21383">
            <w:pPr>
              <w:spacing w:after="0" w:line="240" w:lineRule="auto"/>
              <w:rPr>
                <w:rFonts w:ascii="Calibri" w:eastAsia="Times New Roman" w:hAnsi="Calibri" w:cs="Calibri"/>
                <w:sz w:val="18"/>
              </w:rPr>
            </w:pPr>
            <w:r w:rsidRPr="004D407A">
              <w:rPr>
                <w:rFonts w:ascii="Calibri" w:eastAsia="Times New Roman" w:hAnsi="Calibri" w:cs="Calibri"/>
                <w:sz w:val="18"/>
              </w:rPr>
              <w:t>Enhance Protection of Population Against VPD by New and Underused Vaccines</w:t>
            </w:r>
          </w:p>
        </w:tc>
        <w:tc>
          <w:tcPr>
            <w:tcW w:w="3590" w:type="pct"/>
            <w:tcBorders>
              <w:top w:val="single" w:sz="12" w:space="0" w:color="FF0000"/>
              <w:left w:val="single" w:sz="8" w:space="0" w:color="7F7F7F"/>
              <w:bottom w:val="single" w:sz="8" w:space="0" w:color="7F7F7F"/>
            </w:tcBorders>
            <w:vAlign w:val="center"/>
          </w:tcPr>
          <w:p w14:paraId="3141E454" w14:textId="0AAC4A1D" w:rsidR="00C719A9" w:rsidRPr="004D407A" w:rsidRDefault="00C719A9">
            <w:pPr>
              <w:pStyle w:val="BodyTextT"/>
              <w:numPr>
                <w:ilvl w:val="1"/>
                <w:numId w:val="42"/>
              </w:numPr>
              <w:spacing w:before="40"/>
              <w:rPr>
                <w:szCs w:val="20"/>
              </w:rPr>
            </w:pPr>
            <w:r w:rsidRPr="004D407A">
              <w:rPr>
                <w:szCs w:val="20"/>
              </w:rPr>
              <w:t>Introduce Rota vaccine in 2023</w:t>
            </w:r>
          </w:p>
          <w:p w14:paraId="47E14255" w14:textId="284803CD" w:rsidR="00C719A9" w:rsidRPr="004D407A" w:rsidRDefault="00C719A9">
            <w:pPr>
              <w:pStyle w:val="BodyTextT"/>
              <w:numPr>
                <w:ilvl w:val="1"/>
                <w:numId w:val="42"/>
              </w:numPr>
              <w:spacing w:before="40"/>
              <w:rPr>
                <w:szCs w:val="20"/>
              </w:rPr>
            </w:pPr>
            <w:r w:rsidRPr="004D407A">
              <w:rPr>
                <w:szCs w:val="20"/>
              </w:rPr>
              <w:t xml:space="preserve">Roll out </w:t>
            </w:r>
            <w:r w:rsidRPr="004D407A">
              <w:t>HPV</w:t>
            </w:r>
            <w:r w:rsidRPr="004D407A">
              <w:rPr>
                <w:szCs w:val="20"/>
              </w:rPr>
              <w:t xml:space="preserve"> vaccination at the national level in 2023</w:t>
            </w:r>
          </w:p>
          <w:p w14:paraId="27BA8C39" w14:textId="485CF2A4" w:rsidR="00C719A9" w:rsidRPr="004D407A" w:rsidRDefault="00C719A9">
            <w:pPr>
              <w:pStyle w:val="BodyTextT"/>
              <w:numPr>
                <w:ilvl w:val="1"/>
                <w:numId w:val="42"/>
              </w:numPr>
              <w:spacing w:before="40"/>
              <w:rPr>
                <w:szCs w:val="20"/>
              </w:rPr>
            </w:pPr>
            <w:r w:rsidRPr="004D407A">
              <w:rPr>
                <w:szCs w:val="20"/>
              </w:rPr>
              <w:t>Conduct HPV MAC SIA in 2023</w:t>
            </w:r>
          </w:p>
          <w:p w14:paraId="3AA23C47" w14:textId="6C157D61" w:rsidR="00C719A9" w:rsidRPr="004D407A" w:rsidRDefault="00C719A9">
            <w:pPr>
              <w:pStyle w:val="BodyTextT"/>
              <w:numPr>
                <w:ilvl w:val="1"/>
                <w:numId w:val="42"/>
              </w:numPr>
              <w:spacing w:before="40"/>
              <w:rPr>
                <w:szCs w:val="20"/>
              </w:rPr>
            </w:pPr>
            <w:r w:rsidRPr="004D407A">
              <w:rPr>
                <w:szCs w:val="20"/>
              </w:rPr>
              <w:t>Introduce JE vaccine into the national immunization schedule in 2023</w:t>
            </w:r>
          </w:p>
          <w:p w14:paraId="7CEF33E6" w14:textId="78C1DBA8" w:rsidR="00C719A9" w:rsidRPr="004D407A" w:rsidRDefault="00C719A9">
            <w:pPr>
              <w:pStyle w:val="BodyTextT"/>
              <w:numPr>
                <w:ilvl w:val="1"/>
                <w:numId w:val="42"/>
              </w:numPr>
              <w:spacing w:before="40"/>
              <w:rPr>
                <w:szCs w:val="20"/>
              </w:rPr>
            </w:pPr>
            <w:r w:rsidRPr="004D407A">
              <w:rPr>
                <w:szCs w:val="20"/>
              </w:rPr>
              <w:t>Introduce TCV into the national immunization schedule in 2023 year</w:t>
            </w:r>
          </w:p>
        </w:tc>
      </w:tr>
    </w:tbl>
    <w:bookmarkEnd w:id="242"/>
    <w:p w14:paraId="3307ACEE" w14:textId="63C3BFFD" w:rsidR="005F4AFF" w:rsidRPr="004D407A" w:rsidRDefault="005F4AFF" w:rsidP="005F4AFF">
      <w:pPr>
        <w:pStyle w:val="myHeading1"/>
        <w:rPr>
          <w:rFonts w:ascii="Arial" w:hAnsi="Arial"/>
          <w:i/>
          <w:iCs/>
          <w:color w:val="auto"/>
        </w:rPr>
      </w:pPr>
      <w:r w:rsidRPr="004D407A">
        <w:rPr>
          <w:rFonts w:ascii="Arial" w:hAnsi="Arial"/>
          <w:i/>
          <w:iCs/>
          <w:color w:val="auto"/>
        </w:rPr>
        <w:t>Objective 7: Areas of Intervention</w:t>
      </w:r>
    </w:p>
    <w:p w14:paraId="7A442056" w14:textId="5DFCEB4F" w:rsidR="00D6010A" w:rsidRPr="004D407A" w:rsidRDefault="00E23A41">
      <w:pPr>
        <w:pStyle w:val="BodyText"/>
        <w:numPr>
          <w:ilvl w:val="0"/>
          <w:numId w:val="40"/>
        </w:numPr>
        <w:ind w:left="567" w:hanging="283"/>
        <w:rPr>
          <w:rFonts w:ascii="Arial" w:hAnsi="Arial"/>
        </w:rPr>
      </w:pPr>
      <w:r w:rsidRPr="004D407A">
        <w:rPr>
          <w:rFonts w:ascii="Arial" w:hAnsi="Arial"/>
        </w:rPr>
        <w:t>In total four different vaccines will be introduced over the course of NIS implementation. For ensuring smooth and effective introduction of all planned vaccines, EPI will implement standard set of activities which include revision of the national immunization schedule, revision of the standard guidelines and forms</w:t>
      </w:r>
      <w:r w:rsidR="005D53BC" w:rsidRPr="004D407A">
        <w:rPr>
          <w:rFonts w:ascii="Arial" w:hAnsi="Arial"/>
        </w:rPr>
        <w:t>, introduction of vaccines among the vaccination target population groups. The introduction of vaccines will follow by the implementation of the Post-Introduction Evaluation (PIE).</w:t>
      </w:r>
    </w:p>
    <w:tbl>
      <w:tblPr>
        <w:tblW w:w="5000" w:type="pct"/>
        <w:tblBorders>
          <w:top w:val="single" w:sz="12" w:space="0" w:color="7F7F7F"/>
          <w:left w:val="single" w:sz="12" w:space="0" w:color="7F7F7F"/>
          <w:bottom w:val="single" w:sz="12" w:space="0" w:color="7F7F7F"/>
          <w:right w:val="single" w:sz="12" w:space="0" w:color="7F7F7F"/>
          <w:insideH w:val="single" w:sz="8" w:space="0" w:color="7F7F7F"/>
        </w:tblBorders>
        <w:tblLook w:val="04A0" w:firstRow="1" w:lastRow="0" w:firstColumn="1" w:lastColumn="0" w:noHBand="0" w:noVBand="1"/>
      </w:tblPr>
      <w:tblGrid>
        <w:gridCol w:w="2537"/>
        <w:gridCol w:w="6458"/>
      </w:tblGrid>
      <w:tr w:rsidR="004D407A" w:rsidRPr="004D407A" w14:paraId="6989D389" w14:textId="77777777" w:rsidTr="00E21383">
        <w:trPr>
          <w:trHeight w:val="293"/>
        </w:trPr>
        <w:tc>
          <w:tcPr>
            <w:tcW w:w="1410" w:type="pct"/>
            <w:tcBorders>
              <w:top w:val="single" w:sz="12" w:space="0" w:color="FF0000"/>
              <w:bottom w:val="single" w:sz="8" w:space="0" w:color="7F7F7F"/>
            </w:tcBorders>
            <w:shd w:val="clear" w:color="auto" w:fill="auto"/>
            <w:vAlign w:val="center"/>
          </w:tcPr>
          <w:p w14:paraId="07ED50F4" w14:textId="77777777" w:rsidR="00636903" w:rsidRPr="004D407A" w:rsidRDefault="00636903" w:rsidP="00F8169A">
            <w:pPr>
              <w:spacing w:before="40" w:after="40" w:line="240" w:lineRule="auto"/>
              <w:rPr>
                <w:rFonts w:ascii="Calibri" w:eastAsia="Times New Roman" w:hAnsi="Calibri" w:cs="Calibri"/>
                <w:b/>
                <w:bCs/>
                <w:sz w:val="18"/>
              </w:rPr>
            </w:pPr>
            <w:r w:rsidRPr="004D407A">
              <w:rPr>
                <w:rFonts w:ascii="Calibri" w:eastAsia="Times New Roman" w:hAnsi="Calibri" w:cs="Calibri"/>
                <w:b/>
                <w:bCs/>
                <w:sz w:val="18"/>
              </w:rPr>
              <w:t>Objective</w:t>
            </w:r>
          </w:p>
        </w:tc>
        <w:tc>
          <w:tcPr>
            <w:tcW w:w="3590" w:type="pct"/>
            <w:tcBorders>
              <w:top w:val="single" w:sz="12" w:space="0" w:color="FF0000"/>
              <w:bottom w:val="single" w:sz="8" w:space="0" w:color="7F7F7F"/>
            </w:tcBorders>
            <w:shd w:val="clear" w:color="auto" w:fill="auto"/>
            <w:vAlign w:val="center"/>
          </w:tcPr>
          <w:p w14:paraId="364754B7" w14:textId="77777777" w:rsidR="00636903" w:rsidRPr="004D407A" w:rsidRDefault="00636903" w:rsidP="00F8169A">
            <w:pPr>
              <w:spacing w:before="40" w:after="40" w:line="240" w:lineRule="auto"/>
              <w:rPr>
                <w:rFonts w:ascii="Calibri" w:eastAsia="Times New Roman" w:hAnsi="Calibri" w:cs="Calibri"/>
                <w:b/>
                <w:bCs/>
                <w:sz w:val="18"/>
              </w:rPr>
            </w:pPr>
            <w:r w:rsidRPr="004D407A">
              <w:rPr>
                <w:rFonts w:ascii="Calibri" w:eastAsia="Times New Roman" w:hAnsi="Calibri" w:cs="Calibri"/>
                <w:b/>
                <w:bCs/>
                <w:sz w:val="18"/>
              </w:rPr>
              <w:t>Priority Strategic Interventions</w:t>
            </w:r>
          </w:p>
        </w:tc>
      </w:tr>
      <w:tr w:rsidR="004D407A" w:rsidRPr="004D407A" w14:paraId="668179E0" w14:textId="77777777" w:rsidTr="00E21383">
        <w:trPr>
          <w:trHeight w:val="293"/>
        </w:trPr>
        <w:tc>
          <w:tcPr>
            <w:tcW w:w="1410" w:type="pct"/>
            <w:tcBorders>
              <w:top w:val="single" w:sz="12" w:space="0" w:color="FF0000"/>
              <w:bottom w:val="single" w:sz="8" w:space="0" w:color="7F7F7F"/>
            </w:tcBorders>
            <w:shd w:val="clear" w:color="auto" w:fill="auto"/>
            <w:vAlign w:val="center"/>
          </w:tcPr>
          <w:p w14:paraId="67850D8D" w14:textId="77777777" w:rsidR="00636903" w:rsidRPr="004D407A" w:rsidRDefault="00636903" w:rsidP="00F8169A">
            <w:pPr>
              <w:spacing w:before="40" w:after="40" w:line="240" w:lineRule="auto"/>
              <w:rPr>
                <w:rFonts w:ascii="Calibri" w:eastAsia="Times New Roman" w:hAnsi="Calibri" w:cs="Calibri"/>
                <w:sz w:val="18"/>
              </w:rPr>
            </w:pPr>
            <w:r w:rsidRPr="004D407A">
              <w:rPr>
                <w:rFonts w:ascii="Calibri" w:eastAsia="Times New Roman" w:hAnsi="Calibri" w:cs="Calibri"/>
                <w:b/>
                <w:bCs/>
                <w:sz w:val="18"/>
              </w:rPr>
              <w:t>Objective 8:</w:t>
            </w:r>
            <w:r w:rsidRPr="004D407A">
              <w:rPr>
                <w:rFonts w:ascii="Calibri" w:eastAsia="Times New Roman" w:hAnsi="Calibri" w:cs="Calibri"/>
                <w:sz w:val="18"/>
              </w:rPr>
              <w:tab/>
            </w:r>
          </w:p>
          <w:p w14:paraId="7665D1CE" w14:textId="77777777" w:rsidR="00636903" w:rsidRPr="004D407A" w:rsidRDefault="00636903" w:rsidP="00F8169A">
            <w:pPr>
              <w:spacing w:before="40" w:after="40" w:line="240" w:lineRule="auto"/>
              <w:rPr>
                <w:rFonts w:ascii="Calibri" w:eastAsia="Times New Roman" w:hAnsi="Calibri" w:cs="Calibri"/>
                <w:sz w:val="18"/>
              </w:rPr>
            </w:pPr>
            <w:r w:rsidRPr="004D407A">
              <w:rPr>
                <w:rFonts w:ascii="Calibri" w:eastAsia="Times New Roman" w:hAnsi="Calibri" w:cs="Calibri"/>
                <w:sz w:val="18"/>
              </w:rPr>
              <w:t>Sustain Operation of Critical Immunization System Components While Transitioning from Foreign to Domestic Sources of Financing</w:t>
            </w:r>
          </w:p>
          <w:p w14:paraId="3B2EC825" w14:textId="77777777" w:rsidR="00636903" w:rsidRPr="004D407A" w:rsidRDefault="00636903" w:rsidP="00F8169A">
            <w:pPr>
              <w:spacing w:before="40" w:after="40" w:line="240" w:lineRule="auto"/>
              <w:rPr>
                <w:rFonts w:ascii="Calibri" w:eastAsia="Times New Roman" w:hAnsi="Calibri" w:cs="Calibri"/>
                <w:sz w:val="18"/>
              </w:rPr>
            </w:pPr>
          </w:p>
        </w:tc>
        <w:tc>
          <w:tcPr>
            <w:tcW w:w="3590" w:type="pct"/>
            <w:tcBorders>
              <w:top w:val="single" w:sz="12" w:space="0" w:color="FF0000"/>
              <w:left w:val="single" w:sz="8" w:space="0" w:color="7F7F7F"/>
              <w:bottom w:val="single" w:sz="8" w:space="0" w:color="7F7F7F"/>
            </w:tcBorders>
            <w:vAlign w:val="center"/>
          </w:tcPr>
          <w:p w14:paraId="0CC0F41C" w14:textId="5857A758" w:rsidR="00636903" w:rsidRPr="004D407A" w:rsidRDefault="00636903">
            <w:pPr>
              <w:pStyle w:val="BodyTextT"/>
              <w:numPr>
                <w:ilvl w:val="1"/>
                <w:numId w:val="41"/>
              </w:numPr>
              <w:spacing w:before="40"/>
              <w:rPr>
                <w:szCs w:val="20"/>
              </w:rPr>
            </w:pPr>
            <w:r w:rsidRPr="004D407A">
              <w:rPr>
                <w:szCs w:val="20"/>
              </w:rPr>
              <w:t>Ensure sufficient government fund allocation under Operational Plan to support immunization activities including new vaccine introduction for sustainable program and financial sustainability</w:t>
            </w:r>
          </w:p>
          <w:p w14:paraId="61618048" w14:textId="27864360" w:rsidR="00636903" w:rsidRPr="004D407A" w:rsidRDefault="00636903">
            <w:pPr>
              <w:pStyle w:val="BodyTextT"/>
              <w:numPr>
                <w:ilvl w:val="1"/>
                <w:numId w:val="41"/>
              </w:numPr>
              <w:spacing w:before="40"/>
              <w:rPr>
                <w:szCs w:val="20"/>
              </w:rPr>
            </w:pPr>
            <w:r w:rsidRPr="004D407A">
              <w:rPr>
                <w:szCs w:val="20"/>
              </w:rPr>
              <w:t xml:space="preserve">Ensure high political and financial commitment demonstrated by increased budget space and increased domestic fund for immunization </w:t>
            </w:r>
            <w:proofErr w:type="spellStart"/>
            <w:r w:rsidRPr="004D407A">
              <w:rPr>
                <w:szCs w:val="20"/>
              </w:rPr>
              <w:t>Programme</w:t>
            </w:r>
            <w:proofErr w:type="spellEnd"/>
          </w:p>
          <w:p w14:paraId="74832724" w14:textId="6CB6B179" w:rsidR="00636903" w:rsidRPr="004D407A" w:rsidRDefault="00636903">
            <w:pPr>
              <w:pStyle w:val="BodyTextT"/>
              <w:numPr>
                <w:ilvl w:val="1"/>
                <w:numId w:val="41"/>
              </w:numPr>
              <w:spacing w:before="40"/>
              <w:rPr>
                <w:szCs w:val="20"/>
              </w:rPr>
            </w:pPr>
            <w:r w:rsidRPr="004D407A">
              <w:t xml:space="preserve">Advocate for the establishment of separate Immunization Directorate </w:t>
            </w:r>
            <w:r w:rsidRPr="004D407A">
              <w:rPr>
                <w:szCs w:val="20"/>
              </w:rPr>
              <w:t>incorporating</w:t>
            </w:r>
            <w:r w:rsidRPr="004D407A">
              <w:t xml:space="preserve"> in 5th HPNSP</w:t>
            </w:r>
          </w:p>
        </w:tc>
      </w:tr>
    </w:tbl>
    <w:p w14:paraId="602241CF" w14:textId="1C613E6C" w:rsidR="00D6010A" w:rsidRPr="004D407A" w:rsidRDefault="005F4AFF" w:rsidP="005F4AFF">
      <w:pPr>
        <w:pStyle w:val="myHeading1"/>
        <w:rPr>
          <w:rFonts w:ascii="Arial" w:hAnsi="Arial"/>
          <w:i/>
          <w:iCs/>
          <w:color w:val="auto"/>
        </w:rPr>
      </w:pPr>
      <w:r w:rsidRPr="004D407A">
        <w:rPr>
          <w:rFonts w:ascii="Arial" w:hAnsi="Arial"/>
          <w:i/>
          <w:iCs/>
          <w:color w:val="auto"/>
        </w:rPr>
        <w:t>Objective 8: Areas of Intervention</w:t>
      </w:r>
    </w:p>
    <w:p w14:paraId="57823DE7" w14:textId="1C4E09D2" w:rsidR="004C0D29" w:rsidRPr="004D407A" w:rsidRDefault="004C0D29">
      <w:pPr>
        <w:pStyle w:val="BodyText"/>
        <w:numPr>
          <w:ilvl w:val="0"/>
          <w:numId w:val="40"/>
        </w:numPr>
        <w:ind w:left="567" w:hanging="283"/>
        <w:rPr>
          <w:rFonts w:ascii="Arial" w:hAnsi="Arial"/>
        </w:rPr>
      </w:pPr>
      <w:r w:rsidRPr="004D407A">
        <w:rPr>
          <w:rFonts w:ascii="Arial" w:hAnsi="Arial"/>
        </w:rPr>
        <w:t xml:space="preserve">Strengthening of the financial sustainability of the NIS and national immunization system will be one of the most critical challenges of the Bangladesh EPI considering the phase out of GAVI in the final year of the strategy. From 2027 government of the country will be responsible for allocating 100% of financial resources for procurement, import and management of the routine immunization vaccines, as well as vaccines for Supplemental Immunization Activities, if such SIAs are planned by the EPI. </w:t>
      </w:r>
    </w:p>
    <w:p w14:paraId="742A9D51" w14:textId="059146B4" w:rsidR="007B39D5" w:rsidRPr="004D407A" w:rsidRDefault="007B39D5">
      <w:pPr>
        <w:pStyle w:val="BodyText"/>
        <w:numPr>
          <w:ilvl w:val="0"/>
          <w:numId w:val="40"/>
        </w:numPr>
        <w:ind w:left="567" w:hanging="283"/>
        <w:rPr>
          <w:rFonts w:ascii="Arial" w:hAnsi="Arial"/>
        </w:rPr>
      </w:pPr>
      <w:r w:rsidRPr="004D407A">
        <w:rPr>
          <w:rFonts w:ascii="Arial" w:hAnsi="Arial"/>
        </w:rPr>
        <w:t>Considering the gradual increase of resource requirements for implementation of the NIS, the EPI will organize multiple advocacy meetings at different levels (</w:t>
      </w:r>
      <w:proofErr w:type="spellStart"/>
      <w:r w:rsidRPr="004D407A">
        <w:rPr>
          <w:rFonts w:ascii="Arial" w:hAnsi="Arial"/>
        </w:rPr>
        <w:t>MoH</w:t>
      </w:r>
      <w:r w:rsidR="00185219" w:rsidRPr="004D407A">
        <w:rPr>
          <w:rFonts w:ascii="Arial" w:hAnsi="Arial"/>
        </w:rPr>
        <w:t>&amp;FW</w:t>
      </w:r>
      <w:proofErr w:type="spellEnd"/>
      <w:r w:rsidR="00185219" w:rsidRPr="004D407A">
        <w:rPr>
          <w:rFonts w:ascii="Arial" w:hAnsi="Arial"/>
        </w:rPr>
        <w:t>, Ministry of Finances and Ministry of Planning</w:t>
      </w:r>
      <w:r w:rsidRPr="004D407A">
        <w:rPr>
          <w:rFonts w:ascii="Arial" w:hAnsi="Arial"/>
        </w:rPr>
        <w:t>)</w:t>
      </w:r>
      <w:r w:rsidR="00185219" w:rsidRPr="004D407A">
        <w:rPr>
          <w:rFonts w:ascii="Arial" w:hAnsi="Arial"/>
        </w:rPr>
        <w:t xml:space="preserve"> for mobilization of sufficient</w:t>
      </w:r>
      <w:r w:rsidRPr="004D407A">
        <w:rPr>
          <w:rFonts w:ascii="Arial" w:hAnsi="Arial"/>
        </w:rPr>
        <w:t xml:space="preserve"> funding for ensuring financial sustainability of the strategy and implementation of all planned interventions of the NIS. In addition, the EPI will assess the cost benefit economic analysis of comprehensive investment in live-course vaccination and its alignment with the Polio transition plan as well as will carry out feasibility assessment of use of vaccines produced in Bangladesh. In addition, the number of interventions will be implemented for advocating EPI reform and establishment of the separate directorate for EPI. </w:t>
      </w:r>
    </w:p>
    <w:p w14:paraId="60065869" w14:textId="77777777" w:rsidR="0029646F" w:rsidRPr="004D407A" w:rsidRDefault="0029646F" w:rsidP="00E53D03">
      <w:pPr>
        <w:pStyle w:val="Heading2"/>
        <w:rPr>
          <w:color w:val="auto"/>
        </w:rPr>
        <w:sectPr w:rsidR="0029646F" w:rsidRPr="004D407A" w:rsidSect="001339EE">
          <w:headerReference w:type="default" r:id="rId30"/>
          <w:pgSz w:w="11906" w:h="16838" w:code="9"/>
          <w:pgMar w:top="1440" w:right="1157" w:bottom="1440" w:left="1724" w:header="709" w:footer="709" w:gutter="0"/>
          <w:pgNumType w:start="1"/>
          <w:cols w:space="708"/>
          <w:titlePg/>
          <w:docGrid w:linePitch="360"/>
        </w:sectPr>
      </w:pPr>
      <w:bookmarkStart w:id="243" w:name="_Toc489491526"/>
      <w:bookmarkStart w:id="244" w:name="_Toc103004689"/>
    </w:p>
    <w:p w14:paraId="466125BB" w14:textId="455513B3" w:rsidR="00E53D03" w:rsidRPr="004D407A" w:rsidRDefault="00E53D03" w:rsidP="00E53D03">
      <w:pPr>
        <w:pStyle w:val="Heading2"/>
        <w:rPr>
          <w:color w:val="auto"/>
        </w:rPr>
      </w:pPr>
      <w:bookmarkStart w:id="245" w:name="_Toc111910266"/>
      <w:r w:rsidRPr="004D407A">
        <w:rPr>
          <w:color w:val="auto"/>
        </w:rPr>
        <w:lastRenderedPageBreak/>
        <w:t>Alignment with the Regional (</w:t>
      </w:r>
      <w:r w:rsidR="006D1D80" w:rsidRPr="004D407A">
        <w:rPr>
          <w:color w:val="auto"/>
        </w:rPr>
        <w:t>RVIP 2022-2026</w:t>
      </w:r>
      <w:r w:rsidRPr="004D407A">
        <w:rPr>
          <w:color w:val="auto"/>
        </w:rPr>
        <w:t>) and Global Goals (</w:t>
      </w:r>
      <w:r w:rsidR="006D1D80" w:rsidRPr="004D407A">
        <w:rPr>
          <w:color w:val="auto"/>
        </w:rPr>
        <w:t>IA 2030</w:t>
      </w:r>
      <w:r w:rsidRPr="004D407A">
        <w:rPr>
          <w:color w:val="auto"/>
        </w:rPr>
        <w:t>)</w:t>
      </w:r>
      <w:bookmarkEnd w:id="243"/>
      <w:bookmarkEnd w:id="244"/>
      <w:bookmarkEnd w:id="245"/>
    </w:p>
    <w:p w14:paraId="17F148E8" w14:textId="47A3622D" w:rsidR="00E53D03" w:rsidRPr="004D407A" w:rsidRDefault="00D36A70" w:rsidP="00367C1A">
      <w:pPr>
        <w:pStyle w:val="BodyText"/>
        <w:rPr>
          <w:rFonts w:ascii="Arial" w:hAnsi="Arial"/>
        </w:rPr>
      </w:pPr>
      <w:r w:rsidRPr="004D407A">
        <w:rPr>
          <w:rFonts w:ascii="Arial" w:hAnsi="Arial"/>
        </w:rPr>
        <w:t>Bangladesh NIS 2023-2027 is fully aligned with the global and regional goals provided in the main strategic documents</w:t>
      </w:r>
      <w:r w:rsidR="009E66EF" w:rsidRPr="004D407A">
        <w:rPr>
          <w:rFonts w:ascii="Arial" w:hAnsi="Arial"/>
        </w:rPr>
        <w:t xml:space="preserve"> as well as with the national goals and objectives of the health sector program</w:t>
      </w:r>
      <w:r w:rsidRPr="004D407A">
        <w:rPr>
          <w:rFonts w:ascii="Arial" w:hAnsi="Arial"/>
        </w:rPr>
        <w:t xml:space="preserve">. </w:t>
      </w:r>
      <w:r w:rsidR="00E53D03" w:rsidRPr="004D407A">
        <w:rPr>
          <w:rFonts w:ascii="Arial" w:hAnsi="Arial"/>
        </w:rPr>
        <w:t>Alignment of the</w:t>
      </w:r>
      <w:r w:rsidR="00F86A84" w:rsidRPr="004D407A">
        <w:rPr>
          <w:rFonts w:ascii="Arial" w:hAnsi="Arial"/>
        </w:rPr>
        <w:t xml:space="preserve"> NIS</w:t>
      </w:r>
      <w:r w:rsidR="00E53D03" w:rsidRPr="004D407A">
        <w:rPr>
          <w:rFonts w:ascii="Arial" w:hAnsi="Arial"/>
        </w:rPr>
        <w:t xml:space="preserve"> with the Strategic objectives of the 4th Sector Plan and Regional</w:t>
      </w:r>
      <w:r w:rsidR="00F86A84" w:rsidRPr="004D407A">
        <w:rPr>
          <w:rFonts w:ascii="Arial" w:hAnsi="Arial"/>
        </w:rPr>
        <w:t xml:space="preserve"> Vaccine Implementation Plan is highlighted in the </w:t>
      </w:r>
      <w:r w:rsidR="00E53D03" w:rsidRPr="004D407A">
        <w:rPr>
          <w:rFonts w:ascii="Arial" w:hAnsi="Arial"/>
        </w:rPr>
        <w:t>table below:</w:t>
      </w:r>
    </w:p>
    <w:tbl>
      <w:tblPr>
        <w:tblStyle w:val="ListTable3-Accent11"/>
        <w:tblW w:w="5000" w:type="pct"/>
        <w:tblLook w:val="01E0" w:firstRow="1" w:lastRow="1" w:firstColumn="1" w:lastColumn="1" w:noHBand="0" w:noVBand="0"/>
      </w:tblPr>
      <w:tblGrid>
        <w:gridCol w:w="4812"/>
        <w:gridCol w:w="4221"/>
        <w:gridCol w:w="4915"/>
      </w:tblGrid>
      <w:tr w:rsidR="004D407A" w:rsidRPr="004D407A" w14:paraId="179E949B" w14:textId="77777777" w:rsidTr="0037778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25" w:type="pct"/>
            <w:vMerge w:val="restart"/>
            <w:vAlign w:val="center"/>
          </w:tcPr>
          <w:p w14:paraId="31C7B7D1" w14:textId="5F25D9E7" w:rsidR="00D22026" w:rsidRPr="004D407A" w:rsidRDefault="00D22026" w:rsidP="00687A41">
            <w:pPr>
              <w:pStyle w:val="BodyTextT"/>
              <w:rPr>
                <w:color w:val="auto"/>
              </w:rPr>
            </w:pPr>
            <w:r w:rsidRPr="004D407A">
              <w:rPr>
                <w:color w:val="auto"/>
              </w:rPr>
              <w:t>RVIP 2022-2026</w:t>
            </w:r>
          </w:p>
        </w:tc>
        <w:tc>
          <w:tcPr>
            <w:cnfStyle w:val="000100001000" w:firstRow="0" w:lastRow="0" w:firstColumn="0" w:lastColumn="1" w:oddVBand="0" w:evenVBand="0" w:oddHBand="0" w:evenHBand="0" w:firstRowFirstColumn="0" w:firstRowLastColumn="1" w:lastRowFirstColumn="0" w:lastRowLastColumn="0"/>
            <w:tcW w:w="3275" w:type="pct"/>
            <w:gridSpan w:val="2"/>
            <w:vAlign w:val="center"/>
          </w:tcPr>
          <w:p w14:paraId="55E39A2D" w14:textId="77777777" w:rsidR="00D22026" w:rsidRPr="004D407A" w:rsidRDefault="00D22026" w:rsidP="00687A41">
            <w:pPr>
              <w:pStyle w:val="BodyTextT"/>
              <w:rPr>
                <w:color w:val="auto"/>
              </w:rPr>
            </w:pPr>
            <w:r w:rsidRPr="004D407A">
              <w:rPr>
                <w:color w:val="auto"/>
              </w:rPr>
              <w:t xml:space="preserve">National </w:t>
            </w:r>
            <w:proofErr w:type="gramStart"/>
            <w:r w:rsidRPr="004D407A">
              <w:rPr>
                <w:color w:val="auto"/>
              </w:rPr>
              <w:t>Goals  /</w:t>
            </w:r>
            <w:proofErr w:type="gramEnd"/>
            <w:r w:rsidRPr="004D407A">
              <w:rPr>
                <w:color w:val="auto"/>
              </w:rPr>
              <w:t xml:space="preserve"> Objectives</w:t>
            </w:r>
          </w:p>
        </w:tc>
      </w:tr>
      <w:tr w:rsidR="004D407A" w:rsidRPr="004D407A" w14:paraId="14C37771" w14:textId="77777777" w:rsidTr="0037778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25" w:type="pct"/>
            <w:vMerge/>
            <w:vAlign w:val="center"/>
          </w:tcPr>
          <w:p w14:paraId="575FFB5D" w14:textId="77777777" w:rsidR="00D22026" w:rsidRPr="004D407A" w:rsidRDefault="00D22026" w:rsidP="00687A41">
            <w:pPr>
              <w:pStyle w:val="BodyTextT"/>
              <w:rPr>
                <w:color w:val="auto"/>
              </w:rPr>
            </w:pPr>
          </w:p>
        </w:tc>
        <w:tc>
          <w:tcPr>
            <w:cnfStyle w:val="000010000000" w:firstRow="0" w:lastRow="0" w:firstColumn="0" w:lastColumn="0" w:oddVBand="1" w:evenVBand="0" w:oddHBand="0" w:evenHBand="0" w:firstRowFirstColumn="0" w:firstRowLastColumn="0" w:lastRowFirstColumn="0" w:lastRowLastColumn="0"/>
            <w:tcW w:w="1513" w:type="pct"/>
            <w:vAlign w:val="center"/>
          </w:tcPr>
          <w:p w14:paraId="183AFABA" w14:textId="77777777" w:rsidR="00D22026" w:rsidRPr="004D407A" w:rsidRDefault="00D22026" w:rsidP="00687A41">
            <w:pPr>
              <w:pStyle w:val="BodyTextT"/>
              <w:rPr>
                <w:color w:val="auto"/>
              </w:rPr>
            </w:pPr>
            <w:r w:rsidRPr="004D407A">
              <w:rPr>
                <w:color w:val="auto"/>
              </w:rPr>
              <w:t>4</w:t>
            </w:r>
            <w:r w:rsidRPr="004D407A">
              <w:rPr>
                <w:color w:val="auto"/>
                <w:vertAlign w:val="superscript"/>
              </w:rPr>
              <w:t>th</w:t>
            </w:r>
            <w:r w:rsidRPr="004D407A">
              <w:rPr>
                <w:color w:val="auto"/>
              </w:rPr>
              <w:t xml:space="preserve"> HPNSP Strategic Objectives</w:t>
            </w:r>
          </w:p>
        </w:tc>
        <w:tc>
          <w:tcPr>
            <w:cnfStyle w:val="000100001000" w:firstRow="0" w:lastRow="0" w:firstColumn="0" w:lastColumn="1" w:oddVBand="0" w:evenVBand="0" w:oddHBand="0" w:evenHBand="0" w:firstRowFirstColumn="0" w:firstRowLastColumn="1" w:lastRowFirstColumn="0" w:lastRowLastColumn="0"/>
            <w:tcW w:w="1762" w:type="pct"/>
            <w:tcBorders>
              <w:bottom w:val="single" w:sz="4" w:space="0" w:color="5B9BD5" w:themeColor="accent1"/>
            </w:tcBorders>
            <w:vAlign w:val="center"/>
          </w:tcPr>
          <w:p w14:paraId="29B1602D" w14:textId="4A90AC0F" w:rsidR="00D22026" w:rsidRPr="004D407A" w:rsidRDefault="00D22026" w:rsidP="00687A41">
            <w:pPr>
              <w:pStyle w:val="BodyTextT"/>
              <w:rPr>
                <w:color w:val="auto"/>
              </w:rPr>
            </w:pPr>
            <w:r w:rsidRPr="004D407A">
              <w:rPr>
                <w:color w:val="auto"/>
              </w:rPr>
              <w:t>NIS 2023-2027 Objectives and Sub-objectives</w:t>
            </w:r>
          </w:p>
        </w:tc>
      </w:tr>
      <w:tr w:rsidR="004D407A" w:rsidRPr="004D407A" w14:paraId="2F36DC61" w14:textId="77777777" w:rsidTr="0037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pct"/>
            <w:vAlign w:val="center"/>
          </w:tcPr>
          <w:p w14:paraId="401937A8" w14:textId="148E35F4" w:rsidR="00D22026" w:rsidRPr="004D407A" w:rsidRDefault="00D22026" w:rsidP="00687A41">
            <w:pPr>
              <w:pStyle w:val="BodyTextT"/>
              <w:rPr>
                <w:b w:val="0"/>
                <w:bCs/>
              </w:rPr>
            </w:pPr>
            <w:r w:rsidRPr="004D407A">
              <w:rPr>
                <w:b w:val="0"/>
                <w:bCs/>
              </w:rPr>
              <w:t xml:space="preserve">Reducing overall mortality and morbidity from VPD for </w:t>
            </w:r>
            <w:proofErr w:type="gramStart"/>
            <w:r w:rsidRPr="004D407A">
              <w:rPr>
                <w:b w:val="0"/>
                <w:bCs/>
              </w:rPr>
              <w:t>all across</w:t>
            </w:r>
            <w:proofErr w:type="gramEnd"/>
            <w:r w:rsidRPr="004D407A">
              <w:rPr>
                <w:b w:val="0"/>
                <w:bCs/>
              </w:rPr>
              <w:t xml:space="preserve"> the life course</w:t>
            </w:r>
          </w:p>
        </w:tc>
        <w:tc>
          <w:tcPr>
            <w:cnfStyle w:val="000010000000" w:firstRow="0" w:lastRow="0" w:firstColumn="0" w:lastColumn="0" w:oddVBand="1" w:evenVBand="0" w:oddHBand="0" w:evenHBand="0" w:firstRowFirstColumn="0" w:firstRowLastColumn="0" w:lastRowFirstColumn="0" w:lastRowLastColumn="0"/>
            <w:tcW w:w="1513" w:type="pct"/>
            <w:vMerge w:val="restart"/>
            <w:vAlign w:val="center"/>
          </w:tcPr>
          <w:p w14:paraId="2278F283" w14:textId="77777777" w:rsidR="00D22026" w:rsidRPr="004D407A" w:rsidRDefault="00D22026" w:rsidP="00687A41">
            <w:pPr>
              <w:pStyle w:val="BodyTextT"/>
            </w:pPr>
            <w:r w:rsidRPr="004D407A">
              <w:rPr>
                <w:b/>
              </w:rPr>
              <w:t>Strategic Objective 7:</w:t>
            </w:r>
            <w:r w:rsidRPr="004D407A">
              <w:t xml:space="preserve"> To improve equitable access to and Utilization of Quality Health, Nutrition and Family Planning Services </w:t>
            </w:r>
          </w:p>
        </w:tc>
        <w:tc>
          <w:tcPr>
            <w:cnfStyle w:val="000100000000" w:firstRow="0" w:lastRow="0" w:firstColumn="0" w:lastColumn="1" w:oddVBand="0" w:evenVBand="0" w:oddHBand="0" w:evenHBand="0" w:firstRowFirstColumn="0" w:firstRowLastColumn="0" w:lastRowFirstColumn="0" w:lastRowLastColumn="0"/>
            <w:tcW w:w="1762" w:type="pct"/>
            <w:tcBorders>
              <w:left w:val="single" w:sz="4" w:space="0" w:color="5B9BD5" w:themeColor="accent1"/>
              <w:bottom w:val="dashed" w:sz="4" w:space="0" w:color="5B9BD5" w:themeColor="accent1"/>
            </w:tcBorders>
            <w:vAlign w:val="center"/>
          </w:tcPr>
          <w:p w14:paraId="14FC5433" w14:textId="77777777" w:rsidR="00D22026" w:rsidRPr="004D407A" w:rsidRDefault="00D22026" w:rsidP="00687A41">
            <w:pPr>
              <w:pStyle w:val="BodyTextT"/>
              <w:rPr>
                <w:szCs w:val="20"/>
              </w:rPr>
            </w:pPr>
            <w:r w:rsidRPr="004D407A">
              <w:rPr>
                <w:szCs w:val="20"/>
              </w:rPr>
              <w:t>Objective 3:</w:t>
            </w:r>
            <w:r w:rsidRPr="004D407A">
              <w:rPr>
                <w:b w:val="0"/>
                <w:szCs w:val="20"/>
              </w:rPr>
              <w:t xml:space="preserve"> Maintain polio free status</w:t>
            </w:r>
          </w:p>
        </w:tc>
      </w:tr>
      <w:tr w:rsidR="004D407A" w:rsidRPr="004D407A" w14:paraId="6C9BDFEE" w14:textId="77777777" w:rsidTr="00377784">
        <w:tc>
          <w:tcPr>
            <w:cnfStyle w:val="001000000000" w:firstRow="0" w:lastRow="0" w:firstColumn="1" w:lastColumn="0" w:oddVBand="0" w:evenVBand="0" w:oddHBand="0" w:evenHBand="0" w:firstRowFirstColumn="0" w:firstRowLastColumn="0" w:lastRowFirstColumn="0" w:lastRowLastColumn="0"/>
            <w:tcW w:w="1725" w:type="pct"/>
            <w:vMerge w:val="restart"/>
            <w:vAlign w:val="center"/>
          </w:tcPr>
          <w:p w14:paraId="6971BD60" w14:textId="77777777" w:rsidR="00D22026" w:rsidRPr="004D407A" w:rsidRDefault="00D22026" w:rsidP="00D22026">
            <w:pPr>
              <w:pStyle w:val="BodyTextT"/>
              <w:rPr>
                <w:b w:val="0"/>
                <w:bCs/>
              </w:rPr>
            </w:pPr>
            <w:r w:rsidRPr="004D407A">
              <w:rPr>
                <w:b w:val="0"/>
                <w:bCs/>
              </w:rPr>
              <w:t>Pursuing elimination and control goals regional priorities:</w:t>
            </w:r>
          </w:p>
          <w:p w14:paraId="5075C427" w14:textId="77777777" w:rsidR="00D22026" w:rsidRPr="004D407A" w:rsidRDefault="00D22026" w:rsidP="00526CCA">
            <w:pPr>
              <w:pStyle w:val="BodyTextT"/>
              <w:numPr>
                <w:ilvl w:val="0"/>
                <w:numId w:val="15"/>
              </w:numPr>
              <w:ind w:left="172" w:hanging="172"/>
              <w:rPr>
                <w:b w:val="0"/>
                <w:bCs/>
              </w:rPr>
            </w:pPr>
            <w:r w:rsidRPr="004D407A">
              <w:rPr>
                <w:b w:val="0"/>
                <w:bCs/>
              </w:rPr>
              <w:t>Achieving measles and rubella elimination</w:t>
            </w:r>
          </w:p>
          <w:p w14:paraId="4EE457CD" w14:textId="77777777" w:rsidR="00D22026" w:rsidRPr="004D407A" w:rsidRDefault="00D22026" w:rsidP="00526CCA">
            <w:pPr>
              <w:pStyle w:val="BodyTextT"/>
              <w:numPr>
                <w:ilvl w:val="0"/>
                <w:numId w:val="15"/>
              </w:numPr>
              <w:ind w:left="172" w:hanging="172"/>
              <w:rPr>
                <w:b w:val="0"/>
                <w:bCs/>
              </w:rPr>
            </w:pPr>
            <w:r w:rsidRPr="004D407A">
              <w:rPr>
                <w:b w:val="0"/>
                <w:bCs/>
              </w:rPr>
              <w:t>Sustaining polio free status</w:t>
            </w:r>
          </w:p>
          <w:p w14:paraId="2929557B" w14:textId="77777777" w:rsidR="00D22026" w:rsidRPr="004D407A" w:rsidRDefault="00D22026" w:rsidP="00526CCA">
            <w:pPr>
              <w:pStyle w:val="BodyTextT"/>
              <w:numPr>
                <w:ilvl w:val="0"/>
                <w:numId w:val="15"/>
              </w:numPr>
              <w:ind w:left="172" w:hanging="172"/>
              <w:rPr>
                <w:b w:val="0"/>
                <w:bCs/>
              </w:rPr>
            </w:pPr>
            <w:r w:rsidRPr="004D407A">
              <w:rPr>
                <w:b w:val="0"/>
                <w:bCs/>
              </w:rPr>
              <w:t>Maintain MNTE status</w:t>
            </w:r>
          </w:p>
          <w:p w14:paraId="1063AC77" w14:textId="3509368D" w:rsidR="00D22026" w:rsidRPr="004D407A" w:rsidRDefault="00D22026" w:rsidP="00526CCA">
            <w:pPr>
              <w:pStyle w:val="BodyTextT"/>
              <w:numPr>
                <w:ilvl w:val="0"/>
                <w:numId w:val="15"/>
              </w:numPr>
              <w:ind w:left="172" w:hanging="172"/>
              <w:rPr>
                <w:b w:val="0"/>
                <w:bCs/>
              </w:rPr>
            </w:pPr>
            <w:r w:rsidRPr="004D407A">
              <w:rPr>
                <w:b w:val="0"/>
                <w:bCs/>
              </w:rPr>
              <w:t>Achieving Hepatitis B control</w:t>
            </w:r>
          </w:p>
        </w:tc>
        <w:tc>
          <w:tcPr>
            <w:cnfStyle w:val="000010000000" w:firstRow="0" w:lastRow="0" w:firstColumn="0" w:lastColumn="0" w:oddVBand="1" w:evenVBand="0" w:oddHBand="0" w:evenHBand="0" w:firstRowFirstColumn="0" w:firstRowLastColumn="0" w:lastRowFirstColumn="0" w:lastRowLastColumn="0"/>
            <w:tcW w:w="1513" w:type="pct"/>
            <w:vMerge/>
            <w:vAlign w:val="center"/>
          </w:tcPr>
          <w:p w14:paraId="5ADC1530" w14:textId="77777777" w:rsidR="00D22026" w:rsidRPr="004D407A" w:rsidRDefault="00D22026" w:rsidP="00687A41">
            <w:pPr>
              <w:pStyle w:val="BodyTextT"/>
              <w:rPr>
                <w:szCs w:val="20"/>
              </w:rPr>
            </w:pPr>
          </w:p>
        </w:tc>
        <w:tc>
          <w:tcPr>
            <w:cnfStyle w:val="000100000000" w:firstRow="0" w:lastRow="0" w:firstColumn="0" w:lastColumn="1" w:oddVBand="0" w:evenVBand="0" w:oddHBand="0" w:evenHBand="0" w:firstRowFirstColumn="0" w:firstRowLastColumn="0" w:lastRowFirstColumn="0" w:lastRowLastColumn="0"/>
            <w:tcW w:w="1762" w:type="pct"/>
            <w:tcBorders>
              <w:top w:val="dashed" w:sz="4" w:space="0" w:color="5B9BD5" w:themeColor="accent1"/>
              <w:left w:val="single" w:sz="4" w:space="0" w:color="5B9BD5" w:themeColor="accent1"/>
              <w:bottom w:val="dashed" w:sz="4" w:space="0" w:color="5B9BD5" w:themeColor="accent1"/>
            </w:tcBorders>
            <w:vAlign w:val="center"/>
          </w:tcPr>
          <w:p w14:paraId="4825C8F9" w14:textId="0F9A5FED" w:rsidR="00D22026" w:rsidRPr="004D407A" w:rsidRDefault="00D22026" w:rsidP="00687A41">
            <w:pPr>
              <w:pStyle w:val="BodyTextT"/>
              <w:rPr>
                <w:szCs w:val="20"/>
              </w:rPr>
            </w:pPr>
            <w:r w:rsidRPr="004D407A">
              <w:rPr>
                <w:szCs w:val="20"/>
              </w:rPr>
              <w:t>Objective 2:</w:t>
            </w:r>
            <w:r w:rsidRPr="004D407A">
              <w:rPr>
                <w:b w:val="0"/>
                <w:szCs w:val="20"/>
              </w:rPr>
              <w:t xml:space="preserve"> T</w:t>
            </w:r>
            <w:r w:rsidR="0076383E" w:rsidRPr="004D407A">
              <w:rPr>
                <w:b w:val="0"/>
                <w:szCs w:val="20"/>
              </w:rPr>
              <w:t>d</w:t>
            </w:r>
            <w:r w:rsidRPr="004D407A">
              <w:rPr>
                <w:b w:val="0"/>
                <w:szCs w:val="20"/>
              </w:rPr>
              <w:t xml:space="preserve">5 coverage among women of </w:t>
            </w:r>
            <w:r w:rsidR="003D238F" w:rsidRPr="004D407A">
              <w:rPr>
                <w:b w:val="0"/>
                <w:szCs w:val="20"/>
              </w:rPr>
              <w:t>childbearing</w:t>
            </w:r>
            <w:r w:rsidRPr="004D407A">
              <w:rPr>
                <w:b w:val="0"/>
                <w:szCs w:val="20"/>
              </w:rPr>
              <w:t xml:space="preserve"> age to be reached at least </w:t>
            </w:r>
            <w:r w:rsidR="0076383E" w:rsidRPr="004D407A">
              <w:rPr>
                <w:b w:val="0"/>
                <w:szCs w:val="20"/>
              </w:rPr>
              <w:t>85</w:t>
            </w:r>
            <w:r w:rsidRPr="004D407A">
              <w:rPr>
                <w:b w:val="0"/>
                <w:szCs w:val="20"/>
              </w:rPr>
              <w:t xml:space="preserve">% at national level and </w:t>
            </w:r>
            <w:r w:rsidR="0076383E" w:rsidRPr="004D407A">
              <w:rPr>
                <w:b w:val="0"/>
                <w:szCs w:val="20"/>
              </w:rPr>
              <w:t>80</w:t>
            </w:r>
            <w:r w:rsidRPr="004D407A">
              <w:rPr>
                <w:b w:val="0"/>
                <w:szCs w:val="20"/>
              </w:rPr>
              <w:t>% at each district</w:t>
            </w:r>
          </w:p>
        </w:tc>
      </w:tr>
      <w:tr w:rsidR="004D407A" w:rsidRPr="004D407A" w14:paraId="0C6EC628" w14:textId="77777777" w:rsidTr="0037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pct"/>
            <w:vMerge/>
            <w:vAlign w:val="center"/>
          </w:tcPr>
          <w:p w14:paraId="6F320EA5" w14:textId="77777777" w:rsidR="00D22026" w:rsidRPr="004D407A" w:rsidRDefault="00D22026" w:rsidP="00687A41">
            <w:pPr>
              <w:pStyle w:val="BodyTextT"/>
              <w:rPr>
                <w:rFonts w:cs="MinionPro-Regular"/>
                <w:b w:val="0"/>
                <w:bCs/>
              </w:rPr>
            </w:pPr>
          </w:p>
        </w:tc>
        <w:tc>
          <w:tcPr>
            <w:cnfStyle w:val="000010000000" w:firstRow="0" w:lastRow="0" w:firstColumn="0" w:lastColumn="0" w:oddVBand="1" w:evenVBand="0" w:oddHBand="0" w:evenHBand="0" w:firstRowFirstColumn="0" w:firstRowLastColumn="0" w:lastRowFirstColumn="0" w:lastRowLastColumn="0"/>
            <w:tcW w:w="1513" w:type="pct"/>
            <w:vMerge/>
            <w:vAlign w:val="center"/>
          </w:tcPr>
          <w:p w14:paraId="6E68BBFC" w14:textId="77777777" w:rsidR="00D22026" w:rsidRPr="004D407A" w:rsidRDefault="00D22026" w:rsidP="00687A41">
            <w:pPr>
              <w:pStyle w:val="BodyTextT"/>
              <w:rPr>
                <w:szCs w:val="20"/>
              </w:rPr>
            </w:pPr>
          </w:p>
        </w:tc>
        <w:tc>
          <w:tcPr>
            <w:cnfStyle w:val="000100000000" w:firstRow="0" w:lastRow="0" w:firstColumn="0" w:lastColumn="1" w:oddVBand="0" w:evenVBand="0" w:oddHBand="0" w:evenHBand="0" w:firstRowFirstColumn="0" w:firstRowLastColumn="0" w:lastRowFirstColumn="0" w:lastRowLastColumn="0"/>
            <w:tcW w:w="1762" w:type="pct"/>
            <w:tcBorders>
              <w:top w:val="dashed" w:sz="4" w:space="0" w:color="5B9BD5" w:themeColor="accent1"/>
              <w:left w:val="single" w:sz="4" w:space="0" w:color="5B9BD5" w:themeColor="accent1"/>
              <w:bottom w:val="dashed" w:sz="4" w:space="0" w:color="5B9BD5" w:themeColor="accent1"/>
            </w:tcBorders>
            <w:vAlign w:val="center"/>
          </w:tcPr>
          <w:p w14:paraId="4300B00D" w14:textId="77777777" w:rsidR="00D22026" w:rsidRPr="004D407A" w:rsidRDefault="00D22026" w:rsidP="00687A41">
            <w:pPr>
              <w:pStyle w:val="BodyTextT"/>
              <w:rPr>
                <w:szCs w:val="20"/>
              </w:rPr>
            </w:pPr>
            <w:r w:rsidRPr="004D407A">
              <w:rPr>
                <w:szCs w:val="20"/>
              </w:rPr>
              <w:t>Objective 3:</w:t>
            </w:r>
            <w:r w:rsidRPr="004D407A">
              <w:rPr>
                <w:b w:val="0"/>
                <w:szCs w:val="20"/>
              </w:rPr>
              <w:t xml:space="preserve"> Maintain MNTE Status</w:t>
            </w:r>
          </w:p>
        </w:tc>
      </w:tr>
      <w:tr w:rsidR="004D407A" w:rsidRPr="004D407A" w14:paraId="1F5BBA58" w14:textId="77777777" w:rsidTr="00377784">
        <w:tc>
          <w:tcPr>
            <w:cnfStyle w:val="001000000000" w:firstRow="0" w:lastRow="0" w:firstColumn="1" w:lastColumn="0" w:oddVBand="0" w:evenVBand="0" w:oddHBand="0" w:evenHBand="0" w:firstRowFirstColumn="0" w:firstRowLastColumn="0" w:lastRowFirstColumn="0" w:lastRowLastColumn="0"/>
            <w:tcW w:w="1725" w:type="pct"/>
            <w:vMerge/>
            <w:vAlign w:val="center"/>
          </w:tcPr>
          <w:p w14:paraId="7CA1DBF0" w14:textId="77777777" w:rsidR="00D22026" w:rsidRPr="004D407A" w:rsidRDefault="00D22026" w:rsidP="00687A41">
            <w:pPr>
              <w:pStyle w:val="BodyTextT"/>
              <w:rPr>
                <w:rFonts w:cs="MinionPro-Regular"/>
                <w:b w:val="0"/>
                <w:bCs/>
              </w:rPr>
            </w:pPr>
          </w:p>
        </w:tc>
        <w:tc>
          <w:tcPr>
            <w:cnfStyle w:val="000010000000" w:firstRow="0" w:lastRow="0" w:firstColumn="0" w:lastColumn="0" w:oddVBand="1" w:evenVBand="0" w:oddHBand="0" w:evenHBand="0" w:firstRowFirstColumn="0" w:firstRowLastColumn="0" w:lastRowFirstColumn="0" w:lastRowLastColumn="0"/>
            <w:tcW w:w="1513" w:type="pct"/>
            <w:vMerge/>
            <w:vAlign w:val="center"/>
          </w:tcPr>
          <w:p w14:paraId="687F845D" w14:textId="77777777" w:rsidR="00D22026" w:rsidRPr="004D407A" w:rsidRDefault="00D22026" w:rsidP="00687A41">
            <w:pPr>
              <w:pStyle w:val="BodyTextT"/>
              <w:rPr>
                <w:szCs w:val="20"/>
              </w:rPr>
            </w:pPr>
          </w:p>
        </w:tc>
        <w:tc>
          <w:tcPr>
            <w:cnfStyle w:val="000100000000" w:firstRow="0" w:lastRow="0" w:firstColumn="0" w:lastColumn="1" w:oddVBand="0" w:evenVBand="0" w:oddHBand="0" w:evenHBand="0" w:firstRowFirstColumn="0" w:firstRowLastColumn="0" w:lastRowFirstColumn="0" w:lastRowLastColumn="0"/>
            <w:tcW w:w="1762" w:type="pct"/>
            <w:tcBorders>
              <w:top w:val="dashed" w:sz="4" w:space="0" w:color="5B9BD5" w:themeColor="accent1"/>
              <w:left w:val="single" w:sz="4" w:space="0" w:color="5B9BD5" w:themeColor="accent1"/>
              <w:bottom w:val="single" w:sz="4" w:space="0" w:color="5B9BD5" w:themeColor="accent1"/>
            </w:tcBorders>
            <w:vAlign w:val="center"/>
          </w:tcPr>
          <w:p w14:paraId="0E8E2983" w14:textId="77777777" w:rsidR="00D22026" w:rsidRPr="004D407A" w:rsidRDefault="00D22026" w:rsidP="00687A41">
            <w:pPr>
              <w:pStyle w:val="BodyTextT"/>
              <w:rPr>
                <w:bCs/>
                <w:szCs w:val="20"/>
              </w:rPr>
            </w:pPr>
            <w:r w:rsidRPr="004D407A">
              <w:rPr>
                <w:szCs w:val="20"/>
              </w:rPr>
              <w:t>Objective 4:</w:t>
            </w:r>
            <w:r w:rsidRPr="004D407A">
              <w:rPr>
                <w:b w:val="0"/>
                <w:szCs w:val="20"/>
              </w:rPr>
              <w:t xml:space="preserve"> Elimination of Measles, Rubella and CRS by 2020</w:t>
            </w:r>
          </w:p>
          <w:p w14:paraId="7F05DF7D" w14:textId="5EA61B40" w:rsidR="0076383E" w:rsidRPr="004D407A" w:rsidRDefault="0076383E" w:rsidP="00687A41">
            <w:pPr>
              <w:pStyle w:val="BodyTextT"/>
              <w:rPr>
                <w:szCs w:val="20"/>
              </w:rPr>
            </w:pPr>
            <w:r w:rsidRPr="004D407A">
              <w:rPr>
                <w:szCs w:val="20"/>
              </w:rPr>
              <w:t>Objective 5:</w:t>
            </w:r>
            <w:r w:rsidRPr="004D407A">
              <w:rPr>
                <w:b w:val="0"/>
                <w:bCs/>
                <w:szCs w:val="20"/>
              </w:rPr>
              <w:t xml:space="preserve"> Maintain </w:t>
            </w:r>
            <w:proofErr w:type="spellStart"/>
            <w:r w:rsidRPr="004D407A">
              <w:rPr>
                <w:b w:val="0"/>
                <w:bCs/>
                <w:szCs w:val="20"/>
              </w:rPr>
              <w:t>HepB</w:t>
            </w:r>
            <w:proofErr w:type="spellEnd"/>
            <w:r w:rsidRPr="004D407A">
              <w:rPr>
                <w:b w:val="0"/>
                <w:bCs/>
                <w:szCs w:val="20"/>
              </w:rPr>
              <w:t xml:space="preserve"> control through immunization</w:t>
            </w:r>
          </w:p>
        </w:tc>
      </w:tr>
      <w:tr w:rsidR="004D407A" w:rsidRPr="004D407A" w14:paraId="1F7C614C" w14:textId="77777777" w:rsidTr="0037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pct"/>
            <w:vMerge w:val="restart"/>
            <w:vAlign w:val="center"/>
          </w:tcPr>
          <w:p w14:paraId="6B124B1D" w14:textId="28C5BDCD" w:rsidR="00D22026" w:rsidRPr="004D407A" w:rsidRDefault="00D22026" w:rsidP="00687A41">
            <w:pPr>
              <w:pStyle w:val="BodyTextT"/>
              <w:rPr>
                <w:rFonts w:cs="MinionPro-Regular"/>
                <w:b w:val="0"/>
                <w:bCs/>
              </w:rPr>
            </w:pPr>
            <w:r w:rsidRPr="004D407A">
              <w:rPr>
                <w:rFonts w:cs="MinionPro-Regular"/>
                <w:b w:val="0"/>
                <w:bCs/>
              </w:rPr>
              <w:t>Leaving no one behind by increasing equitable access and use of new and underused vaccines</w:t>
            </w:r>
          </w:p>
        </w:tc>
        <w:tc>
          <w:tcPr>
            <w:cnfStyle w:val="000010000000" w:firstRow="0" w:lastRow="0" w:firstColumn="0" w:lastColumn="0" w:oddVBand="1" w:evenVBand="0" w:oddHBand="0" w:evenHBand="0" w:firstRowFirstColumn="0" w:firstRowLastColumn="0" w:lastRowFirstColumn="0" w:lastRowLastColumn="0"/>
            <w:tcW w:w="1513" w:type="pct"/>
            <w:vMerge/>
            <w:vAlign w:val="center"/>
          </w:tcPr>
          <w:p w14:paraId="37D894E4" w14:textId="77777777" w:rsidR="00D22026" w:rsidRPr="004D407A" w:rsidRDefault="00D22026" w:rsidP="00687A41">
            <w:pPr>
              <w:pStyle w:val="BodyTextT"/>
            </w:pPr>
          </w:p>
        </w:tc>
        <w:tc>
          <w:tcPr>
            <w:cnfStyle w:val="000100000000" w:firstRow="0" w:lastRow="0" w:firstColumn="0" w:lastColumn="1" w:oddVBand="0" w:evenVBand="0" w:oddHBand="0" w:evenHBand="0" w:firstRowFirstColumn="0" w:firstRowLastColumn="0" w:lastRowFirstColumn="0" w:lastRowLastColumn="0"/>
            <w:tcW w:w="1762" w:type="pct"/>
            <w:tcBorders>
              <w:left w:val="single" w:sz="4" w:space="0" w:color="5B9BD5" w:themeColor="accent1"/>
              <w:bottom w:val="dashed" w:sz="4" w:space="0" w:color="5B9BD5" w:themeColor="accent1"/>
            </w:tcBorders>
            <w:vAlign w:val="center"/>
          </w:tcPr>
          <w:p w14:paraId="332659BE" w14:textId="77777777" w:rsidR="00D22026" w:rsidRPr="004D407A" w:rsidRDefault="00D22026" w:rsidP="00687A41">
            <w:pPr>
              <w:pStyle w:val="BodyTextT"/>
              <w:rPr>
                <w:bCs/>
                <w:szCs w:val="20"/>
              </w:rPr>
            </w:pPr>
            <w:r w:rsidRPr="004D407A">
              <w:rPr>
                <w:szCs w:val="20"/>
              </w:rPr>
              <w:t>Objective 1:</w:t>
            </w:r>
            <w:r w:rsidRPr="004D407A">
              <w:rPr>
                <w:b w:val="0"/>
                <w:szCs w:val="20"/>
              </w:rPr>
              <w:t xml:space="preserve"> Improved full immunization coverage among children under one and CBAW</w:t>
            </w:r>
          </w:p>
          <w:p w14:paraId="0AD4C453" w14:textId="40BF1B11" w:rsidR="00326ACB" w:rsidRPr="004D407A" w:rsidRDefault="00326ACB" w:rsidP="00687A41">
            <w:pPr>
              <w:pStyle w:val="BodyTextT"/>
              <w:rPr>
                <w:b w:val="0"/>
                <w:szCs w:val="20"/>
              </w:rPr>
            </w:pPr>
            <w:r w:rsidRPr="004D407A">
              <w:rPr>
                <w:b w:val="0"/>
                <w:szCs w:val="20"/>
              </w:rPr>
              <w:t>Strategic intervention: Achieve target coverage rates of zero-dose children and missed communities with all RI vaccines</w:t>
            </w:r>
          </w:p>
        </w:tc>
      </w:tr>
      <w:tr w:rsidR="004D407A" w:rsidRPr="004D407A" w14:paraId="433B8049" w14:textId="77777777" w:rsidTr="00377784">
        <w:tc>
          <w:tcPr>
            <w:cnfStyle w:val="001000000000" w:firstRow="0" w:lastRow="0" w:firstColumn="1" w:lastColumn="0" w:oddVBand="0" w:evenVBand="0" w:oddHBand="0" w:evenHBand="0" w:firstRowFirstColumn="0" w:firstRowLastColumn="0" w:lastRowFirstColumn="0" w:lastRowLastColumn="0"/>
            <w:tcW w:w="1725" w:type="pct"/>
            <w:vMerge/>
            <w:vAlign w:val="center"/>
          </w:tcPr>
          <w:p w14:paraId="72C1932D" w14:textId="77777777" w:rsidR="00D22026" w:rsidRPr="004D407A" w:rsidRDefault="00D22026" w:rsidP="00687A41">
            <w:pPr>
              <w:pStyle w:val="BodyTextT"/>
              <w:rPr>
                <w:rFonts w:cs="MinionPro-Regular"/>
              </w:rPr>
            </w:pPr>
          </w:p>
        </w:tc>
        <w:tc>
          <w:tcPr>
            <w:cnfStyle w:val="000010000000" w:firstRow="0" w:lastRow="0" w:firstColumn="0" w:lastColumn="0" w:oddVBand="1" w:evenVBand="0" w:oddHBand="0" w:evenHBand="0" w:firstRowFirstColumn="0" w:firstRowLastColumn="0" w:lastRowFirstColumn="0" w:lastRowLastColumn="0"/>
            <w:tcW w:w="1513" w:type="pct"/>
            <w:vMerge/>
            <w:vAlign w:val="center"/>
          </w:tcPr>
          <w:p w14:paraId="073823E8" w14:textId="77777777" w:rsidR="00D22026" w:rsidRPr="004D407A" w:rsidRDefault="00D22026" w:rsidP="00687A41">
            <w:pPr>
              <w:pStyle w:val="BodyTextT"/>
            </w:pPr>
          </w:p>
        </w:tc>
        <w:tc>
          <w:tcPr>
            <w:cnfStyle w:val="000100000000" w:firstRow="0" w:lastRow="0" w:firstColumn="0" w:lastColumn="1" w:oddVBand="0" w:evenVBand="0" w:oddHBand="0" w:evenHBand="0" w:firstRowFirstColumn="0" w:firstRowLastColumn="0" w:lastRowFirstColumn="0" w:lastRowLastColumn="0"/>
            <w:tcW w:w="1762" w:type="pct"/>
            <w:tcBorders>
              <w:top w:val="dashed" w:sz="4" w:space="0" w:color="5B9BD5" w:themeColor="accent1"/>
              <w:left w:val="single" w:sz="4" w:space="0" w:color="5B9BD5" w:themeColor="accent1"/>
              <w:bottom w:val="dashed" w:sz="4" w:space="0" w:color="5B9BD5" w:themeColor="accent1"/>
            </w:tcBorders>
            <w:vAlign w:val="center"/>
          </w:tcPr>
          <w:p w14:paraId="0FC63DBF" w14:textId="77777777" w:rsidR="00D22026" w:rsidRPr="004D407A" w:rsidRDefault="00D22026" w:rsidP="00687A41">
            <w:pPr>
              <w:pStyle w:val="BodyTextT"/>
              <w:rPr>
                <w:szCs w:val="20"/>
              </w:rPr>
            </w:pPr>
            <w:r w:rsidRPr="004D407A">
              <w:rPr>
                <w:i/>
                <w:szCs w:val="20"/>
              </w:rPr>
              <w:t>Sub-objective 1.1:</w:t>
            </w:r>
            <w:r w:rsidRPr="004D407A">
              <w:rPr>
                <w:b w:val="0"/>
                <w:szCs w:val="20"/>
              </w:rPr>
              <w:t xml:space="preserve"> At least 95% full immunization coverage among under one at national level and 90% full immunization coverage at each district level</w:t>
            </w:r>
          </w:p>
        </w:tc>
      </w:tr>
      <w:tr w:rsidR="004D407A" w:rsidRPr="004D407A" w14:paraId="472B5815" w14:textId="77777777" w:rsidTr="0037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pct"/>
            <w:vMerge/>
            <w:vAlign w:val="center"/>
          </w:tcPr>
          <w:p w14:paraId="2F185DF2" w14:textId="77777777" w:rsidR="00D22026" w:rsidRPr="004D407A" w:rsidRDefault="00D22026" w:rsidP="00687A41">
            <w:pPr>
              <w:pStyle w:val="BodyTextT"/>
              <w:rPr>
                <w:rFonts w:cs="MinionPro-Regular"/>
              </w:rPr>
            </w:pPr>
          </w:p>
        </w:tc>
        <w:tc>
          <w:tcPr>
            <w:cnfStyle w:val="000010000000" w:firstRow="0" w:lastRow="0" w:firstColumn="0" w:lastColumn="0" w:oddVBand="1" w:evenVBand="0" w:oddHBand="0" w:evenHBand="0" w:firstRowFirstColumn="0" w:firstRowLastColumn="0" w:lastRowFirstColumn="0" w:lastRowLastColumn="0"/>
            <w:tcW w:w="1513" w:type="pct"/>
            <w:vMerge/>
            <w:vAlign w:val="center"/>
          </w:tcPr>
          <w:p w14:paraId="54D8CAE1" w14:textId="77777777" w:rsidR="00D22026" w:rsidRPr="004D407A" w:rsidRDefault="00D22026" w:rsidP="00687A41">
            <w:pPr>
              <w:pStyle w:val="BodyTextT"/>
            </w:pPr>
          </w:p>
        </w:tc>
        <w:tc>
          <w:tcPr>
            <w:cnfStyle w:val="000100000000" w:firstRow="0" w:lastRow="0" w:firstColumn="0" w:lastColumn="1" w:oddVBand="0" w:evenVBand="0" w:oddHBand="0" w:evenHBand="0" w:firstRowFirstColumn="0" w:firstRowLastColumn="0" w:lastRowFirstColumn="0" w:lastRowLastColumn="0"/>
            <w:tcW w:w="1762" w:type="pct"/>
            <w:tcBorders>
              <w:top w:val="dashed" w:sz="4" w:space="0" w:color="5B9BD5" w:themeColor="accent1"/>
              <w:left w:val="single" w:sz="4" w:space="0" w:color="5B9BD5" w:themeColor="accent1"/>
              <w:bottom w:val="dashed" w:sz="4" w:space="0" w:color="5B9BD5" w:themeColor="accent1"/>
            </w:tcBorders>
            <w:vAlign w:val="center"/>
          </w:tcPr>
          <w:p w14:paraId="1BEBFBE6" w14:textId="77777777" w:rsidR="00D22026" w:rsidRPr="004D407A" w:rsidRDefault="00D22026" w:rsidP="00687A41">
            <w:pPr>
              <w:pStyle w:val="BodyTextT"/>
              <w:rPr>
                <w:b w:val="0"/>
                <w:szCs w:val="20"/>
              </w:rPr>
            </w:pPr>
            <w:r w:rsidRPr="004D407A">
              <w:rPr>
                <w:i/>
                <w:szCs w:val="20"/>
              </w:rPr>
              <w:t>Sub-objective 1.2:</w:t>
            </w:r>
            <w:r w:rsidRPr="004D407A">
              <w:rPr>
                <w:b w:val="0"/>
                <w:szCs w:val="20"/>
              </w:rPr>
              <w:t xml:space="preserve"> TT5 coverage among CBAW reached at least 80% at national level and 75% at each district level</w:t>
            </w:r>
          </w:p>
        </w:tc>
      </w:tr>
      <w:tr w:rsidR="004D407A" w:rsidRPr="004D407A" w14:paraId="75A962D7" w14:textId="77777777" w:rsidTr="0037778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25" w:type="pct"/>
            <w:vMerge/>
            <w:vAlign w:val="center"/>
          </w:tcPr>
          <w:p w14:paraId="592763FF" w14:textId="77777777" w:rsidR="00D22026" w:rsidRPr="004D407A" w:rsidRDefault="00D22026" w:rsidP="00687A41">
            <w:pPr>
              <w:pStyle w:val="BodyTextT"/>
              <w:rPr>
                <w:rFonts w:cs="MinionPro-Regular"/>
              </w:rPr>
            </w:pPr>
          </w:p>
        </w:tc>
        <w:tc>
          <w:tcPr>
            <w:cnfStyle w:val="000010000000" w:firstRow="0" w:lastRow="0" w:firstColumn="0" w:lastColumn="0" w:oddVBand="1" w:evenVBand="0" w:oddHBand="0" w:evenHBand="0" w:firstRowFirstColumn="0" w:firstRowLastColumn="0" w:lastRowFirstColumn="0" w:lastRowLastColumn="0"/>
            <w:tcW w:w="1513" w:type="pct"/>
            <w:vMerge/>
            <w:vAlign w:val="center"/>
          </w:tcPr>
          <w:p w14:paraId="5734187C" w14:textId="77777777" w:rsidR="00D22026" w:rsidRPr="004D407A" w:rsidRDefault="00D22026" w:rsidP="00687A41">
            <w:pPr>
              <w:pStyle w:val="BodyTextT"/>
            </w:pPr>
          </w:p>
        </w:tc>
        <w:tc>
          <w:tcPr>
            <w:cnfStyle w:val="000100000010" w:firstRow="0" w:lastRow="0" w:firstColumn="0" w:lastColumn="1" w:oddVBand="0" w:evenVBand="0" w:oddHBand="0" w:evenHBand="0" w:firstRowFirstColumn="0" w:firstRowLastColumn="0" w:lastRowFirstColumn="0" w:lastRowLastColumn="1"/>
            <w:tcW w:w="1762" w:type="pct"/>
            <w:tcBorders>
              <w:top w:val="dashed" w:sz="4" w:space="0" w:color="5B9BD5" w:themeColor="accent1"/>
              <w:left w:val="single" w:sz="4" w:space="0" w:color="5B9BD5" w:themeColor="accent1"/>
              <w:bottom w:val="single" w:sz="4" w:space="0" w:color="5B9BD5" w:themeColor="accent1"/>
            </w:tcBorders>
            <w:vAlign w:val="center"/>
          </w:tcPr>
          <w:p w14:paraId="049C27A4" w14:textId="77777777" w:rsidR="00D22026" w:rsidRPr="004D407A" w:rsidRDefault="00D22026" w:rsidP="00687A41">
            <w:pPr>
              <w:pStyle w:val="BodyTextT"/>
              <w:rPr>
                <w:b w:val="0"/>
                <w:szCs w:val="20"/>
              </w:rPr>
            </w:pPr>
            <w:r w:rsidRPr="004D407A">
              <w:rPr>
                <w:szCs w:val="20"/>
              </w:rPr>
              <w:t>Objective 6:</w:t>
            </w:r>
            <w:r w:rsidRPr="004D407A">
              <w:rPr>
                <w:b w:val="0"/>
                <w:szCs w:val="20"/>
              </w:rPr>
              <w:t xml:space="preserve"> Sustain operation of critical immunization system components while transitioning from foreign to domestic sources of financing</w:t>
            </w:r>
          </w:p>
        </w:tc>
      </w:tr>
    </w:tbl>
    <w:p w14:paraId="7AB57CC6" w14:textId="77777777" w:rsidR="00377784" w:rsidRPr="004D407A" w:rsidRDefault="00377784" w:rsidP="00E53D03">
      <w:pPr>
        <w:pStyle w:val="Heading2"/>
        <w:rPr>
          <w:color w:val="auto"/>
        </w:rPr>
        <w:sectPr w:rsidR="00377784" w:rsidRPr="004D407A" w:rsidSect="00377784">
          <w:pgSz w:w="16838" w:h="11906" w:orient="landscape" w:code="9"/>
          <w:pgMar w:top="1724" w:right="1440" w:bottom="1157" w:left="1440" w:header="709" w:footer="709" w:gutter="0"/>
          <w:cols w:space="708"/>
          <w:titlePg/>
          <w:docGrid w:linePitch="360"/>
        </w:sectPr>
      </w:pPr>
      <w:bookmarkStart w:id="246" w:name="_Toc489491527"/>
      <w:bookmarkStart w:id="247" w:name="_Toc103004690"/>
    </w:p>
    <w:p w14:paraId="7E6B5B0D" w14:textId="77777777" w:rsidR="00E53D03" w:rsidRPr="004D407A" w:rsidRDefault="00E53D03" w:rsidP="00E53D03">
      <w:pPr>
        <w:pStyle w:val="Heading2"/>
        <w:rPr>
          <w:color w:val="auto"/>
        </w:rPr>
      </w:pPr>
      <w:bookmarkStart w:id="248" w:name="_Toc111910267"/>
      <w:r w:rsidRPr="004D407A">
        <w:rPr>
          <w:color w:val="auto"/>
        </w:rPr>
        <w:lastRenderedPageBreak/>
        <w:t>Monitoring and Evaluation</w:t>
      </w:r>
      <w:bookmarkEnd w:id="246"/>
      <w:bookmarkEnd w:id="247"/>
      <w:bookmarkEnd w:id="248"/>
    </w:p>
    <w:p w14:paraId="7790F03D" w14:textId="77777777" w:rsidR="00E53D03" w:rsidRPr="004D407A" w:rsidRDefault="00E53D03" w:rsidP="00E53D03">
      <w:pPr>
        <w:pStyle w:val="BodyText"/>
        <w:rPr>
          <w:rFonts w:ascii="Arial" w:hAnsi="Arial"/>
        </w:rPr>
      </w:pPr>
      <w:r w:rsidRPr="004D407A">
        <w:rPr>
          <w:rFonts w:ascii="Arial" w:hAnsi="Arial"/>
        </w:rPr>
        <w:t>The Planning Unit of MOHFW is responsible for Monitoring and Evaluation of the 4th HNPSP through the routine data collection for all impact and most of outcome level indicators. In addition to administrative data collection and reporting, the MOHFW collects data on immunization coverage and equity indicators from the household surveys such as national immunization Coverage Evaluation Surveys and BDHS.</w:t>
      </w:r>
    </w:p>
    <w:p w14:paraId="0E5D515E" w14:textId="7CCF8ECE" w:rsidR="00E53D03" w:rsidRPr="004D407A" w:rsidRDefault="00E53D03" w:rsidP="00E53D03">
      <w:pPr>
        <w:pStyle w:val="BodyText"/>
        <w:rPr>
          <w:rFonts w:ascii="Arial" w:hAnsi="Arial"/>
        </w:rPr>
      </w:pPr>
      <w:r w:rsidRPr="004D407A">
        <w:rPr>
          <w:rFonts w:ascii="Arial" w:hAnsi="Arial"/>
        </w:rPr>
        <w:t>The M&amp;E of EPI will be carried out as part of routine M&amp;E activities of HNPSP</w:t>
      </w:r>
      <w:r w:rsidR="003C5436" w:rsidRPr="004D407A">
        <w:rPr>
          <w:rFonts w:ascii="Arial" w:hAnsi="Arial"/>
        </w:rPr>
        <w:t xml:space="preserve"> (see </w:t>
      </w:r>
      <w:r w:rsidR="003C5436" w:rsidRPr="004D407A">
        <w:rPr>
          <w:rFonts w:ascii="Arial" w:hAnsi="Arial"/>
        </w:rPr>
        <w:fldChar w:fldCharType="begin"/>
      </w:r>
      <w:r w:rsidR="003C5436" w:rsidRPr="004D407A">
        <w:rPr>
          <w:rFonts w:ascii="Arial" w:hAnsi="Arial"/>
        </w:rPr>
        <w:instrText xml:space="preserve"> REF _Ref441763305 \h </w:instrText>
      </w:r>
      <w:r w:rsidR="00367C1A" w:rsidRPr="004D407A">
        <w:rPr>
          <w:rFonts w:ascii="Arial" w:hAnsi="Arial"/>
        </w:rPr>
        <w:instrText xml:space="preserve"> \* MERGEFORMAT </w:instrText>
      </w:r>
      <w:r w:rsidR="003C5436" w:rsidRPr="004D407A">
        <w:rPr>
          <w:rFonts w:ascii="Arial" w:hAnsi="Arial"/>
        </w:rPr>
      </w:r>
      <w:r w:rsidR="003C5436" w:rsidRPr="004D407A">
        <w:rPr>
          <w:rFonts w:ascii="Arial" w:hAnsi="Arial"/>
        </w:rPr>
        <w:fldChar w:fldCharType="separate"/>
      </w:r>
      <w:r w:rsidR="00D80429" w:rsidRPr="004D407A">
        <w:rPr>
          <w:rFonts w:ascii="Arial" w:hAnsi="Arial"/>
          <w:b/>
          <w:bCs/>
        </w:rPr>
        <w:t>Error! Reference source not found.</w:t>
      </w:r>
      <w:r w:rsidR="003C5436" w:rsidRPr="004D407A">
        <w:rPr>
          <w:rFonts w:ascii="Arial" w:hAnsi="Arial"/>
        </w:rPr>
        <w:fldChar w:fldCharType="end"/>
      </w:r>
      <w:r w:rsidR="003C5436" w:rsidRPr="004D407A">
        <w:rPr>
          <w:rFonts w:ascii="Arial" w:hAnsi="Arial"/>
        </w:rPr>
        <w:t xml:space="preserve"> in Annexes presenting 4th HNPSP results framework).</w:t>
      </w:r>
    </w:p>
    <w:p w14:paraId="2D074AB5" w14:textId="6E6331F2" w:rsidR="00E53D03" w:rsidRPr="004D407A" w:rsidRDefault="00E53D03" w:rsidP="00E53D03">
      <w:pPr>
        <w:pStyle w:val="BodyText"/>
        <w:rPr>
          <w:rFonts w:ascii="Arial" w:hAnsi="Arial"/>
        </w:rPr>
      </w:pPr>
      <w:r w:rsidRPr="004D407A">
        <w:rPr>
          <w:rFonts w:ascii="Arial" w:hAnsi="Arial"/>
        </w:rPr>
        <w:t xml:space="preserve">The indicators of national EPI were elaborated and selected by HNPSP. The EPI and MOHFW team will be directly involved into M&amp;E process of EPI implementation. Notably, VPD surveillance system based on the web-software will be developed and integrated into routine HMIS. Consequently, data will be collected as part of the country’s MIS (HMIS) supplemented by the EPI from </w:t>
      </w:r>
      <w:r w:rsidR="003D238F" w:rsidRPr="004D407A">
        <w:rPr>
          <w:rFonts w:ascii="Arial" w:hAnsi="Arial"/>
        </w:rPr>
        <w:t>its</w:t>
      </w:r>
      <w:r w:rsidRPr="004D407A">
        <w:rPr>
          <w:rFonts w:ascii="Arial" w:hAnsi="Arial"/>
        </w:rPr>
        <w:t xml:space="preserve"> own data sources until they are fully integrated. The data collection will be computerized and will include information from regular surveys such as BDHS, MICS, CES and immunization Program Reviews. From city corporations and municipalities, the data will be collected from LGD/MLGRDC.</w:t>
      </w:r>
    </w:p>
    <w:p w14:paraId="0BC9C724" w14:textId="7CFFCF18" w:rsidR="00E53D03" w:rsidRPr="004D407A" w:rsidRDefault="00E53D03" w:rsidP="00E53D03">
      <w:pPr>
        <w:pStyle w:val="Heading1"/>
        <w:rPr>
          <w:color w:val="auto"/>
        </w:rPr>
      </w:pPr>
      <w:bookmarkStart w:id="249" w:name="_Ref489015012"/>
      <w:bookmarkStart w:id="250" w:name="_Ref489015015"/>
      <w:bookmarkStart w:id="251" w:name="_Ref489015016"/>
      <w:bookmarkStart w:id="252" w:name="_Toc489491528"/>
      <w:bookmarkStart w:id="253" w:name="_Toc103004691"/>
      <w:bookmarkStart w:id="254" w:name="_Toc111910268"/>
      <w:bookmarkStart w:id="255" w:name="_Hlk102033405"/>
      <w:r w:rsidRPr="004D407A">
        <w:rPr>
          <w:color w:val="auto"/>
        </w:rPr>
        <w:t>Costs and Financing</w:t>
      </w:r>
      <w:bookmarkEnd w:id="249"/>
      <w:bookmarkEnd w:id="250"/>
      <w:bookmarkEnd w:id="251"/>
      <w:bookmarkEnd w:id="252"/>
      <w:bookmarkEnd w:id="253"/>
      <w:r w:rsidR="00AA3BCA" w:rsidRPr="004D407A">
        <w:rPr>
          <w:color w:val="auto"/>
        </w:rPr>
        <w:t xml:space="preserve"> National Immunization Strategy</w:t>
      </w:r>
      <w:bookmarkEnd w:id="254"/>
    </w:p>
    <w:p w14:paraId="31E925FF" w14:textId="3089C998" w:rsidR="00E53D03" w:rsidRPr="004D407A" w:rsidRDefault="00C419D0" w:rsidP="00E53D03">
      <w:pPr>
        <w:pStyle w:val="Heading2"/>
        <w:rPr>
          <w:color w:val="auto"/>
        </w:rPr>
      </w:pPr>
      <w:bookmarkStart w:id="256" w:name="_Toc489491535"/>
      <w:bookmarkStart w:id="257" w:name="_Toc103004698"/>
      <w:bookmarkStart w:id="258" w:name="_Toc111910269"/>
      <w:r w:rsidRPr="004D407A">
        <w:rPr>
          <w:color w:val="auto"/>
        </w:rPr>
        <w:t>NIS R</w:t>
      </w:r>
      <w:r w:rsidR="00E53D03" w:rsidRPr="004D407A">
        <w:rPr>
          <w:color w:val="auto"/>
        </w:rPr>
        <w:t>esource requirements</w:t>
      </w:r>
      <w:bookmarkEnd w:id="256"/>
      <w:bookmarkEnd w:id="257"/>
      <w:bookmarkEnd w:id="258"/>
    </w:p>
    <w:p w14:paraId="586377BC" w14:textId="77777777" w:rsidR="00E53D03" w:rsidRPr="004D407A" w:rsidRDefault="00E53D03" w:rsidP="00E53D03">
      <w:pPr>
        <w:pStyle w:val="Heading3"/>
        <w:rPr>
          <w:color w:val="auto"/>
        </w:rPr>
      </w:pPr>
      <w:bookmarkStart w:id="259" w:name="_Toc489491536"/>
      <w:bookmarkStart w:id="260" w:name="_Toc103004699"/>
      <w:bookmarkStart w:id="261" w:name="_Toc111910270"/>
      <w:r w:rsidRPr="004D407A">
        <w:rPr>
          <w:color w:val="auto"/>
        </w:rPr>
        <w:t>Overview of the resource requirements’ structure</w:t>
      </w:r>
      <w:bookmarkEnd w:id="259"/>
      <w:bookmarkEnd w:id="260"/>
      <w:bookmarkEnd w:id="261"/>
    </w:p>
    <w:p w14:paraId="7AF547CD" w14:textId="44165D38" w:rsidR="00E53D03" w:rsidRPr="004D407A" w:rsidRDefault="00E53D03" w:rsidP="00E53D03">
      <w:pPr>
        <w:pStyle w:val="BodyText"/>
        <w:rPr>
          <w:rFonts w:ascii="Arial" w:hAnsi="Arial"/>
        </w:rPr>
      </w:pPr>
      <w:r w:rsidRPr="004D407A">
        <w:rPr>
          <w:rFonts w:ascii="Arial" w:hAnsi="Arial"/>
        </w:rPr>
        <w:t>The total resource requirements for</w:t>
      </w:r>
      <w:r w:rsidR="00EE5496" w:rsidRPr="004D407A">
        <w:rPr>
          <w:rFonts w:ascii="Arial" w:hAnsi="Arial"/>
        </w:rPr>
        <w:t xml:space="preserve"> implementation of the National Immunization Strategy during the period</w:t>
      </w:r>
      <w:r w:rsidRPr="004D407A">
        <w:rPr>
          <w:rFonts w:ascii="Arial" w:hAnsi="Arial"/>
        </w:rPr>
        <w:t xml:space="preserve"> 20</w:t>
      </w:r>
      <w:r w:rsidR="00EE5496" w:rsidRPr="004D407A">
        <w:rPr>
          <w:rFonts w:ascii="Arial" w:hAnsi="Arial"/>
        </w:rPr>
        <w:t>23</w:t>
      </w:r>
      <w:r w:rsidRPr="004D407A">
        <w:rPr>
          <w:rFonts w:ascii="Arial" w:hAnsi="Arial"/>
        </w:rPr>
        <w:t>-202</w:t>
      </w:r>
      <w:r w:rsidR="00EE5496" w:rsidRPr="004D407A">
        <w:rPr>
          <w:rFonts w:ascii="Arial" w:hAnsi="Arial"/>
        </w:rPr>
        <w:t>7</w:t>
      </w:r>
      <w:r w:rsidRPr="004D407A">
        <w:rPr>
          <w:rFonts w:ascii="Arial" w:hAnsi="Arial"/>
        </w:rPr>
        <w:t xml:space="preserve"> were estimated at </w:t>
      </w:r>
      <w:r w:rsidR="006551E6" w:rsidRPr="004D407A">
        <w:rPr>
          <w:rFonts w:ascii="Arial" w:hAnsi="Arial"/>
        </w:rPr>
        <w:t>485</w:t>
      </w:r>
      <w:r w:rsidRPr="004D407A">
        <w:rPr>
          <w:rFonts w:ascii="Arial" w:hAnsi="Arial"/>
        </w:rPr>
        <w:t xml:space="preserve"> million US$ as shown in </w:t>
      </w:r>
      <w:r w:rsidRPr="004D407A">
        <w:rPr>
          <w:rFonts w:ascii="Arial" w:hAnsi="Arial"/>
        </w:rPr>
        <w:fldChar w:fldCharType="begin"/>
      </w:r>
      <w:r w:rsidRPr="004D407A">
        <w:rPr>
          <w:rFonts w:ascii="Arial" w:hAnsi="Arial"/>
        </w:rPr>
        <w:instrText xml:space="preserve"> REF _Ref441458187 \h </w:instrText>
      </w:r>
      <w:r w:rsidR="00367C1A"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Figure 24</w:t>
      </w:r>
      <w:r w:rsidRPr="004D407A">
        <w:rPr>
          <w:rFonts w:ascii="Arial" w:hAnsi="Arial"/>
        </w:rPr>
        <w:fldChar w:fldCharType="end"/>
      </w:r>
      <w:r w:rsidRPr="004D407A">
        <w:rPr>
          <w:rFonts w:ascii="Arial" w:hAnsi="Arial"/>
        </w:rPr>
        <w:t xml:space="preserve"> below:</w:t>
      </w:r>
    </w:p>
    <w:p w14:paraId="2ED081E1" w14:textId="6BB10E7D" w:rsidR="00E53D03" w:rsidRPr="004D407A" w:rsidRDefault="00E53D03" w:rsidP="00E53D03">
      <w:pPr>
        <w:pStyle w:val="Caption"/>
        <w:rPr>
          <w:color w:val="auto"/>
        </w:rPr>
      </w:pPr>
      <w:bookmarkStart w:id="262" w:name="_Ref441458187"/>
      <w:bookmarkStart w:id="263" w:name="_Ref441458190"/>
      <w:bookmarkStart w:id="264" w:name="_Toc447749562"/>
      <w:bookmarkStart w:id="265" w:name="_Toc478573854"/>
      <w:bookmarkStart w:id="266" w:name="_Toc490750638"/>
      <w:bookmarkStart w:id="267" w:name="_Toc103004744"/>
      <w:bookmarkStart w:id="268" w:name="_Toc111912763"/>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24</w:t>
      </w:r>
      <w:r w:rsidR="00E21383" w:rsidRPr="004D407A">
        <w:rPr>
          <w:noProof/>
          <w:color w:val="auto"/>
        </w:rPr>
        <w:fldChar w:fldCharType="end"/>
      </w:r>
      <w:bookmarkEnd w:id="262"/>
      <w:r w:rsidRPr="004D407A">
        <w:rPr>
          <w:color w:val="auto"/>
        </w:rPr>
        <w:t>:</w:t>
      </w:r>
      <w:r w:rsidR="00EE5496" w:rsidRPr="004D407A">
        <w:rPr>
          <w:color w:val="auto"/>
        </w:rPr>
        <w:t xml:space="preserve"> </w:t>
      </w:r>
      <w:r w:rsidRPr="004D407A">
        <w:rPr>
          <w:color w:val="auto"/>
        </w:rPr>
        <w:t xml:space="preserve">National immunization program costs </w:t>
      </w:r>
      <w:r w:rsidR="003D238F" w:rsidRPr="004D407A">
        <w:rPr>
          <w:color w:val="auto"/>
        </w:rPr>
        <w:t xml:space="preserve">(USD) </w:t>
      </w:r>
      <w:r w:rsidRPr="004D407A">
        <w:rPr>
          <w:color w:val="auto"/>
        </w:rPr>
        <w:t>summary by system components and years – basic scenario</w:t>
      </w:r>
      <w:bookmarkEnd w:id="263"/>
      <w:bookmarkEnd w:id="264"/>
      <w:bookmarkEnd w:id="265"/>
      <w:bookmarkEnd w:id="266"/>
      <w:bookmarkEnd w:id="267"/>
      <w:bookmarkEnd w:id="268"/>
    </w:p>
    <w:p w14:paraId="22C48FAD" w14:textId="0FCF3550" w:rsidR="00C07AB7" w:rsidRPr="004D407A" w:rsidRDefault="006551E6" w:rsidP="00C07AB7">
      <w:r w:rsidRPr="004D407A">
        <w:rPr>
          <w:noProof/>
        </w:rPr>
        <w:drawing>
          <wp:inline distT="0" distB="0" distL="0" distR="0" wp14:anchorId="7C971EF4" wp14:editId="3AAF9315">
            <wp:extent cx="5730875" cy="1465580"/>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1465580"/>
                    </a:xfrm>
                    <a:prstGeom prst="rect">
                      <a:avLst/>
                    </a:prstGeom>
                    <a:noFill/>
                    <a:ln>
                      <a:noFill/>
                    </a:ln>
                  </pic:spPr>
                </pic:pic>
              </a:graphicData>
            </a:graphic>
          </wp:inline>
        </w:drawing>
      </w:r>
    </w:p>
    <w:p w14:paraId="513E9B33" w14:textId="226C3120" w:rsidR="00E53D03" w:rsidRPr="004D407A" w:rsidRDefault="00E53D03" w:rsidP="00E53D03">
      <w:pPr>
        <w:pStyle w:val="BodyText"/>
        <w:rPr>
          <w:rFonts w:ascii="Arial" w:hAnsi="Arial"/>
        </w:rPr>
      </w:pPr>
      <w:r w:rsidRPr="004D407A">
        <w:rPr>
          <w:rFonts w:ascii="Arial" w:hAnsi="Arial"/>
        </w:rPr>
        <w:t>The details of future resource requirement</w:t>
      </w:r>
      <w:r w:rsidR="0065412D" w:rsidRPr="004D407A">
        <w:rPr>
          <w:rFonts w:ascii="Arial" w:hAnsi="Arial"/>
        </w:rPr>
        <w:t xml:space="preserve"> </w:t>
      </w:r>
      <w:r w:rsidRPr="004D407A">
        <w:rPr>
          <w:rFonts w:ascii="Arial" w:hAnsi="Arial"/>
        </w:rPr>
        <w:t xml:space="preserve">by </w:t>
      </w:r>
      <w:r w:rsidR="0095050A" w:rsidRPr="004D407A">
        <w:rPr>
          <w:rFonts w:ascii="Arial" w:hAnsi="Arial"/>
        </w:rPr>
        <w:t>NIS/EPI components</w:t>
      </w:r>
      <w:r w:rsidR="0065412D" w:rsidRPr="004D407A">
        <w:rPr>
          <w:rFonts w:ascii="Arial" w:hAnsi="Arial"/>
        </w:rPr>
        <w:t xml:space="preserve"> </w:t>
      </w:r>
      <w:r w:rsidR="0095050A" w:rsidRPr="004D407A">
        <w:rPr>
          <w:rFonts w:ascii="Arial" w:hAnsi="Arial"/>
        </w:rPr>
        <w:t>are</w:t>
      </w:r>
      <w:r w:rsidRPr="004D407A">
        <w:rPr>
          <w:rFonts w:ascii="Arial" w:hAnsi="Arial"/>
        </w:rPr>
        <w:t xml:space="preserve"> presented in </w:t>
      </w:r>
      <w:r w:rsidR="0095050A" w:rsidRPr="004D407A">
        <w:rPr>
          <w:rFonts w:ascii="Arial" w:hAnsi="Arial"/>
        </w:rPr>
        <w:fldChar w:fldCharType="begin"/>
      </w:r>
      <w:r w:rsidR="0095050A" w:rsidRPr="004D407A">
        <w:rPr>
          <w:rFonts w:ascii="Arial" w:hAnsi="Arial"/>
        </w:rPr>
        <w:instrText xml:space="preserve"> REF _Ref104480395 \h </w:instrText>
      </w:r>
      <w:r w:rsidR="00882955" w:rsidRPr="004D407A">
        <w:rPr>
          <w:rFonts w:ascii="Arial" w:hAnsi="Arial"/>
        </w:rPr>
        <w:instrText xml:space="preserve"> \* MERGEFORMAT </w:instrText>
      </w:r>
      <w:r w:rsidR="0095050A" w:rsidRPr="004D407A">
        <w:rPr>
          <w:rFonts w:ascii="Arial" w:hAnsi="Arial"/>
        </w:rPr>
      </w:r>
      <w:r w:rsidR="0095050A" w:rsidRPr="004D407A">
        <w:rPr>
          <w:rFonts w:ascii="Arial" w:hAnsi="Arial"/>
        </w:rPr>
        <w:fldChar w:fldCharType="separate"/>
      </w:r>
      <w:r w:rsidR="00D80429" w:rsidRPr="004D407A">
        <w:rPr>
          <w:rFonts w:ascii="Arial" w:hAnsi="Arial"/>
        </w:rPr>
        <w:t>Figure 41</w:t>
      </w:r>
      <w:r w:rsidR="0095050A" w:rsidRPr="004D407A">
        <w:rPr>
          <w:rFonts w:ascii="Arial" w:hAnsi="Arial"/>
        </w:rPr>
        <w:fldChar w:fldCharType="end"/>
      </w:r>
      <w:r w:rsidR="0095050A" w:rsidRPr="004D407A">
        <w:rPr>
          <w:rFonts w:ascii="Arial" w:hAnsi="Arial"/>
        </w:rPr>
        <w:t xml:space="preserve"> on page </w:t>
      </w:r>
      <w:r w:rsidR="0095050A" w:rsidRPr="004D407A">
        <w:rPr>
          <w:rFonts w:ascii="Arial" w:hAnsi="Arial"/>
        </w:rPr>
        <w:fldChar w:fldCharType="begin"/>
      </w:r>
      <w:r w:rsidR="0095050A" w:rsidRPr="004D407A">
        <w:rPr>
          <w:rFonts w:ascii="Arial" w:hAnsi="Arial"/>
        </w:rPr>
        <w:instrText xml:space="preserve"> PAGEREF _Ref104480399 \h </w:instrText>
      </w:r>
      <w:r w:rsidR="0095050A" w:rsidRPr="004D407A">
        <w:rPr>
          <w:rFonts w:ascii="Arial" w:hAnsi="Arial"/>
        </w:rPr>
      </w:r>
      <w:r w:rsidR="0095050A" w:rsidRPr="004D407A">
        <w:rPr>
          <w:rFonts w:ascii="Arial" w:hAnsi="Arial"/>
        </w:rPr>
        <w:fldChar w:fldCharType="separate"/>
      </w:r>
      <w:r w:rsidR="00D80429" w:rsidRPr="004D407A">
        <w:rPr>
          <w:rFonts w:ascii="Arial" w:hAnsi="Arial"/>
          <w:noProof/>
        </w:rPr>
        <w:t>62</w:t>
      </w:r>
      <w:r w:rsidR="0095050A" w:rsidRPr="004D407A">
        <w:rPr>
          <w:rFonts w:ascii="Arial" w:hAnsi="Arial"/>
        </w:rPr>
        <w:fldChar w:fldCharType="end"/>
      </w:r>
      <w:r w:rsidR="0095050A" w:rsidRPr="004D407A">
        <w:rPr>
          <w:rFonts w:ascii="Arial" w:hAnsi="Arial"/>
        </w:rPr>
        <w:t xml:space="preserve"> below</w:t>
      </w:r>
      <w:r w:rsidRPr="004D407A">
        <w:rPr>
          <w:rFonts w:ascii="Arial" w:hAnsi="Arial"/>
        </w:rPr>
        <w:t>.</w:t>
      </w:r>
    </w:p>
    <w:p w14:paraId="69D4DB00" w14:textId="77777777" w:rsidR="00E53D03" w:rsidRPr="004D407A" w:rsidRDefault="00E53D03" w:rsidP="00E53D03">
      <w:pPr>
        <w:pStyle w:val="Heading3"/>
        <w:rPr>
          <w:color w:val="auto"/>
        </w:rPr>
      </w:pPr>
      <w:bookmarkStart w:id="269" w:name="_Toc489491537"/>
      <w:bookmarkStart w:id="270" w:name="_Toc103004700"/>
      <w:bookmarkStart w:id="271" w:name="_Toc111910271"/>
      <w:r w:rsidRPr="004D407A">
        <w:rPr>
          <w:color w:val="auto"/>
        </w:rPr>
        <w:t>Description of cost drivers of the future resource requirements</w:t>
      </w:r>
      <w:bookmarkEnd w:id="269"/>
      <w:bookmarkEnd w:id="270"/>
      <w:bookmarkEnd w:id="271"/>
    </w:p>
    <w:p w14:paraId="2DA4CF02" w14:textId="0A6C3D94" w:rsidR="00AF5736" w:rsidRPr="004D407A" w:rsidRDefault="00E53D03" w:rsidP="00CD59A9">
      <w:pPr>
        <w:pStyle w:val="BodyText"/>
        <w:rPr>
          <w:rFonts w:ascii="Arial" w:hAnsi="Arial"/>
        </w:rPr>
      </w:pPr>
      <w:r w:rsidRPr="004D407A">
        <w:rPr>
          <w:rFonts w:ascii="Arial" w:hAnsi="Arial"/>
        </w:rPr>
        <w:t xml:space="preserve">For the </w:t>
      </w:r>
      <w:r w:rsidR="00C16F8B" w:rsidRPr="004D407A">
        <w:rPr>
          <w:rFonts w:ascii="Arial" w:hAnsi="Arial"/>
        </w:rPr>
        <w:t>NIS</w:t>
      </w:r>
      <w:r w:rsidRPr="004D407A">
        <w:rPr>
          <w:rFonts w:ascii="Arial" w:hAnsi="Arial"/>
        </w:rPr>
        <w:t xml:space="preserve"> period (20</w:t>
      </w:r>
      <w:r w:rsidR="00C16F8B" w:rsidRPr="004D407A">
        <w:rPr>
          <w:rFonts w:ascii="Arial" w:hAnsi="Arial"/>
        </w:rPr>
        <w:t>23</w:t>
      </w:r>
      <w:r w:rsidRPr="004D407A">
        <w:rPr>
          <w:rFonts w:ascii="Arial" w:hAnsi="Arial"/>
        </w:rPr>
        <w:t>-202</w:t>
      </w:r>
      <w:r w:rsidR="00C16F8B" w:rsidRPr="004D407A">
        <w:rPr>
          <w:rFonts w:ascii="Arial" w:hAnsi="Arial"/>
        </w:rPr>
        <w:t>7</w:t>
      </w:r>
      <w:r w:rsidRPr="004D407A">
        <w:rPr>
          <w:rFonts w:ascii="Arial" w:hAnsi="Arial"/>
        </w:rPr>
        <w:t>) the resources required for “vaccine supply</w:t>
      </w:r>
      <w:r w:rsidR="00C16F8B" w:rsidRPr="004D407A">
        <w:rPr>
          <w:rFonts w:ascii="Arial" w:hAnsi="Arial"/>
        </w:rPr>
        <w:t>, quality</w:t>
      </w:r>
      <w:r w:rsidRPr="004D407A">
        <w:rPr>
          <w:rFonts w:ascii="Arial" w:hAnsi="Arial"/>
        </w:rPr>
        <w:t xml:space="preserve"> and logistics” will account for approximately</w:t>
      </w:r>
      <w:r w:rsidR="00C16F8B" w:rsidRPr="004D407A">
        <w:rPr>
          <w:rFonts w:ascii="Arial" w:hAnsi="Arial"/>
        </w:rPr>
        <w:t xml:space="preserve"> </w:t>
      </w:r>
      <w:r w:rsidR="00AF5736" w:rsidRPr="004D407A">
        <w:rPr>
          <w:rFonts w:ascii="Arial" w:hAnsi="Arial"/>
          <w:lang w:val="ka-GE"/>
        </w:rPr>
        <w:t>90</w:t>
      </w:r>
      <w:r w:rsidRPr="004D407A">
        <w:rPr>
          <w:rFonts w:ascii="Arial" w:hAnsi="Arial"/>
        </w:rPr>
        <w:t xml:space="preserve">% of the total immunization specific costs as shown in </w:t>
      </w:r>
      <w:r w:rsidRPr="004D407A">
        <w:rPr>
          <w:rFonts w:ascii="Arial" w:hAnsi="Arial"/>
        </w:rPr>
        <w:fldChar w:fldCharType="begin"/>
      </w:r>
      <w:r w:rsidRPr="004D407A">
        <w:rPr>
          <w:rFonts w:ascii="Arial" w:hAnsi="Arial"/>
        </w:rPr>
        <w:instrText xml:space="preserve"> REF _Ref441458421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Figure 25</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_Ref447712775 \p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below</w:t>
      </w:r>
      <w:r w:rsidRPr="004D407A">
        <w:rPr>
          <w:rFonts w:ascii="Arial" w:hAnsi="Arial"/>
        </w:rPr>
        <w:fldChar w:fldCharType="end"/>
      </w:r>
      <w:r w:rsidRPr="004D407A">
        <w:rPr>
          <w:rFonts w:ascii="Arial" w:hAnsi="Arial"/>
        </w:rPr>
        <w:t xml:space="preserve">. </w:t>
      </w:r>
      <w:r w:rsidR="00AF5736" w:rsidRPr="004D407A">
        <w:rPr>
          <w:rFonts w:ascii="Arial" w:hAnsi="Arial"/>
        </w:rPr>
        <w:t>“Human Resource Management” is the second major cost driver, which will account for approximately 3.5% of immunization specific resource requirements</w:t>
      </w:r>
      <w:r w:rsidR="00100B7F" w:rsidRPr="004D407A">
        <w:rPr>
          <w:rFonts w:ascii="Arial" w:hAnsi="Arial"/>
        </w:rPr>
        <w:t xml:space="preserve"> and</w:t>
      </w:r>
      <w:r w:rsidR="00AF5736" w:rsidRPr="004D407A">
        <w:rPr>
          <w:rFonts w:ascii="Arial" w:hAnsi="Arial"/>
        </w:rPr>
        <w:t xml:space="preserve"> is followed by </w:t>
      </w:r>
      <w:r w:rsidRPr="004D407A">
        <w:rPr>
          <w:rFonts w:ascii="Arial" w:hAnsi="Arial"/>
        </w:rPr>
        <w:t xml:space="preserve">“Service Delivery” </w:t>
      </w:r>
      <w:r w:rsidR="0010210E" w:rsidRPr="004D407A">
        <w:rPr>
          <w:rFonts w:ascii="Arial" w:hAnsi="Arial"/>
        </w:rPr>
        <w:t xml:space="preserve">component of </w:t>
      </w:r>
      <w:r w:rsidR="00737EB2" w:rsidRPr="004D407A">
        <w:rPr>
          <w:rFonts w:ascii="Arial" w:hAnsi="Arial"/>
        </w:rPr>
        <w:t xml:space="preserve">the NIS, accounting </w:t>
      </w:r>
      <w:r w:rsidR="00CD59A9" w:rsidRPr="004D407A">
        <w:rPr>
          <w:rFonts w:ascii="Arial" w:hAnsi="Arial"/>
        </w:rPr>
        <w:t xml:space="preserve">for approximately </w:t>
      </w:r>
      <w:r w:rsidR="00AF5736" w:rsidRPr="004D407A">
        <w:rPr>
          <w:rFonts w:ascii="Arial" w:hAnsi="Arial"/>
        </w:rPr>
        <w:t>2.5</w:t>
      </w:r>
      <w:r w:rsidR="00CD59A9" w:rsidRPr="004D407A">
        <w:rPr>
          <w:rFonts w:ascii="Arial" w:hAnsi="Arial"/>
        </w:rPr>
        <w:t>%</w:t>
      </w:r>
      <w:r w:rsidR="0010210E" w:rsidRPr="004D407A">
        <w:rPr>
          <w:rFonts w:ascii="Arial" w:hAnsi="Arial"/>
        </w:rPr>
        <w:t xml:space="preserve"> </w:t>
      </w:r>
      <w:r w:rsidR="00CD59A9" w:rsidRPr="004D407A">
        <w:rPr>
          <w:rFonts w:ascii="Arial" w:hAnsi="Arial"/>
        </w:rPr>
        <w:t>of total resource requirements for</w:t>
      </w:r>
      <w:r w:rsidR="00737EB2" w:rsidRPr="004D407A">
        <w:rPr>
          <w:rFonts w:ascii="Arial" w:hAnsi="Arial"/>
        </w:rPr>
        <w:t xml:space="preserve"> NIS</w:t>
      </w:r>
      <w:r w:rsidR="00CD59A9" w:rsidRPr="004D407A">
        <w:rPr>
          <w:rFonts w:ascii="Arial" w:hAnsi="Arial"/>
        </w:rPr>
        <w:t xml:space="preserve"> implementation. </w:t>
      </w:r>
      <w:r w:rsidR="00AF5736" w:rsidRPr="004D407A">
        <w:rPr>
          <w:rFonts w:ascii="Arial" w:hAnsi="Arial"/>
        </w:rPr>
        <w:t xml:space="preserve">“Program Management and Financing” and “Disease surveillance” </w:t>
      </w:r>
      <w:r w:rsidR="00737EB2" w:rsidRPr="004D407A">
        <w:rPr>
          <w:rFonts w:ascii="Arial" w:hAnsi="Arial"/>
        </w:rPr>
        <w:t xml:space="preserve">will </w:t>
      </w:r>
      <w:r w:rsidR="00AF5736" w:rsidRPr="004D407A">
        <w:rPr>
          <w:rFonts w:ascii="Arial" w:hAnsi="Arial"/>
        </w:rPr>
        <w:t xml:space="preserve">account for 1.6% and 1.1% of total resource requirements </w:t>
      </w:r>
      <w:r w:rsidR="00AF5736" w:rsidRPr="004D407A">
        <w:rPr>
          <w:rFonts w:ascii="Arial" w:hAnsi="Arial"/>
        </w:rPr>
        <w:lastRenderedPageBreak/>
        <w:t>respectively and “Demand Generation”</w:t>
      </w:r>
      <w:r w:rsidR="00737EB2" w:rsidRPr="004D407A">
        <w:rPr>
          <w:rFonts w:ascii="Arial" w:hAnsi="Arial"/>
        </w:rPr>
        <w:t xml:space="preserve"> will</w:t>
      </w:r>
      <w:r w:rsidR="00AF5736" w:rsidRPr="004D407A">
        <w:rPr>
          <w:rFonts w:ascii="Arial" w:hAnsi="Arial"/>
        </w:rPr>
        <w:t xml:space="preserve"> </w:t>
      </w:r>
      <w:r w:rsidR="003D238F" w:rsidRPr="004D407A">
        <w:rPr>
          <w:rFonts w:ascii="Arial" w:hAnsi="Arial"/>
        </w:rPr>
        <w:t>account</w:t>
      </w:r>
      <w:r w:rsidR="00AF5736" w:rsidRPr="004D407A">
        <w:rPr>
          <w:rFonts w:ascii="Arial" w:hAnsi="Arial"/>
        </w:rPr>
        <w:t xml:space="preserve"> for 0.26% of</w:t>
      </w:r>
      <w:r w:rsidR="00A32786" w:rsidRPr="004D407A">
        <w:rPr>
          <w:rFonts w:ascii="Arial" w:hAnsi="Arial"/>
        </w:rPr>
        <w:t xml:space="preserve"> the </w:t>
      </w:r>
      <w:r w:rsidR="00AF5736" w:rsidRPr="004D407A">
        <w:rPr>
          <w:rFonts w:ascii="Arial" w:hAnsi="Arial"/>
        </w:rPr>
        <w:t>National Immunization Strategy</w:t>
      </w:r>
      <w:r w:rsidR="00A32786" w:rsidRPr="004D407A">
        <w:rPr>
          <w:rFonts w:ascii="Arial" w:hAnsi="Arial"/>
        </w:rPr>
        <w:t xml:space="preserve"> resource requirements.</w:t>
      </w:r>
    </w:p>
    <w:p w14:paraId="7EB979C7" w14:textId="3E5AF660" w:rsidR="00E53D03" w:rsidRPr="004D407A" w:rsidRDefault="00E53D03" w:rsidP="00E53D03">
      <w:pPr>
        <w:pStyle w:val="Caption"/>
        <w:rPr>
          <w:color w:val="auto"/>
        </w:rPr>
      </w:pPr>
      <w:bookmarkStart w:id="272" w:name="_Ref441458421"/>
      <w:bookmarkStart w:id="273" w:name="_Ref441458422"/>
      <w:bookmarkStart w:id="274" w:name="_Ref447712775"/>
      <w:bookmarkStart w:id="275" w:name="_Toc447749563"/>
      <w:bookmarkStart w:id="276" w:name="_Toc478573855"/>
      <w:bookmarkStart w:id="277" w:name="_Toc490750639"/>
      <w:bookmarkStart w:id="278" w:name="_Toc103004745"/>
      <w:bookmarkStart w:id="279" w:name="_Toc111912764"/>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25</w:t>
      </w:r>
      <w:r w:rsidR="00E21383" w:rsidRPr="004D407A">
        <w:rPr>
          <w:noProof/>
          <w:color w:val="auto"/>
        </w:rPr>
        <w:fldChar w:fldCharType="end"/>
      </w:r>
      <w:bookmarkEnd w:id="272"/>
      <w:r w:rsidRPr="004D407A">
        <w:rPr>
          <w:color w:val="auto"/>
        </w:rPr>
        <w:t xml:space="preserve">: </w:t>
      </w:r>
      <w:r w:rsidRPr="004D407A">
        <w:rPr>
          <w:color w:val="auto"/>
        </w:rPr>
        <w:tab/>
        <w:t xml:space="preserve">The future total resource requirement </w:t>
      </w:r>
      <w:r w:rsidR="003D238F" w:rsidRPr="004D407A">
        <w:rPr>
          <w:color w:val="auto"/>
        </w:rPr>
        <w:t xml:space="preserve">2023-2027 </w:t>
      </w:r>
      <w:r w:rsidR="00885C74" w:rsidRPr="004D407A">
        <w:rPr>
          <w:color w:val="auto"/>
        </w:rPr>
        <w:t xml:space="preserve">by </w:t>
      </w:r>
      <w:proofErr w:type="spellStart"/>
      <w:r w:rsidR="00885C74" w:rsidRPr="004D407A">
        <w:rPr>
          <w:color w:val="auto"/>
        </w:rPr>
        <w:t>programme</w:t>
      </w:r>
      <w:proofErr w:type="spellEnd"/>
      <w:r w:rsidRPr="004D407A">
        <w:rPr>
          <w:color w:val="auto"/>
        </w:rPr>
        <w:t xml:space="preserve"> components </w:t>
      </w:r>
      <w:bookmarkEnd w:id="273"/>
      <w:r w:rsidRPr="004D407A">
        <w:rPr>
          <w:color w:val="auto"/>
        </w:rPr>
        <w:t>(shared costs excluded)</w:t>
      </w:r>
      <w:bookmarkEnd w:id="274"/>
      <w:bookmarkEnd w:id="275"/>
      <w:bookmarkEnd w:id="276"/>
      <w:bookmarkEnd w:id="277"/>
      <w:bookmarkEnd w:id="278"/>
      <w:bookmarkEnd w:id="279"/>
    </w:p>
    <w:p w14:paraId="2C81B357" w14:textId="0B42042A" w:rsidR="00E53D03" w:rsidRPr="004D407A" w:rsidRDefault="00A32786" w:rsidP="00E53D03">
      <w:pPr>
        <w:pStyle w:val="myChart"/>
      </w:pPr>
      <w:r w:rsidRPr="004D407A">
        <w:rPr>
          <w:noProof/>
        </w:rPr>
        <w:drawing>
          <wp:inline distT="0" distB="0" distL="0" distR="0" wp14:anchorId="6E7FD98F" wp14:editId="22900CA6">
            <wp:extent cx="4328795" cy="3182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8795" cy="3182620"/>
                    </a:xfrm>
                    <a:prstGeom prst="rect">
                      <a:avLst/>
                    </a:prstGeom>
                    <a:noFill/>
                  </pic:spPr>
                </pic:pic>
              </a:graphicData>
            </a:graphic>
          </wp:inline>
        </w:drawing>
      </w:r>
    </w:p>
    <w:p w14:paraId="06C9E7C0" w14:textId="1D887478" w:rsidR="00E53D03" w:rsidRPr="004D407A" w:rsidRDefault="00E53D03" w:rsidP="00E53D03">
      <w:pPr>
        <w:pStyle w:val="BodyText"/>
        <w:rPr>
          <w:rFonts w:ascii="Arial" w:hAnsi="Arial"/>
        </w:rPr>
      </w:pPr>
      <w:r w:rsidRPr="004D407A">
        <w:rPr>
          <w:rFonts w:ascii="Arial" w:hAnsi="Arial"/>
        </w:rPr>
        <w:t xml:space="preserve">During the </w:t>
      </w:r>
      <w:r w:rsidR="0023525F" w:rsidRPr="004D407A">
        <w:rPr>
          <w:rFonts w:ascii="Arial" w:hAnsi="Arial"/>
        </w:rPr>
        <w:t xml:space="preserve">NIS </w:t>
      </w:r>
      <w:r w:rsidRPr="004D407A">
        <w:rPr>
          <w:rFonts w:ascii="Arial" w:hAnsi="Arial"/>
        </w:rPr>
        <w:t>projection period (20</w:t>
      </w:r>
      <w:r w:rsidR="0023525F" w:rsidRPr="004D407A">
        <w:rPr>
          <w:rFonts w:ascii="Arial" w:hAnsi="Arial"/>
        </w:rPr>
        <w:t>23</w:t>
      </w:r>
      <w:r w:rsidRPr="004D407A">
        <w:rPr>
          <w:rFonts w:ascii="Arial" w:hAnsi="Arial"/>
        </w:rPr>
        <w:t>-20</w:t>
      </w:r>
      <w:r w:rsidR="0023525F" w:rsidRPr="004D407A">
        <w:rPr>
          <w:rFonts w:ascii="Arial" w:hAnsi="Arial"/>
        </w:rPr>
        <w:t>27</w:t>
      </w:r>
      <w:r w:rsidRPr="004D407A">
        <w:rPr>
          <w:rFonts w:ascii="Arial" w:hAnsi="Arial"/>
        </w:rPr>
        <w:t xml:space="preserve">) the resource requirements for </w:t>
      </w:r>
      <w:r w:rsidR="0023525F" w:rsidRPr="004D407A">
        <w:rPr>
          <w:rFonts w:ascii="Arial" w:hAnsi="Arial"/>
        </w:rPr>
        <w:t>NIS implementation</w:t>
      </w:r>
      <w:r w:rsidR="00920E68" w:rsidRPr="004D407A">
        <w:rPr>
          <w:rFonts w:ascii="Arial" w:hAnsi="Arial"/>
        </w:rPr>
        <w:t xml:space="preserve"> </w:t>
      </w:r>
      <w:r w:rsidR="00B23ECB" w:rsidRPr="004D407A">
        <w:rPr>
          <w:rFonts w:ascii="Arial" w:hAnsi="Arial"/>
        </w:rPr>
        <w:t>per five projection years</w:t>
      </w:r>
      <w:r w:rsidR="0023525F" w:rsidRPr="004D407A">
        <w:rPr>
          <w:rFonts w:ascii="Arial" w:hAnsi="Arial"/>
        </w:rPr>
        <w:t xml:space="preserve"> </w:t>
      </w:r>
      <w:r w:rsidRPr="004D407A">
        <w:rPr>
          <w:rFonts w:ascii="Arial" w:hAnsi="Arial"/>
        </w:rPr>
        <w:t xml:space="preserve">will vary between </w:t>
      </w:r>
      <w:r w:rsidR="0090104F" w:rsidRPr="004D407A">
        <w:rPr>
          <w:rFonts w:ascii="Arial" w:hAnsi="Arial"/>
        </w:rPr>
        <w:t>91</w:t>
      </w:r>
      <w:r w:rsidRPr="004D407A">
        <w:rPr>
          <w:rFonts w:ascii="Arial" w:hAnsi="Arial"/>
        </w:rPr>
        <w:t xml:space="preserve"> million US$ in 202</w:t>
      </w:r>
      <w:r w:rsidR="0023525F" w:rsidRPr="004D407A">
        <w:rPr>
          <w:rFonts w:ascii="Arial" w:hAnsi="Arial"/>
        </w:rPr>
        <w:t>7</w:t>
      </w:r>
      <w:r w:rsidRPr="004D407A">
        <w:rPr>
          <w:rFonts w:ascii="Arial" w:hAnsi="Arial"/>
        </w:rPr>
        <w:t xml:space="preserve"> and </w:t>
      </w:r>
      <w:r w:rsidR="0090104F" w:rsidRPr="004D407A">
        <w:rPr>
          <w:rFonts w:ascii="Arial" w:hAnsi="Arial"/>
        </w:rPr>
        <w:t>107</w:t>
      </w:r>
      <w:r w:rsidRPr="004D407A">
        <w:rPr>
          <w:rFonts w:ascii="Arial" w:hAnsi="Arial"/>
        </w:rPr>
        <w:t xml:space="preserve"> million US$ in 202</w:t>
      </w:r>
      <w:r w:rsidR="0090104F" w:rsidRPr="004D407A">
        <w:rPr>
          <w:rFonts w:ascii="Arial" w:hAnsi="Arial"/>
        </w:rPr>
        <w:t>3</w:t>
      </w:r>
      <w:r w:rsidRPr="004D407A">
        <w:rPr>
          <w:rFonts w:ascii="Arial" w:hAnsi="Arial"/>
        </w:rPr>
        <w:t xml:space="preserve">: </w:t>
      </w:r>
    </w:p>
    <w:p w14:paraId="0ACC6DBF" w14:textId="7F385CE4" w:rsidR="00E53D03" w:rsidRPr="004D407A" w:rsidRDefault="00E53D03">
      <w:pPr>
        <w:pStyle w:val="BodyText"/>
        <w:numPr>
          <w:ilvl w:val="0"/>
          <w:numId w:val="22"/>
        </w:numPr>
        <w:spacing w:after="180" w:line="300" w:lineRule="exact"/>
        <w:rPr>
          <w:rFonts w:ascii="Arial" w:hAnsi="Arial"/>
        </w:rPr>
      </w:pPr>
      <w:r w:rsidRPr="004D407A">
        <w:rPr>
          <w:rFonts w:ascii="Arial" w:hAnsi="Arial"/>
        </w:rPr>
        <w:t>In the first projection year (20</w:t>
      </w:r>
      <w:r w:rsidR="0023525F" w:rsidRPr="004D407A">
        <w:rPr>
          <w:rFonts w:ascii="Arial" w:hAnsi="Arial"/>
        </w:rPr>
        <w:t>23</w:t>
      </w:r>
      <w:r w:rsidRPr="004D407A">
        <w:rPr>
          <w:rFonts w:ascii="Arial" w:hAnsi="Arial"/>
        </w:rPr>
        <w:t>) the resource requirements will</w:t>
      </w:r>
      <w:r w:rsidR="0023525F" w:rsidRPr="004D407A">
        <w:rPr>
          <w:rFonts w:ascii="Arial" w:hAnsi="Arial"/>
        </w:rPr>
        <w:t xml:space="preserve"> be </w:t>
      </w:r>
      <w:r w:rsidR="0090104F" w:rsidRPr="004D407A">
        <w:rPr>
          <w:rFonts w:ascii="Arial" w:hAnsi="Arial"/>
        </w:rPr>
        <w:t>107</w:t>
      </w:r>
      <w:r w:rsidR="0023525F" w:rsidRPr="004D407A">
        <w:rPr>
          <w:rFonts w:ascii="Arial" w:hAnsi="Arial"/>
        </w:rPr>
        <w:t xml:space="preserve"> million US$</w:t>
      </w:r>
      <w:r w:rsidRPr="004D407A">
        <w:rPr>
          <w:rFonts w:ascii="Arial" w:hAnsi="Arial"/>
        </w:rPr>
        <w:t xml:space="preserve">. </w:t>
      </w:r>
    </w:p>
    <w:p w14:paraId="5FEF0342" w14:textId="0F19CD39" w:rsidR="0023525F" w:rsidRPr="004D407A" w:rsidRDefault="00E53D03">
      <w:pPr>
        <w:pStyle w:val="BodyText"/>
        <w:numPr>
          <w:ilvl w:val="0"/>
          <w:numId w:val="22"/>
        </w:numPr>
        <w:spacing w:after="180" w:line="300" w:lineRule="exact"/>
        <w:rPr>
          <w:rFonts w:ascii="Arial" w:hAnsi="Arial"/>
        </w:rPr>
      </w:pPr>
      <w:r w:rsidRPr="004D407A">
        <w:rPr>
          <w:rFonts w:ascii="Arial" w:hAnsi="Arial"/>
        </w:rPr>
        <w:t xml:space="preserve">In the second </w:t>
      </w:r>
      <w:r w:rsidR="0023525F" w:rsidRPr="004D407A">
        <w:rPr>
          <w:rFonts w:ascii="Arial" w:hAnsi="Arial"/>
        </w:rPr>
        <w:t xml:space="preserve">year of NIS (2024) the resource requirements will decrease by </w:t>
      </w:r>
      <w:r w:rsidR="0090104F" w:rsidRPr="004D407A">
        <w:rPr>
          <w:rFonts w:ascii="Arial" w:hAnsi="Arial"/>
        </w:rPr>
        <w:t>nearly 9</w:t>
      </w:r>
      <w:r w:rsidR="0023525F" w:rsidRPr="004D407A">
        <w:rPr>
          <w:rFonts w:ascii="Arial" w:hAnsi="Arial"/>
        </w:rPr>
        <w:t xml:space="preserve">% (or </w:t>
      </w:r>
      <w:r w:rsidR="0090104F" w:rsidRPr="004D407A">
        <w:rPr>
          <w:rFonts w:ascii="Arial" w:hAnsi="Arial"/>
        </w:rPr>
        <w:t>9</w:t>
      </w:r>
      <w:r w:rsidR="0023525F" w:rsidRPr="004D407A">
        <w:rPr>
          <w:rFonts w:ascii="Arial" w:hAnsi="Arial"/>
        </w:rPr>
        <w:t xml:space="preserve"> </w:t>
      </w:r>
      <w:r w:rsidR="00BF7D9A" w:rsidRPr="004D407A">
        <w:rPr>
          <w:rFonts w:ascii="Arial" w:hAnsi="Arial"/>
        </w:rPr>
        <w:t>million</w:t>
      </w:r>
      <w:r w:rsidR="0023525F" w:rsidRPr="004D407A">
        <w:rPr>
          <w:rFonts w:ascii="Arial" w:hAnsi="Arial"/>
        </w:rPr>
        <w:t xml:space="preserve"> US$), which could be explained by </w:t>
      </w:r>
      <w:r w:rsidR="00BE1DF5" w:rsidRPr="004D407A">
        <w:rPr>
          <w:rFonts w:ascii="Arial" w:hAnsi="Arial"/>
        </w:rPr>
        <w:t>the finalization of specific NIS interventions in the area</w:t>
      </w:r>
      <w:r w:rsidR="0090104F" w:rsidRPr="004D407A">
        <w:rPr>
          <w:rFonts w:ascii="Arial" w:hAnsi="Arial"/>
        </w:rPr>
        <w:t>s</w:t>
      </w:r>
      <w:r w:rsidR="00BE1DF5" w:rsidRPr="004D407A">
        <w:rPr>
          <w:rFonts w:ascii="Arial" w:hAnsi="Arial"/>
        </w:rPr>
        <w:t xml:space="preserve"> of </w:t>
      </w:r>
      <w:r w:rsidR="0090104F" w:rsidRPr="004D407A">
        <w:rPr>
          <w:rFonts w:ascii="Arial" w:hAnsi="Arial"/>
        </w:rPr>
        <w:t>“Service Delivery”, “Immunization Coverage and AEFI monitoring” and “Program Management”</w:t>
      </w:r>
      <w:r w:rsidR="0023525F" w:rsidRPr="004D407A">
        <w:rPr>
          <w:rFonts w:ascii="Arial" w:hAnsi="Arial"/>
        </w:rPr>
        <w:t>.</w:t>
      </w:r>
    </w:p>
    <w:p w14:paraId="0B57658F" w14:textId="6C3080AB" w:rsidR="0023525F" w:rsidRPr="004D407A" w:rsidRDefault="0023525F">
      <w:pPr>
        <w:pStyle w:val="BodyText"/>
        <w:numPr>
          <w:ilvl w:val="0"/>
          <w:numId w:val="22"/>
        </w:numPr>
        <w:spacing w:after="180" w:line="300" w:lineRule="exact"/>
        <w:rPr>
          <w:rFonts w:ascii="Arial" w:hAnsi="Arial"/>
        </w:rPr>
      </w:pPr>
      <w:r w:rsidRPr="004D407A">
        <w:rPr>
          <w:rFonts w:ascii="Arial" w:hAnsi="Arial"/>
        </w:rPr>
        <w:t>In the third year of projection (2025) the resource requirements will</w:t>
      </w:r>
      <w:r w:rsidR="0090104F" w:rsidRPr="004D407A">
        <w:rPr>
          <w:rFonts w:ascii="Arial" w:hAnsi="Arial"/>
        </w:rPr>
        <w:t xml:space="preserve"> decrease by </w:t>
      </w:r>
      <w:r w:rsidR="00BE1DF5" w:rsidRPr="004D407A">
        <w:rPr>
          <w:rFonts w:ascii="Arial" w:hAnsi="Arial"/>
        </w:rPr>
        <w:t xml:space="preserve">approximately </w:t>
      </w:r>
      <w:r w:rsidR="0090104F" w:rsidRPr="004D407A">
        <w:rPr>
          <w:rFonts w:ascii="Arial" w:hAnsi="Arial"/>
        </w:rPr>
        <w:t>1</w:t>
      </w:r>
      <w:r w:rsidR="00810AD9" w:rsidRPr="004D407A">
        <w:rPr>
          <w:rFonts w:ascii="Arial" w:hAnsi="Arial"/>
        </w:rPr>
        <w:t>.3</w:t>
      </w:r>
      <w:r w:rsidR="00BE1DF5" w:rsidRPr="004D407A">
        <w:rPr>
          <w:rFonts w:ascii="Arial" w:hAnsi="Arial"/>
        </w:rPr>
        <w:t xml:space="preserve">% (or </w:t>
      </w:r>
      <w:r w:rsidR="0090104F" w:rsidRPr="004D407A">
        <w:rPr>
          <w:rFonts w:ascii="Arial" w:hAnsi="Arial"/>
        </w:rPr>
        <w:t>1.2</w:t>
      </w:r>
      <w:r w:rsidR="00BE1DF5" w:rsidRPr="004D407A">
        <w:rPr>
          <w:rFonts w:ascii="Arial" w:hAnsi="Arial"/>
        </w:rPr>
        <w:t xml:space="preserve"> million US$) which could be attributed to the</w:t>
      </w:r>
      <w:r w:rsidR="00810AD9" w:rsidRPr="004D407A">
        <w:rPr>
          <w:rFonts w:ascii="Arial" w:hAnsi="Arial"/>
        </w:rPr>
        <w:t xml:space="preserve"> concentration of the program on </w:t>
      </w:r>
      <w:r w:rsidR="00885C74" w:rsidRPr="004D407A">
        <w:rPr>
          <w:rFonts w:ascii="Arial" w:hAnsi="Arial"/>
        </w:rPr>
        <w:t>implementation of</w:t>
      </w:r>
      <w:r w:rsidR="00810AD9" w:rsidRPr="004D407A">
        <w:rPr>
          <w:rFonts w:ascii="Arial" w:hAnsi="Arial"/>
        </w:rPr>
        <w:t xml:space="preserve"> routine activities of the EPI and absence of innovative strategic interventions during this year</w:t>
      </w:r>
      <w:r w:rsidR="0090104F" w:rsidRPr="004D407A">
        <w:rPr>
          <w:rFonts w:ascii="Arial" w:hAnsi="Arial"/>
        </w:rPr>
        <w:t xml:space="preserve">. </w:t>
      </w:r>
    </w:p>
    <w:p w14:paraId="35165589" w14:textId="00F5D8D0" w:rsidR="00BF7D9A" w:rsidRPr="004D407A" w:rsidRDefault="00BF7D9A">
      <w:pPr>
        <w:pStyle w:val="BodyText"/>
        <w:numPr>
          <w:ilvl w:val="0"/>
          <w:numId w:val="22"/>
        </w:numPr>
        <w:spacing w:after="180" w:line="300" w:lineRule="exact"/>
        <w:rPr>
          <w:rFonts w:ascii="Arial" w:hAnsi="Arial"/>
        </w:rPr>
      </w:pPr>
      <w:r w:rsidRPr="004D407A">
        <w:rPr>
          <w:rFonts w:ascii="Arial" w:hAnsi="Arial"/>
        </w:rPr>
        <w:t>In the year four of the NIS (2026) the resource requirement will</w:t>
      </w:r>
      <w:r w:rsidR="00BE1DF5" w:rsidRPr="004D407A">
        <w:rPr>
          <w:rFonts w:ascii="Arial" w:hAnsi="Arial"/>
        </w:rPr>
        <w:t xml:space="preserve"> </w:t>
      </w:r>
      <w:r w:rsidR="00046362" w:rsidRPr="004D407A">
        <w:rPr>
          <w:rFonts w:ascii="Arial" w:hAnsi="Arial"/>
        </w:rPr>
        <w:t xml:space="preserve">continue to decrease </w:t>
      </w:r>
      <w:r w:rsidR="00BE1DF5" w:rsidRPr="004D407A">
        <w:rPr>
          <w:rFonts w:ascii="Arial" w:hAnsi="Arial"/>
        </w:rPr>
        <w:t xml:space="preserve">by approximately </w:t>
      </w:r>
      <w:r w:rsidR="00046362" w:rsidRPr="004D407A">
        <w:rPr>
          <w:rFonts w:ascii="Arial" w:hAnsi="Arial"/>
        </w:rPr>
        <w:t>5</w:t>
      </w:r>
      <w:r w:rsidR="00BE1DF5" w:rsidRPr="004D407A">
        <w:rPr>
          <w:rFonts w:ascii="Arial" w:hAnsi="Arial"/>
        </w:rPr>
        <w:t xml:space="preserve">% (or </w:t>
      </w:r>
      <w:r w:rsidR="00046362" w:rsidRPr="004D407A">
        <w:rPr>
          <w:rFonts w:ascii="Arial" w:hAnsi="Arial"/>
        </w:rPr>
        <w:t>4.6</w:t>
      </w:r>
      <w:r w:rsidR="00BE1DF5" w:rsidRPr="004D407A">
        <w:rPr>
          <w:rFonts w:ascii="Arial" w:hAnsi="Arial"/>
        </w:rPr>
        <w:t xml:space="preserve"> million U$S)</w:t>
      </w:r>
      <w:r w:rsidRPr="004D407A">
        <w:rPr>
          <w:rFonts w:ascii="Arial" w:hAnsi="Arial"/>
        </w:rPr>
        <w:t xml:space="preserve">, and during the final year or projection (2027) </w:t>
      </w:r>
      <w:r w:rsidR="00BE1DF5" w:rsidRPr="004D407A">
        <w:rPr>
          <w:rFonts w:ascii="Arial" w:hAnsi="Arial"/>
        </w:rPr>
        <w:t xml:space="preserve">will further decrease by </w:t>
      </w:r>
      <w:r w:rsidR="00046362" w:rsidRPr="004D407A">
        <w:rPr>
          <w:rFonts w:ascii="Arial" w:hAnsi="Arial"/>
        </w:rPr>
        <w:t>1.7%</w:t>
      </w:r>
      <w:r w:rsidR="00BE1DF5" w:rsidRPr="004D407A">
        <w:rPr>
          <w:rFonts w:ascii="Arial" w:hAnsi="Arial"/>
        </w:rPr>
        <w:t>% (or 1.</w:t>
      </w:r>
      <w:r w:rsidR="00046362" w:rsidRPr="004D407A">
        <w:rPr>
          <w:rFonts w:ascii="Arial" w:hAnsi="Arial"/>
        </w:rPr>
        <w:t>6</w:t>
      </w:r>
      <w:r w:rsidR="00BE1DF5" w:rsidRPr="004D407A">
        <w:rPr>
          <w:rFonts w:ascii="Arial" w:hAnsi="Arial"/>
        </w:rPr>
        <w:t xml:space="preserve"> million US$), which </w:t>
      </w:r>
      <w:r w:rsidR="00810AD9" w:rsidRPr="004D407A">
        <w:rPr>
          <w:rFonts w:ascii="Arial" w:hAnsi="Arial"/>
        </w:rPr>
        <w:t xml:space="preserve">also could be attributed to the finalization of the specific interventions and stabilizing the EPI implementation process. </w:t>
      </w:r>
    </w:p>
    <w:p w14:paraId="31224A7C" w14:textId="65A95FA4" w:rsidR="00E53D03" w:rsidRPr="004D407A" w:rsidRDefault="00E53D03">
      <w:pPr>
        <w:pStyle w:val="BodyText"/>
        <w:numPr>
          <w:ilvl w:val="0"/>
          <w:numId w:val="22"/>
        </w:numPr>
        <w:spacing w:after="180" w:line="300" w:lineRule="exact"/>
      </w:pPr>
      <w:r w:rsidRPr="004D407A">
        <w:rPr>
          <w:rFonts w:ascii="Arial" w:hAnsi="Arial"/>
        </w:rPr>
        <w:t>The analysis of resource requirement fluctuation shows that in general it will be driven by</w:t>
      </w:r>
      <w:r w:rsidR="00DA017A" w:rsidRPr="004D407A">
        <w:rPr>
          <w:rFonts w:ascii="Arial" w:hAnsi="Arial"/>
        </w:rPr>
        <w:t xml:space="preserve"> the major investment of EPI in the</w:t>
      </w:r>
      <w:r w:rsidR="008A5A7A" w:rsidRPr="004D407A">
        <w:rPr>
          <w:rFonts w:ascii="Arial" w:hAnsi="Arial"/>
        </w:rPr>
        <w:t xml:space="preserve"> Service Delivery</w:t>
      </w:r>
      <w:r w:rsidR="00BE1DF5" w:rsidRPr="004D407A">
        <w:rPr>
          <w:rFonts w:ascii="Arial" w:hAnsi="Arial"/>
        </w:rPr>
        <w:t>, AEFI system strengthening and</w:t>
      </w:r>
      <w:r w:rsidR="008A5A7A" w:rsidRPr="004D407A">
        <w:rPr>
          <w:rFonts w:ascii="Arial" w:hAnsi="Arial"/>
        </w:rPr>
        <w:t xml:space="preserve"> Human Resources component of the NIS as</w:t>
      </w:r>
      <w:r w:rsidRPr="004D407A">
        <w:rPr>
          <w:rFonts w:ascii="Arial" w:hAnsi="Arial"/>
        </w:rPr>
        <w:t xml:space="preserve"> shown in </w:t>
      </w:r>
      <w:r w:rsidRPr="004D407A">
        <w:rPr>
          <w:rFonts w:ascii="Arial" w:hAnsi="Arial"/>
        </w:rPr>
        <w:fldChar w:fldCharType="begin"/>
      </w:r>
      <w:r w:rsidRPr="004D407A">
        <w:rPr>
          <w:rFonts w:ascii="Arial" w:hAnsi="Arial"/>
        </w:rPr>
        <w:instrText xml:space="preserve"> REF _Ref441458693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26</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_Ref447712914 \p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below</w:t>
      </w:r>
      <w:r w:rsidRPr="004D407A">
        <w:rPr>
          <w:rFonts w:ascii="Arial" w:hAnsi="Arial"/>
        </w:rPr>
        <w:fldChar w:fldCharType="end"/>
      </w:r>
      <w:r w:rsidRPr="004D407A">
        <w:rPr>
          <w:rFonts w:ascii="Arial" w:hAnsi="Arial"/>
        </w:rPr>
        <w:t xml:space="preserve">.  </w:t>
      </w:r>
    </w:p>
    <w:p w14:paraId="0B904FEA" w14:textId="1F793B2A" w:rsidR="00E53D03" w:rsidRPr="004D407A" w:rsidRDefault="00E53D03" w:rsidP="00E53D03">
      <w:pPr>
        <w:pStyle w:val="Caption"/>
        <w:rPr>
          <w:noProof/>
          <w:color w:val="auto"/>
        </w:rPr>
      </w:pPr>
      <w:bookmarkStart w:id="280" w:name="_Ref441458693"/>
      <w:bookmarkStart w:id="281" w:name="_Ref441458696"/>
      <w:bookmarkStart w:id="282" w:name="_Ref447712914"/>
      <w:bookmarkStart w:id="283" w:name="_Toc447749564"/>
      <w:bookmarkStart w:id="284" w:name="_Toc478573856"/>
      <w:bookmarkStart w:id="285" w:name="_Toc490750640"/>
      <w:bookmarkStart w:id="286" w:name="_Toc103004746"/>
      <w:bookmarkStart w:id="287" w:name="_Toc111912765"/>
      <w:r w:rsidRPr="004D407A">
        <w:rPr>
          <w:color w:val="auto"/>
        </w:rPr>
        <w:lastRenderedPageBreak/>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26</w:t>
      </w:r>
      <w:r w:rsidR="00E21383" w:rsidRPr="004D407A">
        <w:rPr>
          <w:noProof/>
          <w:color w:val="auto"/>
        </w:rPr>
        <w:fldChar w:fldCharType="end"/>
      </w:r>
      <w:bookmarkEnd w:id="280"/>
      <w:r w:rsidRPr="004D407A">
        <w:rPr>
          <w:color w:val="auto"/>
        </w:rPr>
        <w:t xml:space="preserve">: </w:t>
      </w:r>
      <w:r w:rsidRPr="004D407A">
        <w:rPr>
          <w:color w:val="auto"/>
        </w:rPr>
        <w:tab/>
        <w:t xml:space="preserve">The structure of future resource requirements by </w:t>
      </w:r>
      <w:proofErr w:type="spellStart"/>
      <w:r w:rsidRPr="004D407A">
        <w:rPr>
          <w:color w:val="auto"/>
        </w:rPr>
        <w:t>cMYP</w:t>
      </w:r>
      <w:proofErr w:type="spellEnd"/>
      <w:r w:rsidRPr="004D407A">
        <w:rPr>
          <w:color w:val="auto"/>
        </w:rPr>
        <w:t xml:space="preserve"> components and years</w:t>
      </w:r>
      <w:bookmarkEnd w:id="281"/>
      <w:r w:rsidRPr="004D407A">
        <w:rPr>
          <w:color w:val="auto"/>
        </w:rPr>
        <w:t xml:space="preserve"> (shared costs excluded)</w:t>
      </w:r>
      <w:bookmarkEnd w:id="282"/>
      <w:bookmarkEnd w:id="283"/>
      <w:bookmarkEnd w:id="284"/>
      <w:bookmarkEnd w:id="285"/>
      <w:bookmarkEnd w:id="286"/>
      <w:bookmarkEnd w:id="287"/>
      <w:r w:rsidRPr="004D407A">
        <w:rPr>
          <w:noProof/>
          <w:color w:val="auto"/>
        </w:rPr>
        <w:t xml:space="preserve"> </w:t>
      </w:r>
    </w:p>
    <w:p w14:paraId="3A5687D2" w14:textId="07A3935C" w:rsidR="00E53D03" w:rsidRPr="004D407A" w:rsidRDefault="00FB0A00" w:rsidP="00E53D03">
      <w:pPr>
        <w:pStyle w:val="myChart"/>
      </w:pPr>
      <w:r w:rsidRPr="004D407A">
        <w:rPr>
          <w:noProof/>
        </w:rPr>
        <w:drawing>
          <wp:inline distT="0" distB="0" distL="0" distR="0" wp14:anchorId="22A8AEE9" wp14:editId="0636A1D2">
            <wp:extent cx="4575741" cy="27505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1574" cy="2760032"/>
                    </a:xfrm>
                    <a:prstGeom prst="rect">
                      <a:avLst/>
                    </a:prstGeom>
                    <a:noFill/>
                  </pic:spPr>
                </pic:pic>
              </a:graphicData>
            </a:graphic>
          </wp:inline>
        </w:drawing>
      </w:r>
    </w:p>
    <w:p w14:paraId="24A54587" w14:textId="77777777" w:rsidR="00E53D03" w:rsidRPr="004D407A" w:rsidRDefault="00E53D03" w:rsidP="00E53D03">
      <w:pPr>
        <w:pStyle w:val="myHeading1"/>
        <w:rPr>
          <w:color w:val="auto"/>
        </w:rPr>
      </w:pPr>
      <w:r w:rsidRPr="004D407A">
        <w:rPr>
          <w:color w:val="auto"/>
        </w:rPr>
        <w:t>Vaccines and injection supplies</w:t>
      </w:r>
    </w:p>
    <w:p w14:paraId="73691565" w14:textId="77777777" w:rsidR="00E53D03" w:rsidRPr="004D407A" w:rsidRDefault="00E53D03" w:rsidP="00E53D03">
      <w:pPr>
        <w:pStyle w:val="BodyText"/>
        <w:rPr>
          <w:rFonts w:ascii="Arial" w:hAnsi="Arial"/>
        </w:rPr>
      </w:pPr>
      <w:r w:rsidRPr="004D407A">
        <w:rPr>
          <w:rFonts w:ascii="Arial" w:hAnsi="Arial"/>
        </w:rPr>
        <w:t>The following assumptions were used for projection of vaccine and injection supplies’ requirements:</w:t>
      </w:r>
    </w:p>
    <w:p w14:paraId="2166BD3A" w14:textId="5154A630" w:rsidR="00E53D03" w:rsidRPr="004D407A" w:rsidRDefault="00E53D03">
      <w:pPr>
        <w:pStyle w:val="BodyText"/>
        <w:numPr>
          <w:ilvl w:val="0"/>
          <w:numId w:val="21"/>
        </w:numPr>
        <w:spacing w:after="180" w:line="300" w:lineRule="exact"/>
        <w:rPr>
          <w:rFonts w:ascii="Arial" w:hAnsi="Arial"/>
        </w:rPr>
      </w:pPr>
      <w:r w:rsidRPr="004D407A">
        <w:rPr>
          <w:rFonts w:ascii="Arial" w:hAnsi="Arial"/>
        </w:rPr>
        <w:t xml:space="preserve">Coverage rates were set in line with the objective and targets of National </w:t>
      </w:r>
      <w:r w:rsidR="00885C74" w:rsidRPr="004D407A">
        <w:rPr>
          <w:rFonts w:ascii="Arial" w:hAnsi="Arial"/>
        </w:rPr>
        <w:t>EPI (</w:t>
      </w:r>
      <w:r w:rsidRPr="004D407A">
        <w:rPr>
          <w:rFonts w:ascii="Arial" w:hAnsi="Arial"/>
        </w:rPr>
        <w:t>&gt;=95% by 202</w:t>
      </w:r>
      <w:r w:rsidR="00AF44BB" w:rsidRPr="004D407A">
        <w:rPr>
          <w:rFonts w:ascii="Arial" w:hAnsi="Arial"/>
        </w:rPr>
        <w:t>7</w:t>
      </w:r>
      <w:r w:rsidRPr="004D407A">
        <w:rPr>
          <w:rFonts w:ascii="Arial" w:hAnsi="Arial"/>
        </w:rPr>
        <w:t>.</w:t>
      </w:r>
    </w:p>
    <w:p w14:paraId="7D762585" w14:textId="77777777" w:rsidR="00E53D03" w:rsidRPr="004D407A" w:rsidRDefault="00E53D03">
      <w:pPr>
        <w:pStyle w:val="BodyText"/>
        <w:numPr>
          <w:ilvl w:val="0"/>
          <w:numId w:val="21"/>
        </w:numPr>
        <w:spacing w:after="180" w:line="300" w:lineRule="exact"/>
        <w:rPr>
          <w:rFonts w:ascii="Arial" w:hAnsi="Arial"/>
        </w:rPr>
      </w:pPr>
      <w:r w:rsidRPr="004D407A">
        <w:rPr>
          <w:rFonts w:ascii="Arial" w:hAnsi="Arial"/>
        </w:rPr>
        <w:t>Wastage rates are estimated at 80% for BCG; 40% for MR vaccine (routine immunization); 30% for OPV and TT vaccines; 10% for IPV and PCV vaccines and 5% for Pentavalent and Rotavirus Vaccines.</w:t>
      </w:r>
    </w:p>
    <w:p w14:paraId="388A5C26" w14:textId="1F821B9D" w:rsidR="00E53D03" w:rsidRPr="004D407A" w:rsidRDefault="00E53D03" w:rsidP="00E53D03">
      <w:pPr>
        <w:pStyle w:val="BodyText"/>
        <w:rPr>
          <w:rFonts w:ascii="Arial" w:hAnsi="Arial"/>
        </w:rPr>
      </w:pPr>
      <w:r w:rsidRPr="004D407A">
        <w:rPr>
          <w:rFonts w:ascii="Arial" w:hAnsi="Arial"/>
        </w:rPr>
        <w:t xml:space="preserve">The present projections are based on vaccine price estimates provided by the UNICEF Supply Division and include UNICEF handling fee (3-4%), freight, </w:t>
      </w:r>
      <w:r w:rsidR="00885C74" w:rsidRPr="004D407A">
        <w:rPr>
          <w:rFonts w:ascii="Arial" w:hAnsi="Arial"/>
        </w:rPr>
        <w:t>insurance,</w:t>
      </w:r>
      <w:r w:rsidRPr="004D407A">
        <w:rPr>
          <w:rFonts w:ascii="Arial" w:hAnsi="Arial"/>
        </w:rPr>
        <w:t xml:space="preserve"> and inspection (5-15%) costs. </w:t>
      </w:r>
    </w:p>
    <w:p w14:paraId="2EFDE8F6" w14:textId="77777777" w:rsidR="00E53D03" w:rsidRPr="004D407A" w:rsidRDefault="00E53D03" w:rsidP="00E53D03">
      <w:pPr>
        <w:pStyle w:val="BodyText"/>
        <w:rPr>
          <w:rFonts w:ascii="Arial" w:hAnsi="Arial"/>
        </w:rPr>
      </w:pPr>
      <w:r w:rsidRPr="004D407A">
        <w:rPr>
          <w:rFonts w:ascii="Arial" w:hAnsi="Arial"/>
        </w:rPr>
        <w:t>The resource requirement projections for routine immunization vaccines (basic scenario) envisages costs of following vaccines:</w:t>
      </w:r>
    </w:p>
    <w:p w14:paraId="5DDEDFF6" w14:textId="1D5EF974" w:rsidR="00E53D03" w:rsidRPr="004D407A" w:rsidRDefault="00E53D03">
      <w:pPr>
        <w:pStyle w:val="BodyText"/>
        <w:numPr>
          <w:ilvl w:val="0"/>
          <w:numId w:val="23"/>
        </w:numPr>
        <w:spacing w:after="180" w:line="300" w:lineRule="exact"/>
        <w:rPr>
          <w:rFonts w:ascii="Arial" w:hAnsi="Arial"/>
        </w:rPr>
      </w:pPr>
      <w:r w:rsidRPr="004D407A">
        <w:rPr>
          <w:rFonts w:ascii="Arial" w:hAnsi="Arial"/>
        </w:rPr>
        <w:t>Traditional vaccines:  BCG,</w:t>
      </w:r>
      <w:r w:rsidR="00AF44BB" w:rsidRPr="004D407A">
        <w:rPr>
          <w:rFonts w:ascii="Arial" w:hAnsi="Arial"/>
        </w:rPr>
        <w:t xml:space="preserve"> b</w:t>
      </w:r>
      <w:r w:rsidRPr="004D407A">
        <w:rPr>
          <w:rFonts w:ascii="Arial" w:hAnsi="Arial"/>
        </w:rPr>
        <w:t>OPV and T</w:t>
      </w:r>
      <w:r w:rsidR="00AF44BB" w:rsidRPr="004D407A">
        <w:rPr>
          <w:rFonts w:ascii="Arial" w:hAnsi="Arial"/>
        </w:rPr>
        <w:t>d</w:t>
      </w:r>
      <w:r w:rsidRPr="004D407A">
        <w:rPr>
          <w:rFonts w:ascii="Arial" w:hAnsi="Arial"/>
        </w:rPr>
        <w:t xml:space="preserve"> </w:t>
      </w:r>
      <w:r w:rsidR="00885C74" w:rsidRPr="004D407A">
        <w:rPr>
          <w:rFonts w:ascii="Arial" w:hAnsi="Arial"/>
        </w:rPr>
        <w:t>vaccines.</w:t>
      </w:r>
    </w:p>
    <w:p w14:paraId="4A42BBDB" w14:textId="032DD823" w:rsidR="00E53D03" w:rsidRPr="004D407A" w:rsidRDefault="00E53D03">
      <w:pPr>
        <w:pStyle w:val="BodyText"/>
        <w:numPr>
          <w:ilvl w:val="0"/>
          <w:numId w:val="23"/>
        </w:numPr>
        <w:spacing w:after="180" w:line="300" w:lineRule="exact"/>
        <w:rPr>
          <w:rFonts w:ascii="Arial" w:hAnsi="Arial"/>
        </w:rPr>
      </w:pPr>
      <w:r w:rsidRPr="004D407A">
        <w:rPr>
          <w:rFonts w:ascii="Arial" w:hAnsi="Arial"/>
        </w:rPr>
        <w:t xml:space="preserve">Underused vaccines: Pentavalent and MR </w:t>
      </w:r>
      <w:r w:rsidR="00885C74" w:rsidRPr="004D407A">
        <w:rPr>
          <w:rFonts w:ascii="Arial" w:hAnsi="Arial"/>
        </w:rPr>
        <w:t>vaccines.</w:t>
      </w:r>
    </w:p>
    <w:p w14:paraId="7D2D9214" w14:textId="741F4CE3" w:rsidR="00E53D03" w:rsidRPr="004D407A" w:rsidRDefault="00E53D03">
      <w:pPr>
        <w:pStyle w:val="BodyText"/>
        <w:numPr>
          <w:ilvl w:val="0"/>
          <w:numId w:val="23"/>
        </w:numPr>
        <w:spacing w:after="180" w:line="300" w:lineRule="exact"/>
        <w:rPr>
          <w:rFonts w:ascii="Arial" w:hAnsi="Arial"/>
        </w:rPr>
      </w:pPr>
      <w:r w:rsidRPr="004D407A">
        <w:rPr>
          <w:rFonts w:ascii="Arial" w:hAnsi="Arial"/>
        </w:rPr>
        <w:t>New vaccines: IPV (introduced in the routine immunization schedule in 2015)</w:t>
      </w:r>
      <w:r w:rsidR="00AF44BB" w:rsidRPr="004D407A">
        <w:rPr>
          <w:rFonts w:ascii="Arial" w:hAnsi="Arial"/>
        </w:rPr>
        <w:t xml:space="preserve"> (fractional IPV </w:t>
      </w:r>
      <w:proofErr w:type="gramStart"/>
      <w:r w:rsidR="00AF44BB" w:rsidRPr="004D407A">
        <w:rPr>
          <w:rFonts w:ascii="Arial" w:hAnsi="Arial"/>
        </w:rPr>
        <w:t>i.e.</w:t>
      </w:r>
      <w:proofErr w:type="gramEnd"/>
      <w:r w:rsidR="00AF44BB" w:rsidRPr="004D407A">
        <w:rPr>
          <w:rFonts w:ascii="Arial" w:hAnsi="Arial"/>
        </w:rPr>
        <w:t xml:space="preserve"> </w:t>
      </w:r>
      <w:proofErr w:type="spellStart"/>
      <w:r w:rsidR="00AF44BB" w:rsidRPr="004D407A">
        <w:rPr>
          <w:rFonts w:ascii="Arial" w:hAnsi="Arial"/>
        </w:rPr>
        <w:t>fIPV</w:t>
      </w:r>
      <w:proofErr w:type="spellEnd"/>
      <w:r w:rsidR="00AF44BB" w:rsidRPr="004D407A">
        <w:rPr>
          <w:rFonts w:ascii="Arial" w:hAnsi="Arial"/>
        </w:rPr>
        <w:t>) and</w:t>
      </w:r>
      <w:r w:rsidRPr="004D407A">
        <w:rPr>
          <w:rFonts w:ascii="Arial" w:hAnsi="Arial"/>
        </w:rPr>
        <w:t xml:space="preserve"> PCV10 (introduced in the routine immunization schedule in 2015)</w:t>
      </w:r>
      <w:r w:rsidR="00AF44BB" w:rsidRPr="004D407A">
        <w:rPr>
          <w:rFonts w:ascii="Arial" w:hAnsi="Arial"/>
        </w:rPr>
        <w:t xml:space="preserve"> (baseline scenario)</w:t>
      </w:r>
      <w:r w:rsidRPr="004D407A">
        <w:rPr>
          <w:rFonts w:ascii="Arial" w:hAnsi="Arial"/>
        </w:rPr>
        <w:t xml:space="preserve"> </w:t>
      </w:r>
    </w:p>
    <w:p w14:paraId="18C13664" w14:textId="77777777" w:rsidR="00AF44BB" w:rsidRPr="004D407A" w:rsidRDefault="00E53D03">
      <w:pPr>
        <w:pStyle w:val="BodyText"/>
        <w:numPr>
          <w:ilvl w:val="0"/>
          <w:numId w:val="23"/>
        </w:numPr>
        <w:spacing w:after="180" w:line="300" w:lineRule="exact"/>
        <w:rPr>
          <w:rFonts w:ascii="Arial" w:hAnsi="Arial"/>
        </w:rPr>
      </w:pPr>
      <w:r w:rsidRPr="004D407A">
        <w:rPr>
          <w:rFonts w:ascii="Arial" w:hAnsi="Arial"/>
        </w:rPr>
        <w:t>For Scenarios A</w:t>
      </w:r>
      <w:r w:rsidR="00AF44BB" w:rsidRPr="004D407A">
        <w:rPr>
          <w:rFonts w:ascii="Arial" w:hAnsi="Arial"/>
        </w:rPr>
        <w:t xml:space="preserve"> and</w:t>
      </w:r>
      <w:r w:rsidRPr="004D407A">
        <w:rPr>
          <w:rFonts w:ascii="Arial" w:hAnsi="Arial"/>
        </w:rPr>
        <w:t xml:space="preserve"> </w:t>
      </w:r>
      <w:proofErr w:type="gramStart"/>
      <w:r w:rsidRPr="004D407A">
        <w:rPr>
          <w:rFonts w:ascii="Arial" w:hAnsi="Arial"/>
        </w:rPr>
        <w:t>B</w:t>
      </w:r>
      <w:proofErr w:type="gramEnd"/>
      <w:r w:rsidRPr="004D407A">
        <w:rPr>
          <w:rFonts w:ascii="Arial" w:hAnsi="Arial"/>
        </w:rPr>
        <w:t xml:space="preserve"> the projections are based on</w:t>
      </w:r>
      <w:r w:rsidR="00AF44BB" w:rsidRPr="004D407A">
        <w:rPr>
          <w:rFonts w:ascii="Arial" w:hAnsi="Arial"/>
        </w:rPr>
        <w:t xml:space="preserve"> the following:</w:t>
      </w:r>
    </w:p>
    <w:p w14:paraId="35CF5B73" w14:textId="3431FD18" w:rsidR="00337A49" w:rsidRPr="004D407A" w:rsidRDefault="00337A49">
      <w:pPr>
        <w:pStyle w:val="BodyText"/>
        <w:numPr>
          <w:ilvl w:val="1"/>
          <w:numId w:val="23"/>
        </w:numPr>
        <w:spacing w:after="180" w:line="300" w:lineRule="exact"/>
        <w:rPr>
          <w:rFonts w:ascii="Arial" w:hAnsi="Arial"/>
        </w:rPr>
      </w:pPr>
      <w:r w:rsidRPr="004D407A">
        <w:rPr>
          <w:rFonts w:ascii="Arial" w:hAnsi="Arial"/>
        </w:rPr>
        <w:t xml:space="preserve">Baseline scenario – the vaccine schedule is not </w:t>
      </w:r>
      <w:r w:rsidR="00885C74" w:rsidRPr="004D407A">
        <w:rPr>
          <w:rFonts w:ascii="Arial" w:hAnsi="Arial"/>
        </w:rPr>
        <w:t>changed,</w:t>
      </w:r>
      <w:r w:rsidRPr="004D407A">
        <w:rPr>
          <w:rFonts w:ascii="Arial" w:hAnsi="Arial"/>
        </w:rPr>
        <w:t xml:space="preserve"> and no new vaccines are </w:t>
      </w:r>
      <w:r w:rsidR="00885C74" w:rsidRPr="004D407A">
        <w:rPr>
          <w:rFonts w:ascii="Arial" w:hAnsi="Arial"/>
        </w:rPr>
        <w:t>introduced.</w:t>
      </w:r>
    </w:p>
    <w:p w14:paraId="3B73FD9E" w14:textId="2EF4F1F5" w:rsidR="00337A49" w:rsidRPr="004D407A" w:rsidRDefault="00AF44BB">
      <w:pPr>
        <w:pStyle w:val="BodyText"/>
        <w:numPr>
          <w:ilvl w:val="1"/>
          <w:numId w:val="23"/>
        </w:numPr>
        <w:spacing w:after="180" w:line="300" w:lineRule="exact"/>
        <w:rPr>
          <w:rFonts w:ascii="Arial" w:hAnsi="Arial"/>
        </w:rPr>
      </w:pPr>
      <w:r w:rsidRPr="004D407A">
        <w:rPr>
          <w:rFonts w:ascii="Arial" w:hAnsi="Arial"/>
        </w:rPr>
        <w:t xml:space="preserve">Scenario A </w:t>
      </w:r>
      <w:r w:rsidR="00337A49" w:rsidRPr="004D407A">
        <w:rPr>
          <w:rFonts w:ascii="Arial" w:hAnsi="Arial"/>
        </w:rPr>
        <w:t>–</w:t>
      </w:r>
      <w:r w:rsidRPr="004D407A">
        <w:rPr>
          <w:rFonts w:ascii="Arial" w:hAnsi="Arial"/>
        </w:rPr>
        <w:t xml:space="preserve"> </w:t>
      </w:r>
      <w:r w:rsidR="00337A49" w:rsidRPr="004D407A">
        <w:rPr>
          <w:rFonts w:ascii="Arial" w:hAnsi="Arial"/>
        </w:rPr>
        <w:t>In addition to the baseline scenario, t</w:t>
      </w:r>
      <w:r w:rsidR="00E53D03" w:rsidRPr="004D407A">
        <w:rPr>
          <w:rFonts w:ascii="Arial" w:hAnsi="Arial"/>
        </w:rPr>
        <w:t>he nation-wide scale-up of the HPV vaccine among 10-year-old girls</w:t>
      </w:r>
      <w:r w:rsidR="00337A49" w:rsidRPr="004D407A">
        <w:rPr>
          <w:rFonts w:ascii="Arial" w:hAnsi="Arial"/>
        </w:rPr>
        <w:t>,</w:t>
      </w:r>
      <w:r w:rsidRPr="004D407A">
        <w:rPr>
          <w:rFonts w:ascii="Arial" w:hAnsi="Arial"/>
        </w:rPr>
        <w:t xml:space="preserve"> implementation of the HPV SIA in the selected </w:t>
      </w:r>
      <w:r w:rsidR="00337A49" w:rsidRPr="004D407A">
        <w:rPr>
          <w:rFonts w:ascii="Arial" w:hAnsi="Arial"/>
        </w:rPr>
        <w:t xml:space="preserve">communities and nationwide </w:t>
      </w:r>
      <w:r w:rsidRPr="004D407A">
        <w:rPr>
          <w:rFonts w:ascii="Arial" w:hAnsi="Arial"/>
        </w:rPr>
        <w:t xml:space="preserve">introduction of the rotavirus </w:t>
      </w:r>
      <w:r w:rsidR="00885C74" w:rsidRPr="004D407A">
        <w:rPr>
          <w:rFonts w:ascii="Arial" w:hAnsi="Arial"/>
        </w:rPr>
        <w:t>vaccine.</w:t>
      </w:r>
    </w:p>
    <w:p w14:paraId="5849FB15" w14:textId="0AF32D12" w:rsidR="00E53D03" w:rsidRPr="004D407A" w:rsidRDefault="00337A49">
      <w:pPr>
        <w:pStyle w:val="BodyText"/>
        <w:numPr>
          <w:ilvl w:val="1"/>
          <w:numId w:val="23"/>
        </w:numPr>
        <w:spacing w:after="180" w:line="300" w:lineRule="exact"/>
        <w:rPr>
          <w:rFonts w:ascii="Arial" w:hAnsi="Arial"/>
        </w:rPr>
      </w:pPr>
      <w:r w:rsidRPr="004D407A">
        <w:rPr>
          <w:rFonts w:ascii="Arial" w:hAnsi="Arial"/>
        </w:rPr>
        <w:lastRenderedPageBreak/>
        <w:t>Scenario B – In addition to the Scenario A: Introduction of the JE and TCV vaccines among the surviving infants.</w:t>
      </w:r>
      <w:r w:rsidR="00E53D03" w:rsidRPr="004D407A">
        <w:rPr>
          <w:rFonts w:ascii="Arial" w:hAnsi="Arial"/>
        </w:rPr>
        <w:t xml:space="preserve"> </w:t>
      </w:r>
    </w:p>
    <w:p w14:paraId="29322B2C" w14:textId="640686B1" w:rsidR="00E53D03" w:rsidRPr="004D407A" w:rsidRDefault="00E53D03" w:rsidP="00E53D03">
      <w:pPr>
        <w:pStyle w:val="BodyText"/>
      </w:pPr>
      <w:r w:rsidRPr="004D407A">
        <w:rPr>
          <w:rFonts w:ascii="Arial" w:hAnsi="Arial"/>
        </w:rPr>
        <w:fldChar w:fldCharType="begin"/>
      </w:r>
      <w:r w:rsidRPr="004D407A">
        <w:rPr>
          <w:rFonts w:ascii="Arial" w:hAnsi="Arial"/>
        </w:rPr>
        <w:instrText xml:space="preserve"> REF _Ref459540267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27</w:t>
      </w:r>
      <w:r w:rsidRPr="004D407A">
        <w:rPr>
          <w:rFonts w:ascii="Arial" w:hAnsi="Arial"/>
        </w:rPr>
        <w:fldChar w:fldCharType="end"/>
      </w:r>
      <w:r w:rsidRPr="004D407A">
        <w:rPr>
          <w:rFonts w:ascii="Arial" w:hAnsi="Arial"/>
        </w:rPr>
        <w:t xml:space="preserve"> below illustrates the cost structure of</w:t>
      </w:r>
      <w:r w:rsidR="00337A49" w:rsidRPr="004D407A">
        <w:rPr>
          <w:rFonts w:ascii="Arial" w:hAnsi="Arial"/>
        </w:rPr>
        <w:t xml:space="preserve"> vaccines included into the Scenario B </w:t>
      </w:r>
      <w:r w:rsidRPr="004D407A">
        <w:rPr>
          <w:rFonts w:ascii="Arial" w:hAnsi="Arial"/>
        </w:rPr>
        <w:t>by vaccines and years</w:t>
      </w:r>
      <w:r w:rsidR="00337A49" w:rsidRPr="004D407A">
        <w:rPr>
          <w:rFonts w:ascii="Arial" w:hAnsi="Arial"/>
        </w:rPr>
        <w:t xml:space="preserve"> (including Rotavirus, JE, TCV and HPV introduction)</w:t>
      </w:r>
      <w:r w:rsidRPr="004D407A">
        <w:rPr>
          <w:rFonts w:ascii="Arial" w:hAnsi="Arial"/>
        </w:rPr>
        <w:t xml:space="preserve"> during the</w:t>
      </w:r>
      <w:r w:rsidR="00337A49" w:rsidRPr="004D407A">
        <w:rPr>
          <w:rFonts w:ascii="Arial" w:hAnsi="Arial"/>
        </w:rPr>
        <w:t xml:space="preserve"> NIS</w:t>
      </w:r>
      <w:r w:rsidRPr="004D407A">
        <w:rPr>
          <w:rFonts w:ascii="Arial" w:hAnsi="Arial"/>
        </w:rPr>
        <w:t xml:space="preserve"> projection period.</w:t>
      </w:r>
    </w:p>
    <w:p w14:paraId="04AF08F6" w14:textId="2F16DA0B" w:rsidR="00E53D03" w:rsidRPr="004D407A" w:rsidRDefault="00E53D03" w:rsidP="00E53D03">
      <w:pPr>
        <w:pStyle w:val="Caption"/>
        <w:rPr>
          <w:color w:val="auto"/>
        </w:rPr>
      </w:pPr>
      <w:bookmarkStart w:id="288" w:name="_Ref459540267"/>
      <w:bookmarkStart w:id="289" w:name="_Ref459540269"/>
      <w:bookmarkStart w:id="290" w:name="_Toc478573857"/>
      <w:bookmarkStart w:id="291" w:name="_Toc490750641"/>
      <w:bookmarkStart w:id="292" w:name="_Toc103004747"/>
      <w:bookmarkStart w:id="293" w:name="_Toc111912766"/>
      <w:bookmarkStart w:id="294" w:name="_Ref441759877"/>
      <w:bookmarkStart w:id="295" w:name="_Ref441759878"/>
      <w:bookmarkStart w:id="296" w:name="_Toc447749566"/>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27</w:t>
      </w:r>
      <w:r w:rsidR="00E21383" w:rsidRPr="004D407A">
        <w:rPr>
          <w:noProof/>
          <w:color w:val="auto"/>
        </w:rPr>
        <w:fldChar w:fldCharType="end"/>
      </w:r>
      <w:bookmarkEnd w:id="288"/>
      <w:r w:rsidRPr="004D407A">
        <w:rPr>
          <w:noProof/>
          <w:color w:val="auto"/>
        </w:rPr>
        <w:t>:</w:t>
      </w:r>
      <w:r w:rsidRPr="004D407A">
        <w:rPr>
          <w:noProof/>
          <w:color w:val="auto"/>
        </w:rPr>
        <w:tab/>
      </w:r>
      <w:r w:rsidRPr="004D407A">
        <w:rPr>
          <w:color w:val="auto"/>
        </w:rPr>
        <w:t>Vaccine and injection supply cost projections (routine immunization. Scenario A (Rotavirus</w:t>
      </w:r>
      <w:r w:rsidR="0092347D" w:rsidRPr="004D407A">
        <w:rPr>
          <w:color w:val="auto"/>
        </w:rPr>
        <w:t>, HPV, JE and TCV from 2023)</w:t>
      </w:r>
      <w:bookmarkEnd w:id="289"/>
      <w:bookmarkEnd w:id="290"/>
      <w:bookmarkEnd w:id="291"/>
      <w:bookmarkEnd w:id="292"/>
      <w:bookmarkEnd w:id="293"/>
    </w:p>
    <w:bookmarkEnd w:id="294"/>
    <w:bookmarkEnd w:id="295"/>
    <w:bookmarkEnd w:id="296"/>
    <w:p w14:paraId="49F76DE7" w14:textId="2FF1B959" w:rsidR="00E53D03" w:rsidRPr="004D407A" w:rsidRDefault="007B5BF5" w:rsidP="00E53D03">
      <w:pPr>
        <w:pStyle w:val="myChart"/>
      </w:pPr>
      <w:r w:rsidRPr="004D407A">
        <w:rPr>
          <w:noProof/>
        </w:rPr>
        <w:drawing>
          <wp:inline distT="0" distB="0" distL="0" distR="0" wp14:anchorId="1E4E42D3" wp14:editId="48BA905D">
            <wp:extent cx="5720029" cy="3279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304" cy="3288630"/>
                    </a:xfrm>
                    <a:prstGeom prst="rect">
                      <a:avLst/>
                    </a:prstGeom>
                    <a:noFill/>
                  </pic:spPr>
                </pic:pic>
              </a:graphicData>
            </a:graphic>
          </wp:inline>
        </w:drawing>
      </w:r>
    </w:p>
    <w:p w14:paraId="303C232F" w14:textId="4F3A0A1F" w:rsidR="00E53D03" w:rsidRPr="004D407A" w:rsidRDefault="00AC0ACB" w:rsidP="00E53D03">
      <w:pPr>
        <w:pStyle w:val="myHeading1"/>
        <w:rPr>
          <w:color w:val="auto"/>
        </w:rPr>
      </w:pPr>
      <w:r w:rsidRPr="004D407A">
        <w:rPr>
          <w:color w:val="auto"/>
        </w:rPr>
        <w:t>Program management and financing</w:t>
      </w:r>
    </w:p>
    <w:p w14:paraId="6896C5C9" w14:textId="682192EA" w:rsidR="00AC0ACB" w:rsidRPr="004D407A" w:rsidRDefault="00AC0ACB" w:rsidP="00E53D03">
      <w:pPr>
        <w:pStyle w:val="BodyText"/>
        <w:rPr>
          <w:rFonts w:ascii="Arial" w:hAnsi="Arial"/>
        </w:rPr>
      </w:pPr>
      <w:r w:rsidRPr="004D407A">
        <w:rPr>
          <w:rFonts w:ascii="Arial" w:hAnsi="Arial"/>
        </w:rPr>
        <w:t xml:space="preserve">Total resource requirement for implementation of interventions related to the Program Management and Financing related component of EPI amounts to 7,708,831 US$. These funds are required for implementation of various interventions and activities for improving Policy and guidance, Government and Accountability, Planning and procurement, Partner coordination, budgeting and financing and multi-sub-components of Program management and financing. The detail information is provided in </w:t>
      </w:r>
      <w:r w:rsidRPr="004D407A">
        <w:rPr>
          <w:rFonts w:ascii="Arial" w:hAnsi="Arial"/>
        </w:rPr>
        <w:fldChar w:fldCharType="begin"/>
      </w:r>
      <w:r w:rsidRPr="004D407A">
        <w:rPr>
          <w:rFonts w:ascii="Arial" w:hAnsi="Arial"/>
        </w:rPr>
        <w:instrText xml:space="preserve"> REF _Ref104629688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b/>
          <w:bCs/>
        </w:rPr>
        <w:t>Error! Reference source not found.</w:t>
      </w:r>
      <w:r w:rsidRPr="004D407A">
        <w:rPr>
          <w:rFonts w:ascii="Arial" w:hAnsi="Arial"/>
        </w:rPr>
        <w:fldChar w:fldCharType="end"/>
      </w:r>
      <w:r w:rsidRPr="004D407A">
        <w:rPr>
          <w:rFonts w:ascii="Arial" w:hAnsi="Arial"/>
        </w:rPr>
        <w:t xml:space="preserve"> on page </w:t>
      </w:r>
      <w:r w:rsidRPr="004D407A">
        <w:rPr>
          <w:rFonts w:ascii="Arial" w:hAnsi="Arial"/>
        </w:rPr>
        <w:fldChar w:fldCharType="begin"/>
      </w:r>
      <w:r w:rsidRPr="004D407A">
        <w:rPr>
          <w:rFonts w:ascii="Arial" w:hAnsi="Arial"/>
        </w:rPr>
        <w:instrText xml:space="preserve"> PAGEREF _Ref104629693 \h </w:instrText>
      </w:r>
      <w:r w:rsidRPr="004D407A">
        <w:rPr>
          <w:rFonts w:ascii="Arial" w:hAnsi="Arial"/>
        </w:rPr>
      </w:r>
      <w:r w:rsidRPr="004D407A">
        <w:rPr>
          <w:rFonts w:ascii="Arial" w:hAnsi="Arial"/>
        </w:rPr>
        <w:fldChar w:fldCharType="separate"/>
      </w:r>
      <w:r w:rsidR="00D80429" w:rsidRPr="004D407A">
        <w:rPr>
          <w:rFonts w:ascii="Arial" w:hAnsi="Arial"/>
          <w:b/>
          <w:bCs/>
          <w:noProof/>
        </w:rPr>
        <w:t>Error! Bookmark not defined.</w:t>
      </w:r>
      <w:r w:rsidRPr="004D407A">
        <w:rPr>
          <w:rFonts w:ascii="Arial" w:hAnsi="Arial"/>
        </w:rPr>
        <w:fldChar w:fldCharType="end"/>
      </w:r>
      <w:r w:rsidRPr="004D407A">
        <w:rPr>
          <w:rFonts w:ascii="Arial" w:hAnsi="Arial"/>
        </w:rPr>
        <w:t>.</w:t>
      </w:r>
    </w:p>
    <w:p w14:paraId="440E972F" w14:textId="1BBC8716" w:rsidR="00E53D03" w:rsidRPr="004D407A" w:rsidRDefault="00E53D03" w:rsidP="00E53D03">
      <w:pPr>
        <w:pStyle w:val="Caption"/>
        <w:rPr>
          <w:noProof/>
          <w:color w:val="auto"/>
        </w:rPr>
      </w:pPr>
      <w:bookmarkStart w:id="297" w:name="_Ref441758831"/>
      <w:bookmarkStart w:id="298" w:name="_Ref441758833"/>
      <w:bookmarkStart w:id="299" w:name="_Toc447749572"/>
      <w:bookmarkStart w:id="300" w:name="_Toc478573860"/>
      <w:bookmarkStart w:id="301" w:name="_Toc490750644"/>
      <w:bookmarkStart w:id="302" w:name="_Toc103004750"/>
      <w:bookmarkStart w:id="303" w:name="_Toc111912767"/>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28</w:t>
      </w:r>
      <w:r w:rsidR="00E21383" w:rsidRPr="004D407A">
        <w:rPr>
          <w:noProof/>
          <w:color w:val="auto"/>
        </w:rPr>
        <w:fldChar w:fldCharType="end"/>
      </w:r>
      <w:bookmarkEnd w:id="297"/>
      <w:r w:rsidRPr="004D407A">
        <w:rPr>
          <w:color w:val="auto"/>
        </w:rPr>
        <w:t>:</w:t>
      </w:r>
      <w:r w:rsidR="00AC0ACB" w:rsidRPr="004D407A">
        <w:rPr>
          <w:color w:val="auto"/>
        </w:rPr>
        <w:t xml:space="preserve"> </w:t>
      </w:r>
      <w:r w:rsidRPr="004D407A">
        <w:rPr>
          <w:color w:val="auto"/>
        </w:rPr>
        <w:t>The future resource requirements for “</w:t>
      </w:r>
      <w:r w:rsidR="00AC0ACB" w:rsidRPr="004D407A">
        <w:rPr>
          <w:color w:val="auto"/>
        </w:rPr>
        <w:t>Program Management and Financing</w:t>
      </w:r>
      <w:r w:rsidRPr="004D407A">
        <w:rPr>
          <w:color w:val="auto"/>
        </w:rPr>
        <w:t>”</w:t>
      </w:r>
      <w:bookmarkEnd w:id="298"/>
      <w:bookmarkEnd w:id="299"/>
      <w:bookmarkEnd w:id="300"/>
      <w:bookmarkEnd w:id="301"/>
      <w:bookmarkEnd w:id="302"/>
      <w:r w:rsidR="00AC0ACB" w:rsidRPr="004D407A">
        <w:rPr>
          <w:color w:val="auto"/>
        </w:rPr>
        <w:t xml:space="preserve"> component of EPI</w:t>
      </w:r>
      <w:bookmarkEnd w:id="303"/>
      <w:r w:rsidRPr="004D407A">
        <w:rPr>
          <w:noProof/>
          <w:color w:val="auto"/>
        </w:rPr>
        <w:t xml:space="preserve"> </w:t>
      </w:r>
    </w:p>
    <w:p w14:paraId="7ECAC54E" w14:textId="41387917" w:rsidR="00E53D03" w:rsidRPr="004D407A" w:rsidRDefault="0057451F" w:rsidP="00E53D03">
      <w:pPr>
        <w:pStyle w:val="myChart"/>
      </w:pPr>
      <w:r w:rsidRPr="004D407A">
        <w:rPr>
          <w:noProof/>
        </w:rPr>
        <w:drawing>
          <wp:inline distT="0" distB="0" distL="0" distR="0" wp14:anchorId="242A7A10" wp14:editId="52C88728">
            <wp:extent cx="3711575" cy="2231058"/>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9225" cy="2235657"/>
                    </a:xfrm>
                    <a:prstGeom prst="rect">
                      <a:avLst/>
                    </a:prstGeom>
                    <a:noFill/>
                  </pic:spPr>
                </pic:pic>
              </a:graphicData>
            </a:graphic>
          </wp:inline>
        </w:drawing>
      </w:r>
    </w:p>
    <w:p w14:paraId="44003C5E" w14:textId="05F71702" w:rsidR="00E53D03" w:rsidRPr="004D407A" w:rsidRDefault="009745AF" w:rsidP="00E53D03">
      <w:pPr>
        <w:pStyle w:val="myHeading1"/>
        <w:rPr>
          <w:color w:val="auto"/>
        </w:rPr>
      </w:pPr>
      <w:r w:rsidRPr="004D407A">
        <w:rPr>
          <w:color w:val="auto"/>
        </w:rPr>
        <w:lastRenderedPageBreak/>
        <w:t>Human resources Management</w:t>
      </w:r>
    </w:p>
    <w:p w14:paraId="7D7C1240" w14:textId="0593DC23" w:rsidR="009745AF" w:rsidRPr="004D407A" w:rsidRDefault="009745AF" w:rsidP="00E53D03">
      <w:pPr>
        <w:pStyle w:val="BodyText"/>
        <w:rPr>
          <w:rFonts w:ascii="Arial" w:hAnsi="Arial"/>
        </w:rPr>
      </w:pPr>
      <w:r w:rsidRPr="004D407A">
        <w:rPr>
          <w:rFonts w:ascii="Arial" w:hAnsi="Arial"/>
        </w:rPr>
        <w:t>HR development and management will be one of the most critical components of the NIS 2023-2027, which will be under particular focus of EPI and will be area of the major investments.</w:t>
      </w:r>
    </w:p>
    <w:p w14:paraId="531B8916" w14:textId="33EB8A2B" w:rsidR="00E53D03" w:rsidRPr="004D407A" w:rsidRDefault="009745AF" w:rsidP="00041D4E">
      <w:pPr>
        <w:pStyle w:val="BodyText"/>
        <w:rPr>
          <w:rFonts w:ascii="Arial" w:hAnsi="Arial"/>
        </w:rPr>
      </w:pPr>
      <w:r w:rsidRPr="004D407A">
        <w:rPr>
          <w:rFonts w:ascii="Arial" w:hAnsi="Arial"/>
        </w:rPr>
        <w:t>In total 16</w:t>
      </w:r>
      <w:r w:rsidR="00DC39A8" w:rsidRPr="004D407A">
        <w:rPr>
          <w:rFonts w:ascii="Arial" w:hAnsi="Arial"/>
        </w:rPr>
        <w:t xml:space="preserve"> </w:t>
      </w:r>
      <w:r w:rsidRPr="004D407A">
        <w:rPr>
          <w:rFonts w:ascii="Arial" w:hAnsi="Arial"/>
        </w:rPr>
        <w:t>million dollars is required for implementation of all interventions of NIS that are related to the HR development and capacity strengthening. Out of this amount 99.9% is required for HR capacity building activities and 1% required for the</w:t>
      </w:r>
      <w:r w:rsidR="00041D4E" w:rsidRPr="004D407A">
        <w:rPr>
          <w:rFonts w:ascii="Arial" w:hAnsi="Arial"/>
        </w:rPr>
        <w:t xml:space="preserve"> development of the HR development and deployment plans.</w:t>
      </w:r>
    </w:p>
    <w:p w14:paraId="453E3344" w14:textId="770BA8FC" w:rsidR="00041D4E" w:rsidRPr="004D407A" w:rsidRDefault="00041D4E" w:rsidP="00041D4E">
      <w:pPr>
        <w:pStyle w:val="myHeading1"/>
        <w:rPr>
          <w:color w:val="auto"/>
        </w:rPr>
      </w:pPr>
      <w:r w:rsidRPr="004D407A">
        <w:rPr>
          <w:color w:val="auto"/>
        </w:rPr>
        <w:t>Vaccines Supply, Quality and Logistics</w:t>
      </w:r>
    </w:p>
    <w:p w14:paraId="063C4A1C" w14:textId="67E22083" w:rsidR="00041D4E" w:rsidRPr="004D407A" w:rsidRDefault="00041D4E" w:rsidP="00041D4E">
      <w:pPr>
        <w:pStyle w:val="BodyText"/>
        <w:rPr>
          <w:rFonts w:ascii="Arial" w:hAnsi="Arial"/>
        </w:rPr>
      </w:pPr>
      <w:r w:rsidRPr="004D407A">
        <w:rPr>
          <w:rFonts w:ascii="Arial" w:hAnsi="Arial"/>
        </w:rPr>
        <w:t xml:space="preserve">The total resource requirement of this component is 357,683,964 US$. The amount was calculated based on the financial needs for procurement of the Routine Immunization Vaccines according to the existing national immunization schedule and does not include resource requirements for procurement of the vaccines that are planned for introduction during the projection period. The total amount also includes financial resource requirements for implementation of the specific interventions related to the improvement of the cold-chain and logistics systems. </w:t>
      </w:r>
    </w:p>
    <w:p w14:paraId="7C753366" w14:textId="50ED377B" w:rsidR="00041D4E" w:rsidRPr="004D407A" w:rsidRDefault="00041D4E" w:rsidP="00041D4E">
      <w:pPr>
        <w:pStyle w:val="myHeading1"/>
        <w:rPr>
          <w:color w:val="auto"/>
        </w:rPr>
      </w:pPr>
      <w:r w:rsidRPr="004D407A">
        <w:rPr>
          <w:color w:val="auto"/>
        </w:rPr>
        <w:t>Service delivery</w:t>
      </w:r>
    </w:p>
    <w:p w14:paraId="1E2A05A5" w14:textId="14BBE06D" w:rsidR="00A34734" w:rsidRPr="004D407A" w:rsidRDefault="00041D4E" w:rsidP="005D699F">
      <w:pPr>
        <w:pStyle w:val="BodyText"/>
        <w:rPr>
          <w:rFonts w:ascii="Arial" w:hAnsi="Arial"/>
        </w:rPr>
      </w:pPr>
      <w:r w:rsidRPr="004D407A">
        <w:rPr>
          <w:rFonts w:ascii="Arial" w:hAnsi="Arial"/>
        </w:rPr>
        <w:t xml:space="preserve">The total resource requirements for </w:t>
      </w:r>
      <w:r w:rsidR="005D699F" w:rsidRPr="004D407A">
        <w:rPr>
          <w:rFonts w:ascii="Arial" w:hAnsi="Arial"/>
        </w:rPr>
        <w:t xml:space="preserve">implementation of the planned interventions for improving service delivery component of the national immunization system amounts to </w:t>
      </w:r>
      <w:r w:rsidR="00A34734" w:rsidRPr="004D407A">
        <w:rPr>
          <w:rFonts w:ascii="Arial" w:hAnsi="Arial"/>
        </w:rPr>
        <w:t>20.1 million US$.</w:t>
      </w:r>
      <w:r w:rsidR="005D699F" w:rsidRPr="004D407A">
        <w:rPr>
          <w:rFonts w:ascii="Arial" w:hAnsi="Arial"/>
        </w:rPr>
        <w:t xml:space="preserve"> </w:t>
      </w:r>
    </w:p>
    <w:p w14:paraId="33342B93" w14:textId="6C7DC8A9" w:rsidR="00A34734" w:rsidRPr="004D407A" w:rsidRDefault="00A34734" w:rsidP="00A34734">
      <w:pPr>
        <w:pStyle w:val="myHeading1"/>
        <w:rPr>
          <w:color w:val="auto"/>
        </w:rPr>
      </w:pPr>
      <w:r w:rsidRPr="004D407A">
        <w:rPr>
          <w:color w:val="auto"/>
        </w:rPr>
        <w:t>Immunization coverage and AEFI monitoring</w:t>
      </w:r>
    </w:p>
    <w:p w14:paraId="76BD2DB2" w14:textId="70601898" w:rsidR="00041D4E" w:rsidRPr="004D407A" w:rsidRDefault="00317AF8" w:rsidP="00042AFF">
      <w:pPr>
        <w:pStyle w:val="BodyText"/>
        <w:rPr>
          <w:rFonts w:ascii="Arial" w:hAnsi="Arial"/>
        </w:rPr>
      </w:pPr>
      <w:r w:rsidRPr="004D407A">
        <w:rPr>
          <w:rFonts w:ascii="Arial" w:hAnsi="Arial"/>
        </w:rPr>
        <w:t xml:space="preserve">The total amount required for Immunization coverage and AEFI monitoring component of the immunization system in Bangladesh was estimated at 11.7 million US$. These resources required for improving HR and systems for immunization coverage monitoring, improving </w:t>
      </w:r>
      <w:proofErr w:type="gramStart"/>
      <w:r w:rsidRPr="004D407A">
        <w:rPr>
          <w:rFonts w:ascii="Arial" w:hAnsi="Arial"/>
        </w:rPr>
        <w:t>reporting</w:t>
      </w:r>
      <w:proofErr w:type="gramEnd"/>
      <w:r w:rsidRPr="004D407A">
        <w:rPr>
          <w:rFonts w:ascii="Arial" w:hAnsi="Arial"/>
        </w:rPr>
        <w:t xml:space="preserve"> and recording procedures and processes, establishment of the mechanisms for the data quality control, </w:t>
      </w:r>
      <w:r w:rsidR="00042AFF" w:rsidRPr="004D407A">
        <w:rPr>
          <w:rFonts w:ascii="Arial" w:hAnsi="Arial"/>
        </w:rPr>
        <w:t>strengthening of the coverage monitoring capacity and practices and strengthening AEFI monitoring and management capacity at all levels.</w:t>
      </w:r>
      <w:r w:rsidR="00BD6E88" w:rsidRPr="004D407A">
        <w:rPr>
          <w:rFonts w:ascii="Arial" w:hAnsi="Arial"/>
        </w:rPr>
        <w:t xml:space="preserve"> </w:t>
      </w:r>
    </w:p>
    <w:p w14:paraId="5559C2A4" w14:textId="22FB1C1B" w:rsidR="00042AFF" w:rsidRPr="004D407A" w:rsidRDefault="00042AFF" w:rsidP="00042AFF">
      <w:pPr>
        <w:pStyle w:val="myHeading1"/>
        <w:rPr>
          <w:color w:val="auto"/>
        </w:rPr>
      </w:pPr>
      <w:r w:rsidRPr="004D407A">
        <w:rPr>
          <w:color w:val="auto"/>
        </w:rPr>
        <w:t>Disease surveillance</w:t>
      </w:r>
    </w:p>
    <w:p w14:paraId="6F8D0097" w14:textId="1AE038D1" w:rsidR="00042AFF" w:rsidRPr="004D407A" w:rsidRDefault="00042AFF" w:rsidP="00042AFF">
      <w:pPr>
        <w:pStyle w:val="BodyText"/>
        <w:rPr>
          <w:rFonts w:ascii="Arial" w:hAnsi="Arial"/>
        </w:rPr>
      </w:pPr>
      <w:r w:rsidRPr="004D407A">
        <w:rPr>
          <w:rFonts w:ascii="Arial" w:hAnsi="Arial"/>
        </w:rPr>
        <w:t xml:space="preserve">The total resource requirements estimated for implementation of the disease surveillance related interventions of the NIS amounted to 5.4 million US$. These requirements consider strengthening of the detection and response capacity of the system and ensuring implementation of all surveillance related activities. </w:t>
      </w:r>
    </w:p>
    <w:p w14:paraId="050304D2" w14:textId="11D7F086" w:rsidR="00042AFF" w:rsidRPr="004D407A" w:rsidRDefault="00042AFF" w:rsidP="00042AFF">
      <w:pPr>
        <w:pStyle w:val="myHeading1"/>
        <w:rPr>
          <w:color w:val="auto"/>
        </w:rPr>
      </w:pPr>
      <w:r w:rsidRPr="004D407A">
        <w:rPr>
          <w:color w:val="auto"/>
        </w:rPr>
        <w:t>Demand Generation</w:t>
      </w:r>
    </w:p>
    <w:p w14:paraId="50CDBFE7" w14:textId="7A7395FC" w:rsidR="00BD6E88" w:rsidRPr="004D407A" w:rsidRDefault="00F47CD9" w:rsidP="00042AFF">
      <w:pPr>
        <w:pStyle w:val="BodyText"/>
        <w:rPr>
          <w:rFonts w:ascii="Arial" w:hAnsi="Arial"/>
        </w:rPr>
      </w:pPr>
      <w:r w:rsidRPr="004D407A">
        <w:rPr>
          <w:rFonts w:ascii="Arial" w:hAnsi="Arial"/>
        </w:rPr>
        <w:t xml:space="preserve">In total approximately 1.3 million US$ was estimated for implementation of the demand generation activities, which considers design and implementation of specific interventions for strengthening advocacy, </w:t>
      </w:r>
      <w:r w:rsidR="00885C74" w:rsidRPr="004D407A">
        <w:rPr>
          <w:rFonts w:ascii="Arial" w:hAnsi="Arial"/>
        </w:rPr>
        <w:t>communication,</w:t>
      </w:r>
      <w:r w:rsidRPr="004D407A">
        <w:rPr>
          <w:rFonts w:ascii="Arial" w:hAnsi="Arial"/>
        </w:rPr>
        <w:t xml:space="preserve"> and community engagement at the national and sub-national levels.</w:t>
      </w:r>
      <w:r w:rsidR="00042AFF" w:rsidRPr="004D407A">
        <w:rPr>
          <w:rFonts w:ascii="Arial" w:hAnsi="Arial"/>
        </w:rPr>
        <w:t xml:space="preserve">  </w:t>
      </w:r>
    </w:p>
    <w:p w14:paraId="087EB452" w14:textId="51447A98" w:rsidR="00042AFF" w:rsidRPr="004D407A" w:rsidRDefault="00042AFF" w:rsidP="00042AFF">
      <w:pPr>
        <w:pStyle w:val="BodyText"/>
        <w:rPr>
          <w:rFonts w:ascii="Arial" w:hAnsi="Arial"/>
        </w:rPr>
      </w:pPr>
      <w:r w:rsidRPr="004D407A">
        <w:rPr>
          <w:rFonts w:ascii="Arial" w:hAnsi="Arial"/>
        </w:rPr>
        <w:t>Details</w:t>
      </w:r>
      <w:r w:rsidR="00BD6E88" w:rsidRPr="004D407A">
        <w:rPr>
          <w:rFonts w:ascii="Arial" w:hAnsi="Arial"/>
        </w:rPr>
        <w:t xml:space="preserve"> of resource requirements estimated for implementation of each component and sub-components of the National Immunization Strategy</w:t>
      </w:r>
      <w:r w:rsidRPr="004D407A">
        <w:rPr>
          <w:rFonts w:ascii="Arial" w:hAnsi="Arial"/>
        </w:rPr>
        <w:t xml:space="preserve"> are provided in </w:t>
      </w:r>
      <w:r w:rsidRPr="004D407A">
        <w:rPr>
          <w:rFonts w:ascii="Arial" w:hAnsi="Arial"/>
        </w:rPr>
        <w:fldChar w:fldCharType="begin"/>
      </w:r>
      <w:r w:rsidRPr="004D407A">
        <w:rPr>
          <w:rFonts w:ascii="Arial" w:hAnsi="Arial"/>
        </w:rPr>
        <w:instrText xml:space="preserve"> REF _Ref104629688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b/>
          <w:bCs/>
        </w:rPr>
        <w:t>Error! Reference source not found.</w:t>
      </w:r>
      <w:r w:rsidRPr="004D407A">
        <w:rPr>
          <w:rFonts w:ascii="Arial" w:hAnsi="Arial"/>
        </w:rPr>
        <w:fldChar w:fldCharType="end"/>
      </w:r>
      <w:r w:rsidRPr="004D407A">
        <w:rPr>
          <w:rFonts w:ascii="Arial" w:hAnsi="Arial"/>
        </w:rPr>
        <w:t xml:space="preserve"> on page </w:t>
      </w:r>
      <w:r w:rsidRPr="004D407A">
        <w:rPr>
          <w:rFonts w:ascii="Arial" w:hAnsi="Arial"/>
        </w:rPr>
        <w:fldChar w:fldCharType="begin"/>
      </w:r>
      <w:r w:rsidRPr="004D407A">
        <w:rPr>
          <w:rFonts w:ascii="Arial" w:hAnsi="Arial"/>
        </w:rPr>
        <w:instrText xml:space="preserve"> PAGEREF _Ref104629693 \h </w:instrText>
      </w:r>
      <w:r w:rsidRPr="004D407A">
        <w:rPr>
          <w:rFonts w:ascii="Arial" w:hAnsi="Arial"/>
        </w:rPr>
      </w:r>
      <w:r w:rsidRPr="004D407A">
        <w:rPr>
          <w:rFonts w:ascii="Arial" w:hAnsi="Arial"/>
        </w:rPr>
        <w:fldChar w:fldCharType="separate"/>
      </w:r>
      <w:r w:rsidR="00D80429" w:rsidRPr="004D407A">
        <w:rPr>
          <w:rFonts w:ascii="Arial" w:hAnsi="Arial"/>
          <w:b/>
          <w:bCs/>
          <w:noProof/>
        </w:rPr>
        <w:t>Error! Bookmark not defined.</w:t>
      </w:r>
      <w:r w:rsidRPr="004D407A">
        <w:rPr>
          <w:rFonts w:ascii="Arial" w:hAnsi="Arial"/>
        </w:rPr>
        <w:fldChar w:fldCharType="end"/>
      </w:r>
    </w:p>
    <w:p w14:paraId="6266EA4E" w14:textId="77777777" w:rsidR="00E53D03" w:rsidRPr="004D407A" w:rsidRDefault="00E53D03" w:rsidP="00E53D03">
      <w:pPr>
        <w:pStyle w:val="Heading3"/>
        <w:rPr>
          <w:color w:val="auto"/>
        </w:rPr>
      </w:pPr>
      <w:bookmarkStart w:id="304" w:name="_Toc103004701"/>
      <w:bookmarkStart w:id="305" w:name="_Toc111910272"/>
      <w:r w:rsidRPr="004D407A">
        <w:rPr>
          <w:color w:val="auto"/>
        </w:rPr>
        <w:lastRenderedPageBreak/>
        <w:t>Description of scenarios for introduction of new vaccines</w:t>
      </w:r>
      <w:bookmarkEnd w:id="304"/>
      <w:bookmarkEnd w:id="305"/>
    </w:p>
    <w:p w14:paraId="21379FF5" w14:textId="1B3B7122" w:rsidR="00E53D03" w:rsidRPr="004D407A" w:rsidRDefault="00E53D03" w:rsidP="00E53D03">
      <w:pPr>
        <w:pStyle w:val="myHeading1"/>
        <w:rPr>
          <w:color w:val="auto"/>
        </w:rPr>
      </w:pPr>
      <w:r w:rsidRPr="004D407A">
        <w:rPr>
          <w:color w:val="auto"/>
        </w:rPr>
        <w:t>Scenario building parameters</w:t>
      </w:r>
    </w:p>
    <w:p w14:paraId="6E0049E0" w14:textId="34565A40" w:rsidR="00E53D03" w:rsidRPr="004D407A" w:rsidRDefault="00E53D03" w:rsidP="00E53D03">
      <w:pPr>
        <w:pStyle w:val="BodyText"/>
        <w:rPr>
          <w:rFonts w:ascii="Arial" w:hAnsi="Arial"/>
        </w:rPr>
      </w:pPr>
      <w:r w:rsidRPr="004D407A">
        <w:rPr>
          <w:rFonts w:ascii="Arial" w:hAnsi="Arial"/>
        </w:rPr>
        <w:t xml:space="preserve">Costing and financing analysis developed four different scenarios for Bangladesh </w:t>
      </w:r>
      <w:r w:rsidR="00DD220D" w:rsidRPr="004D407A">
        <w:rPr>
          <w:rFonts w:ascii="Arial" w:hAnsi="Arial"/>
        </w:rPr>
        <w:t>NIS</w:t>
      </w:r>
      <w:r w:rsidRPr="004D407A">
        <w:rPr>
          <w:rFonts w:ascii="Arial" w:hAnsi="Arial"/>
        </w:rPr>
        <w:t xml:space="preserve"> 20</w:t>
      </w:r>
      <w:r w:rsidR="00DD220D" w:rsidRPr="004D407A">
        <w:rPr>
          <w:rFonts w:ascii="Arial" w:hAnsi="Arial"/>
        </w:rPr>
        <w:t>23</w:t>
      </w:r>
      <w:r w:rsidRPr="004D407A">
        <w:rPr>
          <w:rFonts w:ascii="Arial" w:hAnsi="Arial"/>
        </w:rPr>
        <w:t>-202</w:t>
      </w:r>
      <w:r w:rsidR="00DD220D" w:rsidRPr="004D407A">
        <w:rPr>
          <w:rFonts w:ascii="Arial" w:hAnsi="Arial"/>
        </w:rPr>
        <w:t>7</w:t>
      </w:r>
      <w:r w:rsidRPr="004D407A">
        <w:rPr>
          <w:rFonts w:ascii="Arial" w:hAnsi="Arial"/>
        </w:rPr>
        <w:t>:</w:t>
      </w:r>
    </w:p>
    <w:p w14:paraId="1C1F0858" w14:textId="20EBB30C" w:rsidR="00E53D03" w:rsidRPr="004D407A" w:rsidRDefault="00E53D03">
      <w:pPr>
        <w:pStyle w:val="BodyText"/>
        <w:numPr>
          <w:ilvl w:val="0"/>
          <w:numId w:val="35"/>
        </w:numPr>
        <w:rPr>
          <w:rFonts w:ascii="Arial" w:hAnsi="Arial"/>
        </w:rPr>
      </w:pPr>
      <w:r w:rsidRPr="004D407A">
        <w:rPr>
          <w:rFonts w:ascii="Arial" w:hAnsi="Arial"/>
          <w:b/>
        </w:rPr>
        <w:t xml:space="preserve">Basic Scenario </w:t>
      </w:r>
      <w:r w:rsidRPr="004D407A">
        <w:rPr>
          <w:rFonts w:ascii="Arial" w:hAnsi="Arial"/>
        </w:rPr>
        <w:t xml:space="preserve">– envisions implementation of existing routine immunization program </w:t>
      </w:r>
      <w:r w:rsidR="004F7B58" w:rsidRPr="004D407A">
        <w:rPr>
          <w:rFonts w:ascii="Arial" w:hAnsi="Arial"/>
        </w:rPr>
        <w:t>without introduction of any new vaccine</w:t>
      </w:r>
      <w:r w:rsidRPr="004D407A">
        <w:rPr>
          <w:rFonts w:ascii="Arial" w:hAnsi="Arial"/>
        </w:rPr>
        <w:t xml:space="preserve"> in the national routine immunization schedule.</w:t>
      </w:r>
    </w:p>
    <w:p w14:paraId="6D8FD615" w14:textId="4FC1FBF2" w:rsidR="00E53D03" w:rsidRPr="004D407A" w:rsidRDefault="00E53D03">
      <w:pPr>
        <w:pStyle w:val="BodyText"/>
        <w:numPr>
          <w:ilvl w:val="0"/>
          <w:numId w:val="35"/>
        </w:numPr>
        <w:rPr>
          <w:rFonts w:ascii="Arial" w:hAnsi="Arial"/>
        </w:rPr>
      </w:pPr>
      <w:r w:rsidRPr="004D407A">
        <w:rPr>
          <w:rFonts w:ascii="Arial" w:hAnsi="Arial"/>
          <w:b/>
        </w:rPr>
        <w:t xml:space="preserve">Scenario A </w:t>
      </w:r>
      <w:r w:rsidRPr="004D407A">
        <w:rPr>
          <w:rFonts w:ascii="Arial" w:hAnsi="Arial"/>
        </w:rPr>
        <w:t>– considers nationwide roll out of HPV vaccine targeting a single cohort of 10-year-old girls</w:t>
      </w:r>
      <w:r w:rsidR="007A6F73" w:rsidRPr="004D407A">
        <w:rPr>
          <w:rFonts w:ascii="Arial" w:hAnsi="Arial"/>
        </w:rPr>
        <w:t xml:space="preserve">, implementation of SIA among the Multi-Age Cohort (girls 10-14 years) </w:t>
      </w:r>
      <w:proofErr w:type="gramStart"/>
      <w:r w:rsidR="007A6F73" w:rsidRPr="004D407A">
        <w:rPr>
          <w:rFonts w:ascii="Arial" w:hAnsi="Arial"/>
        </w:rPr>
        <w:t>in  specific</w:t>
      </w:r>
      <w:proofErr w:type="gramEnd"/>
      <w:r w:rsidR="007A6F73" w:rsidRPr="004D407A">
        <w:rPr>
          <w:rFonts w:ascii="Arial" w:hAnsi="Arial"/>
        </w:rPr>
        <w:t xml:space="preserve"> areas of the country and introduction of Rotavirus vaccine in 2023</w:t>
      </w:r>
      <w:r w:rsidRPr="004D407A">
        <w:rPr>
          <w:rFonts w:ascii="Arial" w:hAnsi="Arial"/>
        </w:rPr>
        <w:t xml:space="preserve"> </w:t>
      </w:r>
      <w:r w:rsidRPr="004D407A">
        <w:rPr>
          <w:rFonts w:ascii="Arial" w:hAnsi="Arial"/>
          <w:i/>
        </w:rPr>
        <w:t>in addition to the Basic Scenario</w:t>
      </w:r>
      <w:r w:rsidRPr="004D407A">
        <w:rPr>
          <w:rFonts w:ascii="Arial" w:hAnsi="Arial"/>
        </w:rPr>
        <w:t>.</w:t>
      </w:r>
    </w:p>
    <w:p w14:paraId="4214D3B9" w14:textId="4714AE30" w:rsidR="00E53D03" w:rsidRPr="004D407A" w:rsidRDefault="00E53D03">
      <w:pPr>
        <w:pStyle w:val="BodyText"/>
        <w:numPr>
          <w:ilvl w:val="0"/>
          <w:numId w:val="35"/>
        </w:numPr>
      </w:pPr>
      <w:r w:rsidRPr="004D407A">
        <w:rPr>
          <w:rFonts w:ascii="Arial" w:hAnsi="Arial"/>
          <w:b/>
        </w:rPr>
        <w:t>Scenario B</w:t>
      </w:r>
      <w:r w:rsidRPr="004D407A">
        <w:rPr>
          <w:rFonts w:ascii="Arial" w:hAnsi="Arial"/>
        </w:rPr>
        <w:t xml:space="preserve"> – considers nationwide</w:t>
      </w:r>
      <w:r w:rsidR="007A6F73" w:rsidRPr="004D407A">
        <w:rPr>
          <w:rFonts w:ascii="Arial" w:hAnsi="Arial"/>
        </w:rPr>
        <w:t xml:space="preserve"> introduction of JE and TCV vaccines in 2023</w:t>
      </w:r>
      <w:r w:rsidRPr="004D407A">
        <w:rPr>
          <w:rFonts w:ascii="Arial" w:hAnsi="Arial"/>
        </w:rPr>
        <w:t xml:space="preserve"> </w:t>
      </w:r>
      <w:r w:rsidRPr="004D407A">
        <w:rPr>
          <w:rFonts w:ascii="Arial" w:hAnsi="Arial"/>
          <w:i/>
        </w:rPr>
        <w:t>in addition to the Scenario</w:t>
      </w:r>
      <w:r w:rsidR="007A6F73" w:rsidRPr="004D407A">
        <w:rPr>
          <w:rFonts w:ascii="Arial" w:hAnsi="Arial"/>
          <w:i/>
        </w:rPr>
        <w:t xml:space="preserve"> A</w:t>
      </w:r>
      <w:r w:rsidRPr="004D407A">
        <w:rPr>
          <w:rFonts w:ascii="Arial" w:hAnsi="Arial"/>
        </w:rPr>
        <w:t>.</w:t>
      </w:r>
    </w:p>
    <w:p w14:paraId="2C37C19F" w14:textId="77777777" w:rsidR="00E53D03" w:rsidRPr="004D407A" w:rsidRDefault="00E53D03" w:rsidP="00E53D03">
      <w:pPr>
        <w:pStyle w:val="myHeading1"/>
        <w:rPr>
          <w:color w:val="auto"/>
        </w:rPr>
      </w:pPr>
      <w:r w:rsidRPr="004D407A">
        <w:rPr>
          <w:color w:val="auto"/>
        </w:rPr>
        <w:t>Results – financial implications of new vaccine introduction</w:t>
      </w:r>
    </w:p>
    <w:p w14:paraId="720BBB2A" w14:textId="696B158A" w:rsidR="00E53D03" w:rsidRPr="004D407A" w:rsidRDefault="00E53D03" w:rsidP="00E53D03">
      <w:pPr>
        <w:pStyle w:val="BodyText"/>
        <w:ind w:firstLine="0"/>
        <w:rPr>
          <w:rFonts w:ascii="Arial" w:hAnsi="Arial"/>
        </w:rPr>
      </w:pPr>
      <w:r w:rsidRPr="004D407A">
        <w:rPr>
          <w:rFonts w:ascii="Arial" w:hAnsi="Arial"/>
        </w:rPr>
        <w:t xml:space="preserve">The implication of resource requirements for vaccines and injection supplies by scenarios and years is presented in </w:t>
      </w:r>
      <w:r w:rsidRPr="004D407A">
        <w:rPr>
          <w:rFonts w:ascii="Arial" w:hAnsi="Arial"/>
        </w:rPr>
        <w:fldChar w:fldCharType="begin"/>
      </w:r>
      <w:r w:rsidRPr="004D407A">
        <w:rPr>
          <w:rFonts w:ascii="Arial" w:hAnsi="Arial"/>
        </w:rPr>
        <w:instrText xml:space="preserve"> REF _Ref460197623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29</w:t>
      </w:r>
      <w:r w:rsidRPr="004D407A">
        <w:rPr>
          <w:rFonts w:ascii="Arial" w:hAnsi="Arial"/>
        </w:rPr>
        <w:fldChar w:fldCharType="end"/>
      </w:r>
      <w:r w:rsidRPr="004D407A">
        <w:rPr>
          <w:rFonts w:ascii="Arial" w:hAnsi="Arial"/>
        </w:rPr>
        <w:t xml:space="preserve"> and </w:t>
      </w:r>
      <w:r w:rsidRPr="004D407A">
        <w:rPr>
          <w:rFonts w:ascii="Arial" w:hAnsi="Arial"/>
        </w:rPr>
        <w:fldChar w:fldCharType="begin"/>
      </w:r>
      <w:r w:rsidRPr="004D407A">
        <w:rPr>
          <w:rFonts w:ascii="Arial" w:hAnsi="Arial"/>
        </w:rPr>
        <w:instrText xml:space="preserve"> REF _Ref475315340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31</w:t>
      </w:r>
      <w:r w:rsidRPr="004D407A">
        <w:rPr>
          <w:rFonts w:ascii="Arial" w:hAnsi="Arial"/>
        </w:rPr>
        <w:fldChar w:fldCharType="end"/>
      </w:r>
      <w:r w:rsidRPr="004D407A">
        <w:rPr>
          <w:rFonts w:ascii="Arial" w:hAnsi="Arial"/>
        </w:rPr>
        <w:t>.</w:t>
      </w:r>
    </w:p>
    <w:p w14:paraId="47182242" w14:textId="597F88C2" w:rsidR="00E53D03" w:rsidRPr="004D407A" w:rsidRDefault="00E53D03" w:rsidP="00E53D03">
      <w:pPr>
        <w:pStyle w:val="BodyText"/>
        <w:rPr>
          <w:rFonts w:ascii="Arial" w:hAnsi="Arial"/>
        </w:rPr>
      </w:pPr>
      <w:r w:rsidRPr="004D407A">
        <w:rPr>
          <w:rFonts w:ascii="Arial" w:hAnsi="Arial"/>
        </w:rPr>
        <w:t xml:space="preserve">Analysis of Scenario A </w:t>
      </w:r>
      <w:r w:rsidR="00810AD9" w:rsidRPr="004D407A">
        <w:rPr>
          <w:rFonts w:ascii="Arial" w:hAnsi="Arial"/>
        </w:rPr>
        <w:t>(</w:t>
      </w:r>
      <w:r w:rsidRPr="004D407A">
        <w:rPr>
          <w:rFonts w:ascii="Arial" w:hAnsi="Arial"/>
        </w:rPr>
        <w:t>HPV nationwide roll out among the single cohort of 10-year-old girls</w:t>
      </w:r>
      <w:r w:rsidR="00810AD9" w:rsidRPr="004D407A">
        <w:rPr>
          <w:rFonts w:ascii="Arial" w:hAnsi="Arial"/>
        </w:rPr>
        <w:t>, HPV SIA in selected areas and Rotavirus introduction at the national level)</w:t>
      </w:r>
      <w:r w:rsidRPr="004D407A">
        <w:rPr>
          <w:rFonts w:ascii="Arial" w:hAnsi="Arial"/>
        </w:rPr>
        <w:t xml:space="preserve"> considers costs and financial implications of vaccines and injection supplies, as well as the costs of other introduction-related activities such as</w:t>
      </w:r>
      <w:r w:rsidR="008C62CA" w:rsidRPr="004D407A">
        <w:rPr>
          <w:rFonts w:ascii="Arial" w:hAnsi="Arial"/>
        </w:rPr>
        <w:t xml:space="preserve"> operational costs for introduction</w:t>
      </w:r>
      <w:r w:rsidRPr="004D407A">
        <w:rPr>
          <w:rFonts w:ascii="Arial" w:hAnsi="Arial"/>
        </w:rPr>
        <w:t xml:space="preserve"> and program management activities. </w:t>
      </w:r>
    </w:p>
    <w:p w14:paraId="5435F6D6" w14:textId="3FEAAE03" w:rsidR="00E53D03" w:rsidRPr="004D407A" w:rsidRDefault="00E53D03" w:rsidP="00E53D03">
      <w:pPr>
        <w:pStyle w:val="BodyText"/>
        <w:rPr>
          <w:rFonts w:ascii="Arial" w:hAnsi="Arial"/>
          <w:u w:val="single"/>
        </w:rPr>
      </w:pPr>
      <w:bookmarkStart w:id="306" w:name="_Hlk490691323"/>
      <w:r w:rsidRPr="004D407A">
        <w:rPr>
          <w:rFonts w:ascii="Arial" w:hAnsi="Arial"/>
          <w:u w:val="single"/>
        </w:rPr>
        <w:t xml:space="preserve">All </w:t>
      </w:r>
      <w:r w:rsidRPr="004D407A">
        <w:rPr>
          <w:rFonts w:ascii="Arial" w:hAnsi="Arial"/>
          <w:b/>
          <w:u w:val="single"/>
        </w:rPr>
        <w:t xml:space="preserve">cost implications related </w:t>
      </w:r>
      <w:r w:rsidRPr="004D407A">
        <w:rPr>
          <w:rFonts w:ascii="Arial" w:hAnsi="Arial"/>
          <w:u w:val="single"/>
        </w:rPr>
        <w:t>to the</w:t>
      </w:r>
      <w:r w:rsidR="00185790" w:rsidRPr="004D407A">
        <w:rPr>
          <w:rFonts w:ascii="Arial" w:hAnsi="Arial"/>
          <w:u w:val="single"/>
        </w:rPr>
        <w:t xml:space="preserve"> implementation of the</w:t>
      </w:r>
      <w:r w:rsidRPr="004D407A">
        <w:rPr>
          <w:rFonts w:ascii="Arial" w:hAnsi="Arial"/>
          <w:u w:val="single"/>
        </w:rPr>
        <w:t xml:space="preserve"> </w:t>
      </w:r>
      <w:r w:rsidRPr="004D407A">
        <w:rPr>
          <w:rFonts w:ascii="Arial" w:hAnsi="Arial"/>
          <w:b/>
          <w:u w:val="single"/>
        </w:rPr>
        <w:t xml:space="preserve">Scenarios </w:t>
      </w:r>
      <w:r w:rsidR="00185790" w:rsidRPr="004D407A">
        <w:rPr>
          <w:rFonts w:ascii="Arial" w:hAnsi="Arial"/>
          <w:b/>
          <w:u w:val="single"/>
        </w:rPr>
        <w:t>A</w:t>
      </w:r>
      <w:r w:rsidRPr="004D407A">
        <w:rPr>
          <w:rFonts w:ascii="Arial" w:hAnsi="Arial"/>
          <w:u w:val="single"/>
        </w:rPr>
        <w:t xml:space="preserve"> presented in this </w:t>
      </w:r>
      <w:r w:rsidR="00185790" w:rsidRPr="004D407A">
        <w:rPr>
          <w:rFonts w:ascii="Arial" w:hAnsi="Arial"/>
          <w:u w:val="single"/>
        </w:rPr>
        <w:t>NIS</w:t>
      </w:r>
      <w:r w:rsidRPr="004D407A">
        <w:rPr>
          <w:rFonts w:ascii="Arial" w:hAnsi="Arial"/>
          <w:u w:val="single"/>
        </w:rPr>
        <w:t xml:space="preserve"> are “indicative” and should be used for strategic decision making and advocacy purposes only. Therefore, </w:t>
      </w:r>
      <w:bookmarkEnd w:id="306"/>
      <w:r w:rsidRPr="004D407A">
        <w:rPr>
          <w:rFonts w:ascii="Arial" w:hAnsi="Arial"/>
          <w:u w:val="single"/>
        </w:rPr>
        <w:t xml:space="preserve">in case of selection of </w:t>
      </w:r>
      <w:r w:rsidR="00185790" w:rsidRPr="004D407A">
        <w:rPr>
          <w:rFonts w:ascii="Arial" w:hAnsi="Arial"/>
          <w:u w:val="single"/>
        </w:rPr>
        <w:t>A</w:t>
      </w:r>
      <w:r w:rsidRPr="004D407A">
        <w:rPr>
          <w:rFonts w:ascii="Arial" w:hAnsi="Arial"/>
          <w:u w:val="single"/>
        </w:rPr>
        <w:t xml:space="preserve"> or </w:t>
      </w:r>
      <w:r w:rsidR="00185790" w:rsidRPr="004D407A">
        <w:rPr>
          <w:rFonts w:ascii="Arial" w:hAnsi="Arial"/>
          <w:u w:val="single"/>
        </w:rPr>
        <w:t>B</w:t>
      </w:r>
      <w:r w:rsidRPr="004D407A">
        <w:rPr>
          <w:rFonts w:ascii="Arial" w:hAnsi="Arial"/>
          <w:u w:val="single"/>
        </w:rPr>
        <w:t xml:space="preserve"> scenario, </w:t>
      </w:r>
      <w:r w:rsidRPr="004D407A">
        <w:rPr>
          <w:rFonts w:ascii="Arial" w:hAnsi="Arial"/>
          <w:b/>
          <w:bCs/>
          <w:u w:val="single"/>
        </w:rPr>
        <w:t xml:space="preserve">it will be mandatory to assess readiness and capacity critical components of EPI </w:t>
      </w:r>
      <w:r w:rsidRPr="004D407A">
        <w:rPr>
          <w:rFonts w:ascii="Arial" w:hAnsi="Arial"/>
          <w:u w:val="single"/>
        </w:rPr>
        <w:t>such as Program Management and Cold-chain to ensure effective roll-out of HPV vaccine at the national level</w:t>
      </w:r>
      <w:r w:rsidR="00810AD9" w:rsidRPr="004D407A">
        <w:rPr>
          <w:rFonts w:ascii="Arial" w:hAnsi="Arial"/>
          <w:u w:val="single"/>
        </w:rPr>
        <w:t>, implementation of the HPV catch-up SIA</w:t>
      </w:r>
      <w:r w:rsidR="00185790" w:rsidRPr="004D407A">
        <w:rPr>
          <w:rFonts w:ascii="Arial" w:hAnsi="Arial"/>
          <w:u w:val="single"/>
        </w:rPr>
        <w:t xml:space="preserve"> and introduction of </w:t>
      </w:r>
      <w:r w:rsidR="00810AD9" w:rsidRPr="004D407A">
        <w:rPr>
          <w:rFonts w:ascii="Arial" w:hAnsi="Arial"/>
          <w:u w:val="single"/>
        </w:rPr>
        <w:t>R</w:t>
      </w:r>
      <w:r w:rsidR="00185790" w:rsidRPr="004D407A">
        <w:rPr>
          <w:rFonts w:ascii="Arial" w:hAnsi="Arial"/>
          <w:u w:val="single"/>
        </w:rPr>
        <w:t>otavirus vaccine at the national level</w:t>
      </w:r>
      <w:r w:rsidRPr="004D407A">
        <w:rPr>
          <w:rFonts w:ascii="Arial" w:hAnsi="Arial"/>
          <w:u w:val="single"/>
        </w:rPr>
        <w:t xml:space="preserve">. </w:t>
      </w:r>
    </w:p>
    <w:p w14:paraId="6FC7BA4D" w14:textId="42A48039" w:rsidR="00FB25FB" w:rsidRPr="004D407A" w:rsidRDefault="00E53D03" w:rsidP="00E53D03">
      <w:pPr>
        <w:pStyle w:val="BodyText"/>
      </w:pPr>
      <w:r w:rsidRPr="004D407A">
        <w:rPr>
          <w:rFonts w:ascii="Arial" w:hAnsi="Arial"/>
        </w:rPr>
        <w:fldChar w:fldCharType="begin"/>
      </w:r>
      <w:r w:rsidRPr="004D407A">
        <w:rPr>
          <w:rFonts w:ascii="Arial" w:hAnsi="Arial"/>
        </w:rPr>
        <w:instrText xml:space="preserve"> REF _Ref460197623 \h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29</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_Ref490735276 \p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below</w:t>
      </w:r>
      <w:r w:rsidRPr="004D407A">
        <w:rPr>
          <w:rFonts w:ascii="Arial" w:hAnsi="Arial"/>
        </w:rPr>
        <w:fldChar w:fldCharType="end"/>
      </w:r>
      <w:r w:rsidRPr="004D407A">
        <w:rPr>
          <w:rFonts w:ascii="Arial" w:hAnsi="Arial"/>
        </w:rPr>
        <w:t xml:space="preserve"> compares the resource requirements for vaccines and injection equipment of the </w:t>
      </w:r>
      <w:r w:rsidRPr="004D407A">
        <w:rPr>
          <w:rFonts w:ascii="Arial" w:hAnsi="Arial"/>
          <w:b/>
        </w:rPr>
        <w:t xml:space="preserve">Baselines scenario </w:t>
      </w:r>
      <w:r w:rsidRPr="004D407A">
        <w:rPr>
          <w:rFonts w:ascii="Arial" w:hAnsi="Arial"/>
        </w:rPr>
        <w:t>and</w:t>
      </w:r>
      <w:r w:rsidRPr="004D407A">
        <w:rPr>
          <w:rFonts w:ascii="Arial" w:hAnsi="Arial"/>
          <w:b/>
        </w:rPr>
        <w:t xml:space="preserve"> Scenario A</w:t>
      </w:r>
      <w:r w:rsidRPr="004D407A">
        <w:rPr>
          <w:rFonts w:ascii="Arial" w:hAnsi="Arial"/>
        </w:rPr>
        <w:t xml:space="preserve"> and shows that </w:t>
      </w:r>
      <w:r w:rsidR="00810AD9" w:rsidRPr="004D407A">
        <w:rPr>
          <w:rFonts w:ascii="Arial" w:hAnsi="Arial"/>
        </w:rPr>
        <w:t>introduction of Scenario A</w:t>
      </w:r>
      <w:r w:rsidRPr="004D407A">
        <w:rPr>
          <w:rFonts w:ascii="Arial" w:hAnsi="Arial"/>
        </w:rPr>
        <w:t xml:space="preserve"> will increase annual resource requirement for vaccines and injection supplies by </w:t>
      </w:r>
      <w:r w:rsidR="00CB3286" w:rsidRPr="004D407A">
        <w:rPr>
          <w:rFonts w:ascii="Arial" w:hAnsi="Arial"/>
        </w:rPr>
        <w:t>130</w:t>
      </w:r>
      <w:r w:rsidRPr="004D407A">
        <w:rPr>
          <w:rFonts w:ascii="Arial" w:hAnsi="Arial"/>
        </w:rPr>
        <w:t xml:space="preserve">% (or approximately </w:t>
      </w:r>
      <w:r w:rsidR="00FB25FB" w:rsidRPr="004D407A">
        <w:rPr>
          <w:rFonts w:ascii="Arial" w:hAnsi="Arial"/>
        </w:rPr>
        <w:t>105</w:t>
      </w:r>
      <w:r w:rsidRPr="004D407A">
        <w:rPr>
          <w:rFonts w:ascii="Arial" w:hAnsi="Arial"/>
        </w:rPr>
        <w:t xml:space="preserve"> million US$) in the first year of introduction (20</w:t>
      </w:r>
      <w:r w:rsidR="00FB25FB" w:rsidRPr="004D407A">
        <w:rPr>
          <w:rFonts w:ascii="Arial" w:hAnsi="Arial"/>
        </w:rPr>
        <w:t>23</w:t>
      </w:r>
      <w:r w:rsidRPr="004D407A">
        <w:rPr>
          <w:rFonts w:ascii="Arial" w:hAnsi="Arial"/>
        </w:rPr>
        <w:t>)</w:t>
      </w:r>
      <w:r w:rsidR="00FB25FB" w:rsidRPr="004D407A">
        <w:rPr>
          <w:rFonts w:ascii="Arial" w:hAnsi="Arial"/>
        </w:rPr>
        <w:t xml:space="preserve">, and by 62% in the second, third, fourth and fifth year of projection (or 51, 52, 52.2 and 52.8 million US$ respectively). </w:t>
      </w:r>
    </w:p>
    <w:p w14:paraId="354B5E6A" w14:textId="0F47D23C" w:rsidR="00E53D03" w:rsidRPr="004D407A" w:rsidRDefault="00E53D03" w:rsidP="00FB25FB">
      <w:pPr>
        <w:pStyle w:val="BodyText"/>
        <w:ind w:firstLine="0"/>
      </w:pPr>
    </w:p>
    <w:p w14:paraId="2771C6DA" w14:textId="7A99DDD2" w:rsidR="00E53D03" w:rsidRPr="004D407A" w:rsidRDefault="00E53D03" w:rsidP="00E53D03">
      <w:pPr>
        <w:pStyle w:val="Caption"/>
        <w:rPr>
          <w:noProof/>
          <w:color w:val="auto"/>
        </w:rPr>
      </w:pPr>
      <w:bookmarkStart w:id="307" w:name="_Ref460197623"/>
      <w:bookmarkStart w:id="308" w:name="_Toc478573861"/>
      <w:bookmarkStart w:id="309" w:name="_Ref490735227"/>
      <w:bookmarkStart w:id="310" w:name="_Ref490735236"/>
      <w:bookmarkStart w:id="311" w:name="_Ref490735266"/>
      <w:bookmarkStart w:id="312" w:name="_Ref490735276"/>
      <w:bookmarkStart w:id="313" w:name="_Toc490750645"/>
      <w:bookmarkStart w:id="314" w:name="_Toc103004751"/>
      <w:bookmarkStart w:id="315" w:name="_Toc111912768"/>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29</w:t>
      </w:r>
      <w:r w:rsidR="00E21383" w:rsidRPr="004D407A">
        <w:rPr>
          <w:noProof/>
          <w:color w:val="auto"/>
        </w:rPr>
        <w:fldChar w:fldCharType="end"/>
      </w:r>
      <w:bookmarkEnd w:id="307"/>
      <w:r w:rsidRPr="004D407A">
        <w:rPr>
          <w:noProof/>
          <w:color w:val="auto"/>
        </w:rPr>
        <w:t>:</w:t>
      </w:r>
      <w:r w:rsidR="00810AD9" w:rsidRPr="004D407A">
        <w:rPr>
          <w:noProof/>
          <w:color w:val="auto"/>
        </w:rPr>
        <w:t xml:space="preserve"> </w:t>
      </w:r>
      <w:r w:rsidRPr="004D407A">
        <w:rPr>
          <w:noProof/>
          <w:color w:val="auto"/>
        </w:rPr>
        <w:t>Commparison of resource requirements for vaccines and injection supplies between the Baseline Scenario and Scenario A by years</w:t>
      </w:r>
      <w:bookmarkEnd w:id="308"/>
      <w:bookmarkEnd w:id="309"/>
      <w:bookmarkEnd w:id="310"/>
      <w:bookmarkEnd w:id="311"/>
      <w:bookmarkEnd w:id="312"/>
      <w:bookmarkEnd w:id="313"/>
      <w:bookmarkEnd w:id="314"/>
      <w:bookmarkEnd w:id="315"/>
    </w:p>
    <w:p w14:paraId="52E65177" w14:textId="33379DDC" w:rsidR="00E53D03" w:rsidRPr="004D407A" w:rsidRDefault="00C27E0A" w:rsidP="00E53D03">
      <w:pPr>
        <w:pStyle w:val="myChart"/>
      </w:pPr>
      <w:r w:rsidRPr="004D407A">
        <w:rPr>
          <w:noProof/>
        </w:rPr>
        <w:drawing>
          <wp:inline distT="0" distB="0" distL="0" distR="0" wp14:anchorId="35E3144B" wp14:editId="6432E219">
            <wp:extent cx="3427598" cy="1648233"/>
            <wp:effectExtent l="0" t="0" r="190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2219" cy="1655264"/>
                    </a:xfrm>
                    <a:prstGeom prst="rect">
                      <a:avLst/>
                    </a:prstGeom>
                    <a:noFill/>
                  </pic:spPr>
                </pic:pic>
              </a:graphicData>
            </a:graphic>
          </wp:inline>
        </w:drawing>
      </w:r>
    </w:p>
    <w:p w14:paraId="68D02BE1" w14:textId="14CE6ED3" w:rsidR="00E53D03" w:rsidRPr="004D407A" w:rsidRDefault="00E53D03" w:rsidP="00E53D03">
      <w:pPr>
        <w:pStyle w:val="BodyText"/>
        <w:rPr>
          <w:rFonts w:ascii="Arial" w:hAnsi="Arial"/>
        </w:rPr>
      </w:pPr>
      <w:bookmarkStart w:id="316" w:name="_Ref475314389"/>
      <w:r w:rsidRPr="004D407A">
        <w:rPr>
          <w:rFonts w:ascii="Arial" w:hAnsi="Arial"/>
        </w:rPr>
        <w:lastRenderedPageBreak/>
        <w:t xml:space="preserve">Overall, implementation of the Scenario A will increase required financial resources for vaccines and injection supplies by </w:t>
      </w:r>
      <w:r w:rsidR="00305630" w:rsidRPr="004D407A">
        <w:rPr>
          <w:rFonts w:ascii="Arial" w:hAnsi="Arial"/>
        </w:rPr>
        <w:t>75</w:t>
      </w:r>
      <w:r w:rsidRPr="004D407A">
        <w:rPr>
          <w:rFonts w:ascii="Arial" w:hAnsi="Arial"/>
        </w:rPr>
        <w:t xml:space="preserve">% or </w:t>
      </w:r>
      <w:r w:rsidR="00305630" w:rsidRPr="004D407A">
        <w:rPr>
          <w:rFonts w:ascii="Arial" w:hAnsi="Arial"/>
        </w:rPr>
        <w:t>312.4</w:t>
      </w:r>
      <w:r w:rsidRPr="004D407A">
        <w:rPr>
          <w:rFonts w:ascii="Arial" w:hAnsi="Arial"/>
        </w:rPr>
        <w:t xml:space="preserve"> million US$ over the </w:t>
      </w:r>
      <w:r w:rsidR="00305630" w:rsidRPr="004D407A">
        <w:rPr>
          <w:rFonts w:ascii="Arial" w:hAnsi="Arial"/>
        </w:rPr>
        <w:t>NIS</w:t>
      </w:r>
      <w:r w:rsidRPr="004D407A">
        <w:rPr>
          <w:rFonts w:ascii="Arial" w:hAnsi="Arial"/>
        </w:rPr>
        <w:t xml:space="preserve"> projection period – 20</w:t>
      </w:r>
      <w:r w:rsidR="00305630" w:rsidRPr="004D407A">
        <w:rPr>
          <w:rFonts w:ascii="Arial" w:hAnsi="Arial"/>
        </w:rPr>
        <w:t>23</w:t>
      </w:r>
      <w:r w:rsidRPr="004D407A">
        <w:rPr>
          <w:rFonts w:ascii="Arial" w:hAnsi="Arial"/>
        </w:rPr>
        <w:t>-202</w:t>
      </w:r>
      <w:r w:rsidR="00305630" w:rsidRPr="004D407A">
        <w:rPr>
          <w:rFonts w:ascii="Arial" w:hAnsi="Arial"/>
        </w:rPr>
        <w:t>7</w:t>
      </w:r>
      <w:r w:rsidRPr="004D407A">
        <w:rPr>
          <w:rFonts w:ascii="Arial" w:hAnsi="Arial"/>
        </w:rPr>
        <w:t>.</w:t>
      </w:r>
    </w:p>
    <w:p w14:paraId="5A92A5D9" w14:textId="610C3A7A" w:rsidR="00810AD9" w:rsidRPr="004D407A" w:rsidRDefault="00810AD9" w:rsidP="00E53D03">
      <w:pPr>
        <w:pStyle w:val="BodyText"/>
        <w:rPr>
          <w:rFonts w:ascii="Arial" w:hAnsi="Arial"/>
        </w:rPr>
      </w:pPr>
      <w:r w:rsidRPr="004D407A">
        <w:rPr>
          <w:rFonts w:ascii="Arial" w:hAnsi="Arial"/>
        </w:rPr>
        <w:t xml:space="preserve">Further and more detailed analysis of the Scenario A introduction examined cost implications on the national budget, considering that the country will be supported by GAVI in introduction of Rotavirus and HPV vaccines. As it is presented in </w:t>
      </w:r>
      <w:r w:rsidRPr="004D407A">
        <w:rPr>
          <w:rFonts w:ascii="Arial" w:hAnsi="Arial"/>
        </w:rPr>
        <w:fldChar w:fldCharType="begin"/>
      </w:r>
      <w:r w:rsidRPr="004D407A">
        <w:rPr>
          <w:rFonts w:ascii="Arial" w:hAnsi="Arial"/>
        </w:rPr>
        <w:instrText xml:space="preserve"> REF _Ref104664082 \h  \* MERGEFORMAT </w:instrText>
      </w:r>
      <w:r w:rsidRPr="004D407A">
        <w:rPr>
          <w:rFonts w:ascii="Arial" w:hAnsi="Arial"/>
        </w:rPr>
      </w:r>
      <w:r w:rsidRPr="004D407A">
        <w:rPr>
          <w:rFonts w:ascii="Arial" w:hAnsi="Arial"/>
        </w:rPr>
        <w:fldChar w:fldCharType="separate"/>
      </w:r>
      <w:r w:rsidR="00D80429" w:rsidRPr="004D407A">
        <w:rPr>
          <w:rFonts w:ascii="Arial" w:hAnsi="Arial"/>
        </w:rPr>
        <w:t>Figure 30</w:t>
      </w:r>
      <w:r w:rsidRPr="004D407A">
        <w:rPr>
          <w:rFonts w:ascii="Arial" w:hAnsi="Arial"/>
        </w:rPr>
        <w:fldChar w:fldCharType="end"/>
      </w:r>
      <w:r w:rsidRPr="004D407A">
        <w:rPr>
          <w:rFonts w:ascii="Arial" w:hAnsi="Arial"/>
        </w:rPr>
        <w:t xml:space="preserve"> below the implementation of the Scenario A will increase the government contribution for procurement of vaccines and injection supplies by 44% (or 103 million US$</w:t>
      </w:r>
      <w:proofErr w:type="gramStart"/>
      <w:r w:rsidRPr="004D407A">
        <w:rPr>
          <w:rFonts w:ascii="Arial" w:hAnsi="Arial"/>
        </w:rPr>
        <w:t>);</w:t>
      </w:r>
      <w:proofErr w:type="gramEnd"/>
    </w:p>
    <w:p w14:paraId="1C55EA21" w14:textId="4D9A35F2" w:rsidR="00810AD9" w:rsidRPr="004D407A" w:rsidRDefault="00810AD9" w:rsidP="00810AD9">
      <w:pPr>
        <w:pStyle w:val="Caption"/>
        <w:rPr>
          <w:color w:val="auto"/>
        </w:rPr>
      </w:pPr>
      <w:bookmarkStart w:id="317" w:name="_Ref104664082"/>
      <w:bookmarkStart w:id="318" w:name="_Toc111912769"/>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30</w:t>
      </w:r>
      <w:r w:rsidR="00E21383" w:rsidRPr="004D407A">
        <w:rPr>
          <w:noProof/>
          <w:color w:val="auto"/>
        </w:rPr>
        <w:fldChar w:fldCharType="end"/>
      </w:r>
      <w:bookmarkEnd w:id="317"/>
      <w:r w:rsidRPr="004D407A">
        <w:rPr>
          <w:color w:val="auto"/>
        </w:rPr>
        <w:t>: Cost implication on State budget – Scenario A introduction</w:t>
      </w:r>
      <w:bookmarkEnd w:id="318"/>
    </w:p>
    <w:p w14:paraId="0D9BC25F" w14:textId="5A317207" w:rsidR="00810AD9" w:rsidRPr="004D407A" w:rsidRDefault="00810AD9" w:rsidP="00810AD9">
      <w:r w:rsidRPr="004D407A">
        <w:rPr>
          <w:noProof/>
        </w:rPr>
        <w:drawing>
          <wp:inline distT="0" distB="0" distL="0" distR="0" wp14:anchorId="2436DE4F" wp14:editId="4027F924">
            <wp:extent cx="4107485" cy="1932399"/>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35476" cy="1945568"/>
                    </a:xfrm>
                    <a:prstGeom prst="rect">
                      <a:avLst/>
                    </a:prstGeom>
                    <a:noFill/>
                  </pic:spPr>
                </pic:pic>
              </a:graphicData>
            </a:graphic>
          </wp:inline>
        </w:drawing>
      </w:r>
    </w:p>
    <w:p w14:paraId="153034ED" w14:textId="6E5F8EED" w:rsidR="00E53D03" w:rsidRPr="004D407A" w:rsidRDefault="00E53D03" w:rsidP="00E53D03">
      <w:pPr>
        <w:pStyle w:val="BodyText"/>
        <w:rPr>
          <w:rFonts w:ascii="Arial" w:hAnsi="Arial"/>
        </w:rPr>
      </w:pPr>
      <w:r w:rsidRPr="004D407A">
        <w:rPr>
          <w:rFonts w:ascii="Arial" w:hAnsi="Arial"/>
        </w:rPr>
        <w:fldChar w:fldCharType="begin"/>
      </w:r>
      <w:r w:rsidRPr="004D407A">
        <w:rPr>
          <w:rFonts w:ascii="Arial" w:hAnsi="Arial"/>
        </w:rPr>
        <w:instrText xml:space="preserve"> REF _Ref475315340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31</w:t>
      </w:r>
      <w:r w:rsidRPr="004D407A">
        <w:rPr>
          <w:rFonts w:ascii="Arial" w:hAnsi="Arial"/>
        </w:rPr>
        <w:fldChar w:fldCharType="end"/>
      </w:r>
      <w:r w:rsidRPr="004D407A">
        <w:rPr>
          <w:rFonts w:ascii="Arial" w:hAnsi="Arial"/>
        </w:rPr>
        <w:t xml:space="preserve"> shows </w:t>
      </w:r>
      <w:r w:rsidRPr="004D407A">
        <w:rPr>
          <w:rFonts w:ascii="Arial" w:hAnsi="Arial"/>
          <w:b/>
        </w:rPr>
        <w:t>comparison</w:t>
      </w:r>
      <w:r w:rsidRPr="004D407A">
        <w:rPr>
          <w:rFonts w:ascii="Arial" w:hAnsi="Arial"/>
        </w:rPr>
        <w:t xml:space="preserve"> of resource requirements for vaccines and injection supplies between the </w:t>
      </w:r>
      <w:r w:rsidRPr="004D407A">
        <w:rPr>
          <w:rFonts w:ascii="Arial" w:hAnsi="Arial"/>
          <w:b/>
        </w:rPr>
        <w:t>Baseline Scenario</w:t>
      </w:r>
      <w:r w:rsidRPr="004D407A">
        <w:rPr>
          <w:rFonts w:ascii="Arial" w:hAnsi="Arial"/>
        </w:rPr>
        <w:t xml:space="preserve"> and </w:t>
      </w:r>
      <w:r w:rsidRPr="004D407A">
        <w:rPr>
          <w:rFonts w:ascii="Arial" w:hAnsi="Arial"/>
          <w:b/>
        </w:rPr>
        <w:t>Scenario B</w:t>
      </w:r>
      <w:r w:rsidRPr="004D407A">
        <w:rPr>
          <w:rFonts w:ascii="Arial" w:hAnsi="Arial"/>
        </w:rPr>
        <w:t>.</w:t>
      </w:r>
    </w:p>
    <w:p w14:paraId="756B27EF" w14:textId="36601F7C" w:rsidR="00E53D03" w:rsidRPr="004D407A" w:rsidRDefault="00E53D03" w:rsidP="00E53D03">
      <w:pPr>
        <w:pStyle w:val="BodyText"/>
        <w:rPr>
          <w:rFonts w:ascii="Arial" w:hAnsi="Arial"/>
        </w:rPr>
      </w:pPr>
      <w:r w:rsidRPr="004D407A">
        <w:rPr>
          <w:rFonts w:ascii="Arial" w:hAnsi="Arial"/>
        </w:rPr>
        <w:t xml:space="preserve">Targeting </w:t>
      </w:r>
      <w:r w:rsidR="0066679E" w:rsidRPr="004D407A">
        <w:rPr>
          <w:rFonts w:ascii="Arial" w:hAnsi="Arial"/>
        </w:rPr>
        <w:t>JE and TCV introduction in addition to the scenario A (described above)</w:t>
      </w:r>
      <w:r w:rsidRPr="004D407A">
        <w:rPr>
          <w:rFonts w:ascii="Arial" w:hAnsi="Arial"/>
        </w:rPr>
        <w:t xml:space="preserve"> will increase annual resource requirement for vaccines and injection supplies by </w:t>
      </w:r>
      <w:r w:rsidR="009C680A" w:rsidRPr="004D407A">
        <w:rPr>
          <w:rFonts w:ascii="Arial" w:hAnsi="Arial"/>
        </w:rPr>
        <w:t>159</w:t>
      </w:r>
      <w:r w:rsidRPr="004D407A">
        <w:rPr>
          <w:rFonts w:ascii="Arial" w:hAnsi="Arial"/>
        </w:rPr>
        <w:t xml:space="preserve">% (or </w:t>
      </w:r>
      <w:r w:rsidR="00F36723" w:rsidRPr="004D407A">
        <w:rPr>
          <w:rFonts w:ascii="Arial" w:hAnsi="Arial"/>
        </w:rPr>
        <w:t>128</w:t>
      </w:r>
      <w:r w:rsidRPr="004D407A">
        <w:rPr>
          <w:rFonts w:ascii="Arial" w:hAnsi="Arial"/>
        </w:rPr>
        <w:t xml:space="preserve"> million US$) in the first year of</w:t>
      </w:r>
      <w:r w:rsidR="009C680A" w:rsidRPr="004D407A">
        <w:rPr>
          <w:rFonts w:ascii="Arial" w:hAnsi="Arial"/>
        </w:rPr>
        <w:t xml:space="preserve"> introduction (2023)</w:t>
      </w:r>
      <w:r w:rsidRPr="004D407A">
        <w:rPr>
          <w:rFonts w:ascii="Arial" w:hAnsi="Arial"/>
        </w:rPr>
        <w:t>.</w:t>
      </w:r>
    </w:p>
    <w:p w14:paraId="2AE7F2BD" w14:textId="4FC3CECF" w:rsidR="00E53D03" w:rsidRPr="004D407A" w:rsidRDefault="00E53D03" w:rsidP="00E53D03">
      <w:pPr>
        <w:pStyle w:val="BodyText"/>
      </w:pPr>
      <w:r w:rsidRPr="004D407A">
        <w:rPr>
          <w:rFonts w:ascii="Arial" w:hAnsi="Arial"/>
        </w:rPr>
        <w:t xml:space="preserve">Overall implementation of the </w:t>
      </w:r>
      <w:r w:rsidRPr="004D407A">
        <w:rPr>
          <w:rFonts w:ascii="Arial" w:hAnsi="Arial"/>
          <w:b/>
        </w:rPr>
        <w:t>Scenario B</w:t>
      </w:r>
      <w:r w:rsidRPr="004D407A">
        <w:rPr>
          <w:rFonts w:ascii="Arial" w:hAnsi="Arial"/>
        </w:rPr>
        <w:t xml:space="preserve"> will require by </w:t>
      </w:r>
      <w:r w:rsidR="009C680A" w:rsidRPr="004D407A">
        <w:rPr>
          <w:rFonts w:ascii="Arial" w:hAnsi="Arial"/>
        </w:rPr>
        <w:t>104.7</w:t>
      </w:r>
      <w:r w:rsidRPr="004D407A">
        <w:rPr>
          <w:rFonts w:ascii="Arial" w:hAnsi="Arial"/>
        </w:rPr>
        <w:t>% (or 168 million US$) more resources for vaccines and injection supplies than implementation of the</w:t>
      </w:r>
      <w:r w:rsidRPr="004D407A">
        <w:rPr>
          <w:rFonts w:ascii="Arial" w:hAnsi="Arial"/>
          <w:b/>
        </w:rPr>
        <w:t xml:space="preserve"> Baseline Scenario</w:t>
      </w:r>
      <w:r w:rsidRPr="004D407A">
        <w:rPr>
          <w:rFonts w:ascii="Arial" w:hAnsi="Arial"/>
        </w:rPr>
        <w:t>.</w:t>
      </w:r>
      <w:r w:rsidR="00297B6B" w:rsidRPr="004D407A">
        <w:rPr>
          <w:rFonts w:ascii="Arial" w:hAnsi="Arial"/>
        </w:rPr>
        <w:t xml:space="preserve"> </w:t>
      </w:r>
    </w:p>
    <w:p w14:paraId="1F57FA54" w14:textId="3D77F405" w:rsidR="00E53D03" w:rsidRPr="004D407A" w:rsidRDefault="00E53D03" w:rsidP="00E53D03">
      <w:pPr>
        <w:pStyle w:val="Caption"/>
        <w:rPr>
          <w:noProof/>
          <w:color w:val="auto"/>
        </w:rPr>
      </w:pPr>
      <w:bookmarkStart w:id="319" w:name="_Ref475315340"/>
      <w:bookmarkStart w:id="320" w:name="_Toc478573862"/>
      <w:bookmarkStart w:id="321" w:name="_Toc490750646"/>
      <w:bookmarkStart w:id="322" w:name="_Toc103004752"/>
      <w:bookmarkStart w:id="323" w:name="_Toc111912770"/>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31</w:t>
      </w:r>
      <w:r w:rsidR="00E21383" w:rsidRPr="004D407A">
        <w:rPr>
          <w:noProof/>
          <w:color w:val="auto"/>
        </w:rPr>
        <w:fldChar w:fldCharType="end"/>
      </w:r>
      <w:bookmarkEnd w:id="316"/>
      <w:bookmarkEnd w:id="319"/>
      <w:r w:rsidRPr="004D407A">
        <w:rPr>
          <w:color w:val="auto"/>
        </w:rPr>
        <w:t xml:space="preserve">: </w:t>
      </w:r>
      <w:r w:rsidRPr="004D407A">
        <w:rPr>
          <w:noProof/>
          <w:color w:val="auto"/>
        </w:rPr>
        <w:tab/>
        <w:t>Commparison of resource requirements for vaccines and injection supplies between the Baseline Scenario and Scenario B by</w:t>
      </w:r>
      <w:bookmarkEnd w:id="320"/>
      <w:bookmarkEnd w:id="321"/>
      <w:r w:rsidRPr="004D407A">
        <w:rPr>
          <w:noProof/>
          <w:color w:val="auto"/>
        </w:rPr>
        <w:t xml:space="preserve"> years</w:t>
      </w:r>
      <w:bookmarkEnd w:id="322"/>
      <w:bookmarkEnd w:id="323"/>
    </w:p>
    <w:p w14:paraId="0D2B2ECD" w14:textId="5EAEDE02" w:rsidR="00E53D03" w:rsidRPr="004D407A" w:rsidRDefault="00311F88" w:rsidP="00E53D03">
      <w:r w:rsidRPr="004D407A">
        <w:rPr>
          <w:noProof/>
        </w:rPr>
        <w:drawing>
          <wp:inline distT="0" distB="0" distL="0" distR="0" wp14:anchorId="186B88AF" wp14:editId="71B7CDD0">
            <wp:extent cx="4572000" cy="21985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78" cy="2204688"/>
                    </a:xfrm>
                    <a:prstGeom prst="rect">
                      <a:avLst/>
                    </a:prstGeom>
                    <a:noFill/>
                  </pic:spPr>
                </pic:pic>
              </a:graphicData>
            </a:graphic>
          </wp:inline>
        </w:drawing>
      </w:r>
    </w:p>
    <w:p w14:paraId="1179A187" w14:textId="6025A016" w:rsidR="00297B6B" w:rsidRPr="004D407A" w:rsidRDefault="00297B6B" w:rsidP="00E53D03">
      <w:pPr>
        <w:pStyle w:val="BodyText"/>
        <w:rPr>
          <w:rFonts w:ascii="Arial" w:hAnsi="Arial"/>
        </w:rPr>
      </w:pPr>
      <w:r w:rsidRPr="004D407A">
        <w:rPr>
          <w:rFonts w:ascii="Arial" w:hAnsi="Arial"/>
        </w:rPr>
        <w:t xml:space="preserve">Further analysis of the cost implications of the Scenario B introduction on the Government budget showed that if government decides to introduce all four vaccines according to the Scenario B, then government has to increase current budget for procurement </w:t>
      </w:r>
      <w:r w:rsidRPr="004D407A">
        <w:rPr>
          <w:rFonts w:ascii="Arial" w:hAnsi="Arial"/>
        </w:rPr>
        <w:lastRenderedPageBreak/>
        <w:t xml:space="preserve">of vaccines and injection supplies by 85% over the </w:t>
      </w:r>
      <w:proofErr w:type="gramStart"/>
      <w:r w:rsidRPr="004D407A">
        <w:rPr>
          <w:rFonts w:ascii="Arial" w:hAnsi="Arial"/>
        </w:rPr>
        <w:t>five year</w:t>
      </w:r>
      <w:proofErr w:type="gramEnd"/>
      <w:r w:rsidRPr="004D407A">
        <w:rPr>
          <w:rFonts w:ascii="Arial" w:hAnsi="Arial"/>
        </w:rPr>
        <w:t xml:space="preserve"> period and allocate in addition 198 million US$. </w:t>
      </w:r>
    </w:p>
    <w:p w14:paraId="63DAD723" w14:textId="6A3F5DE5" w:rsidR="00297B6B" w:rsidRPr="004D407A" w:rsidRDefault="00297B6B" w:rsidP="00297B6B">
      <w:pPr>
        <w:pStyle w:val="Caption"/>
        <w:rPr>
          <w:color w:val="auto"/>
        </w:rPr>
      </w:pPr>
      <w:bookmarkStart w:id="324" w:name="_Toc111912771"/>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32</w:t>
      </w:r>
      <w:r w:rsidR="00E21383" w:rsidRPr="004D407A">
        <w:rPr>
          <w:noProof/>
          <w:color w:val="auto"/>
        </w:rPr>
        <w:fldChar w:fldCharType="end"/>
      </w:r>
      <w:r w:rsidRPr="004D407A">
        <w:rPr>
          <w:color w:val="auto"/>
        </w:rPr>
        <w:t>: Cost implication on government budget – Scenario B introduction</w:t>
      </w:r>
      <w:bookmarkEnd w:id="324"/>
    </w:p>
    <w:p w14:paraId="7CB08541" w14:textId="2B9FF8AB" w:rsidR="00297B6B" w:rsidRPr="004D407A" w:rsidRDefault="00297B6B" w:rsidP="00297B6B">
      <w:r w:rsidRPr="004D407A">
        <w:rPr>
          <w:noProof/>
        </w:rPr>
        <w:drawing>
          <wp:inline distT="0" distB="0" distL="0" distR="0" wp14:anchorId="15898E94" wp14:editId="4FCCC32D">
            <wp:extent cx="4244906" cy="1997049"/>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1657" cy="2004929"/>
                    </a:xfrm>
                    <a:prstGeom prst="rect">
                      <a:avLst/>
                    </a:prstGeom>
                    <a:noFill/>
                  </pic:spPr>
                </pic:pic>
              </a:graphicData>
            </a:graphic>
          </wp:inline>
        </w:drawing>
      </w:r>
    </w:p>
    <w:p w14:paraId="0A5ED495" w14:textId="2F7D6617" w:rsidR="00E53D03" w:rsidRPr="004D407A" w:rsidRDefault="00E53D03" w:rsidP="00E53D03">
      <w:pPr>
        <w:pStyle w:val="BodyText"/>
        <w:rPr>
          <w:rFonts w:ascii="Arial" w:hAnsi="Arial"/>
        </w:rPr>
      </w:pPr>
      <w:r w:rsidRPr="004D407A">
        <w:rPr>
          <w:rFonts w:ascii="Arial" w:hAnsi="Arial"/>
        </w:rPr>
        <w:t xml:space="preserve">Comparison of costs of vaccines and </w:t>
      </w:r>
      <w:r w:rsidR="003206F1" w:rsidRPr="004D407A">
        <w:rPr>
          <w:rFonts w:ascii="Arial" w:hAnsi="Arial"/>
        </w:rPr>
        <w:t>cold chain</w:t>
      </w:r>
      <w:r w:rsidRPr="004D407A">
        <w:rPr>
          <w:rFonts w:ascii="Arial" w:hAnsi="Arial"/>
        </w:rPr>
        <w:t xml:space="preserve"> across all </w:t>
      </w:r>
      <w:r w:rsidR="00385B72" w:rsidRPr="004D407A">
        <w:rPr>
          <w:rFonts w:ascii="Arial" w:hAnsi="Arial"/>
        </w:rPr>
        <w:t>three</w:t>
      </w:r>
      <w:r w:rsidRPr="004D407A">
        <w:rPr>
          <w:rFonts w:ascii="Arial" w:hAnsi="Arial"/>
        </w:rPr>
        <w:t xml:space="preserve"> different scenarios (Baseline, A</w:t>
      </w:r>
      <w:r w:rsidR="00385B72" w:rsidRPr="004D407A">
        <w:rPr>
          <w:rFonts w:ascii="Arial" w:hAnsi="Arial"/>
        </w:rPr>
        <w:t xml:space="preserve"> and </w:t>
      </w:r>
      <w:r w:rsidRPr="004D407A">
        <w:rPr>
          <w:rFonts w:ascii="Arial" w:hAnsi="Arial"/>
        </w:rPr>
        <w:t xml:space="preserve">B scenarios) shows that </w:t>
      </w:r>
      <w:r w:rsidR="00385B72" w:rsidRPr="004D407A">
        <w:rPr>
          <w:rFonts w:ascii="Arial" w:hAnsi="Arial"/>
        </w:rPr>
        <w:t xml:space="preserve">introduction of </w:t>
      </w:r>
      <w:r w:rsidR="003206F1" w:rsidRPr="004D407A">
        <w:rPr>
          <w:rFonts w:ascii="Arial" w:hAnsi="Arial"/>
        </w:rPr>
        <w:t>vaccines according to the Scenarios A and B will require</w:t>
      </w:r>
      <w:r w:rsidRPr="004D407A">
        <w:rPr>
          <w:rFonts w:ascii="Arial" w:hAnsi="Arial"/>
        </w:rPr>
        <w:t xml:space="preserve"> significant increase of EPI funding for vaccine procurement alone. Moreover, introduction of</w:t>
      </w:r>
      <w:r w:rsidR="003206F1" w:rsidRPr="004D407A">
        <w:rPr>
          <w:rFonts w:ascii="Arial" w:hAnsi="Arial"/>
        </w:rPr>
        <w:t xml:space="preserve"> these new scenarios will be related to the substantial investments </w:t>
      </w:r>
      <w:r w:rsidRPr="004D407A">
        <w:rPr>
          <w:rFonts w:ascii="Arial" w:hAnsi="Arial"/>
        </w:rPr>
        <w:t xml:space="preserve">for </w:t>
      </w:r>
      <w:proofErr w:type="spellStart"/>
      <w:r w:rsidRPr="004D407A">
        <w:rPr>
          <w:rFonts w:ascii="Arial" w:hAnsi="Arial"/>
        </w:rPr>
        <w:t>i</w:t>
      </w:r>
      <w:proofErr w:type="spellEnd"/>
      <w:r w:rsidRPr="004D407A">
        <w:rPr>
          <w:rFonts w:ascii="Arial" w:hAnsi="Arial"/>
        </w:rPr>
        <w:t>) assessment and identification of cold-chain and supply system requirements, ii) upgrading cold-chain system to meet standards and capacity for accommodation of the new vaccines and (iii) strengthening EPI service delivery capacity, through undertaking complex efforts for building</w:t>
      </w:r>
      <w:r w:rsidR="002444D2" w:rsidRPr="004D407A">
        <w:rPr>
          <w:rFonts w:ascii="Arial" w:hAnsi="Arial"/>
        </w:rPr>
        <w:t xml:space="preserve"> system capacity in different areas such as HR development, service delivery, cold-chain upgrade and delivery and VPD surveillance and demand generation.</w:t>
      </w:r>
    </w:p>
    <w:p w14:paraId="730E2108" w14:textId="77777777" w:rsidR="00E53D03" w:rsidRPr="004D407A" w:rsidRDefault="00E53D03" w:rsidP="00E53D03">
      <w:pPr>
        <w:pStyle w:val="Heading2"/>
        <w:rPr>
          <w:color w:val="auto"/>
        </w:rPr>
      </w:pPr>
      <w:bookmarkStart w:id="325" w:name="_Toc489491538"/>
      <w:bookmarkStart w:id="326" w:name="_Toc103004702"/>
      <w:bookmarkStart w:id="327" w:name="_Toc111910273"/>
      <w:r w:rsidRPr="004D407A">
        <w:rPr>
          <w:color w:val="auto"/>
        </w:rPr>
        <w:t>Future financing and funding gaps</w:t>
      </w:r>
      <w:bookmarkEnd w:id="325"/>
      <w:bookmarkEnd w:id="326"/>
      <w:bookmarkEnd w:id="327"/>
    </w:p>
    <w:p w14:paraId="001625FF" w14:textId="0D9943F5" w:rsidR="00E53D03" w:rsidRPr="004D407A" w:rsidRDefault="00E53D03" w:rsidP="00E53D03">
      <w:pPr>
        <w:pStyle w:val="BodyText"/>
        <w:rPr>
          <w:rFonts w:ascii="Arial" w:hAnsi="Arial"/>
        </w:rPr>
      </w:pPr>
      <w:r w:rsidRPr="004D407A">
        <w:rPr>
          <w:rFonts w:ascii="Arial" w:hAnsi="Arial"/>
        </w:rPr>
        <w:t>The detail information on Baseline</w:t>
      </w:r>
      <w:r w:rsidRPr="004D407A">
        <w:rPr>
          <w:rStyle w:val="FootnoteReference"/>
          <w:rFonts w:ascii="Arial" w:hAnsi="Arial"/>
        </w:rPr>
        <w:footnoteReference w:id="49"/>
      </w:r>
      <w:r w:rsidRPr="004D407A">
        <w:rPr>
          <w:rFonts w:ascii="Arial" w:hAnsi="Arial"/>
        </w:rPr>
        <w:t xml:space="preserve"> program funding is presented in</w:t>
      </w:r>
      <w:r w:rsidR="00E8588A" w:rsidRPr="004D407A">
        <w:rPr>
          <w:rFonts w:ascii="Arial" w:hAnsi="Arial"/>
        </w:rPr>
        <w:t xml:space="preserve"> </w:t>
      </w:r>
      <w:r w:rsidR="00E8588A" w:rsidRPr="004D407A">
        <w:rPr>
          <w:rFonts w:ascii="Arial" w:hAnsi="Arial"/>
        </w:rPr>
        <w:fldChar w:fldCharType="begin"/>
      </w:r>
      <w:r w:rsidR="00E8588A" w:rsidRPr="004D407A">
        <w:rPr>
          <w:rFonts w:ascii="Arial" w:hAnsi="Arial"/>
        </w:rPr>
        <w:instrText xml:space="preserve"> REF _Ref104480395 \h </w:instrText>
      </w:r>
      <w:r w:rsidR="00882955" w:rsidRPr="004D407A">
        <w:rPr>
          <w:rFonts w:ascii="Arial" w:hAnsi="Arial"/>
        </w:rPr>
        <w:instrText xml:space="preserve"> \* MERGEFORMAT </w:instrText>
      </w:r>
      <w:r w:rsidR="00E8588A" w:rsidRPr="004D407A">
        <w:rPr>
          <w:rFonts w:ascii="Arial" w:hAnsi="Arial"/>
        </w:rPr>
      </w:r>
      <w:r w:rsidR="00E8588A"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41</w:t>
      </w:r>
      <w:r w:rsidR="00E8588A" w:rsidRPr="004D407A">
        <w:rPr>
          <w:rFonts w:ascii="Arial" w:hAnsi="Arial"/>
        </w:rPr>
        <w:fldChar w:fldCharType="end"/>
      </w:r>
      <w:r w:rsidR="00E8588A" w:rsidRPr="004D407A">
        <w:rPr>
          <w:rFonts w:ascii="Arial" w:hAnsi="Arial"/>
        </w:rPr>
        <w:t xml:space="preserve"> on page </w:t>
      </w:r>
      <w:r w:rsidR="00E8588A" w:rsidRPr="004D407A">
        <w:rPr>
          <w:rFonts w:ascii="Arial" w:hAnsi="Arial"/>
        </w:rPr>
        <w:fldChar w:fldCharType="begin"/>
      </w:r>
      <w:r w:rsidR="00E8588A" w:rsidRPr="004D407A">
        <w:rPr>
          <w:rFonts w:ascii="Arial" w:hAnsi="Arial"/>
        </w:rPr>
        <w:instrText xml:space="preserve"> PAGEREF _Ref104480399 \h </w:instrText>
      </w:r>
      <w:r w:rsidR="00E8588A" w:rsidRPr="004D407A">
        <w:rPr>
          <w:rFonts w:ascii="Arial" w:hAnsi="Arial"/>
        </w:rPr>
      </w:r>
      <w:r w:rsidR="00E8588A" w:rsidRPr="004D407A">
        <w:rPr>
          <w:rFonts w:ascii="Arial" w:hAnsi="Arial"/>
        </w:rPr>
        <w:fldChar w:fldCharType="separate"/>
      </w:r>
      <w:r w:rsidR="00D80429" w:rsidRPr="004D407A">
        <w:rPr>
          <w:rFonts w:ascii="Arial" w:hAnsi="Arial"/>
          <w:noProof/>
        </w:rPr>
        <w:t>62</w:t>
      </w:r>
      <w:r w:rsidR="00E8588A" w:rsidRPr="004D407A">
        <w:rPr>
          <w:rFonts w:ascii="Arial" w:hAnsi="Arial"/>
        </w:rPr>
        <w:fldChar w:fldCharType="end"/>
      </w:r>
      <w:r w:rsidRPr="004D407A">
        <w:rPr>
          <w:rFonts w:ascii="Arial" w:hAnsi="Arial"/>
        </w:rPr>
        <w:t>.</w:t>
      </w:r>
    </w:p>
    <w:p w14:paraId="6CBC654D" w14:textId="14E4602D" w:rsidR="00E53D03" w:rsidRPr="004D407A" w:rsidRDefault="00E53D03" w:rsidP="00E53D03">
      <w:pPr>
        <w:pStyle w:val="BodyText"/>
        <w:rPr>
          <w:rFonts w:ascii="Arial" w:hAnsi="Arial"/>
        </w:rPr>
      </w:pPr>
      <w:r w:rsidRPr="004D407A">
        <w:rPr>
          <w:rFonts w:ascii="Arial" w:hAnsi="Arial"/>
        </w:rPr>
        <w:t xml:space="preserve">The total </w:t>
      </w:r>
      <w:r w:rsidR="00ED2360" w:rsidRPr="004D407A">
        <w:rPr>
          <w:rFonts w:ascii="Arial" w:hAnsi="Arial"/>
        </w:rPr>
        <w:t>budget required for implementation</w:t>
      </w:r>
      <w:r w:rsidRPr="004D407A">
        <w:rPr>
          <w:rFonts w:ascii="Arial" w:hAnsi="Arial"/>
        </w:rPr>
        <w:t xml:space="preserve"> of </w:t>
      </w:r>
      <w:r w:rsidR="00ED2360" w:rsidRPr="004D407A">
        <w:rPr>
          <w:rFonts w:ascii="Arial" w:hAnsi="Arial"/>
        </w:rPr>
        <w:t>NIS</w:t>
      </w:r>
      <w:r w:rsidRPr="004D407A">
        <w:rPr>
          <w:rFonts w:ascii="Arial" w:hAnsi="Arial"/>
        </w:rPr>
        <w:t xml:space="preserve"> during the period 20</w:t>
      </w:r>
      <w:r w:rsidR="00ED2360" w:rsidRPr="004D407A">
        <w:rPr>
          <w:rFonts w:ascii="Arial" w:hAnsi="Arial"/>
        </w:rPr>
        <w:t>23</w:t>
      </w:r>
      <w:r w:rsidRPr="004D407A">
        <w:rPr>
          <w:rFonts w:ascii="Arial" w:hAnsi="Arial"/>
        </w:rPr>
        <w:t>-202</w:t>
      </w:r>
      <w:r w:rsidR="00ED2360" w:rsidRPr="004D407A">
        <w:rPr>
          <w:rFonts w:ascii="Arial" w:hAnsi="Arial"/>
        </w:rPr>
        <w:t>7</w:t>
      </w:r>
      <w:r w:rsidRPr="004D407A">
        <w:rPr>
          <w:rFonts w:ascii="Arial" w:hAnsi="Arial"/>
        </w:rPr>
        <w:t xml:space="preserve"> </w:t>
      </w:r>
      <w:r w:rsidR="00ED2360" w:rsidRPr="004D407A">
        <w:rPr>
          <w:rFonts w:ascii="Arial" w:hAnsi="Arial"/>
        </w:rPr>
        <w:t>is estimated at 421 million US$</w:t>
      </w:r>
      <w:r w:rsidRPr="004D407A">
        <w:rPr>
          <w:rFonts w:ascii="Arial" w:hAnsi="Arial"/>
        </w:rPr>
        <w:t>.</w:t>
      </w:r>
    </w:p>
    <w:p w14:paraId="128727A0" w14:textId="2884E75B" w:rsidR="00E53D03" w:rsidRPr="004D407A" w:rsidRDefault="00E53D03" w:rsidP="00E53D03">
      <w:pPr>
        <w:pStyle w:val="BodyText"/>
        <w:rPr>
          <w:rFonts w:ascii="Arial" w:hAnsi="Arial"/>
        </w:rPr>
      </w:pPr>
      <w:r w:rsidRPr="004D407A">
        <w:rPr>
          <w:rFonts w:ascii="Arial" w:hAnsi="Arial"/>
          <w:b/>
        </w:rPr>
        <w:t>Government of Bangladesh</w:t>
      </w:r>
      <w:r w:rsidRPr="004D407A">
        <w:rPr>
          <w:rFonts w:ascii="Arial" w:hAnsi="Arial"/>
        </w:rPr>
        <w:t xml:space="preserve"> </w:t>
      </w:r>
      <w:r w:rsidR="00ED2360" w:rsidRPr="004D407A">
        <w:rPr>
          <w:rFonts w:ascii="Arial" w:hAnsi="Arial"/>
        </w:rPr>
        <w:t>will</w:t>
      </w:r>
      <w:r w:rsidRPr="004D407A">
        <w:rPr>
          <w:rFonts w:ascii="Arial" w:hAnsi="Arial"/>
        </w:rPr>
        <w:t xml:space="preserve"> be the major source of financing of </w:t>
      </w:r>
      <w:r w:rsidR="00ED2360" w:rsidRPr="004D407A">
        <w:rPr>
          <w:rFonts w:ascii="Arial" w:hAnsi="Arial"/>
        </w:rPr>
        <w:t xml:space="preserve">NIS implementation </w:t>
      </w:r>
      <w:r w:rsidRPr="004D407A">
        <w:rPr>
          <w:rFonts w:ascii="Arial" w:hAnsi="Arial"/>
        </w:rPr>
        <w:t xml:space="preserve">contributing </w:t>
      </w:r>
      <w:r w:rsidR="00885C74" w:rsidRPr="004D407A">
        <w:rPr>
          <w:rFonts w:ascii="Arial" w:hAnsi="Arial"/>
        </w:rPr>
        <w:t>to</w:t>
      </w:r>
      <w:r w:rsidRPr="004D407A">
        <w:rPr>
          <w:rFonts w:ascii="Arial" w:hAnsi="Arial"/>
        </w:rPr>
        <w:t xml:space="preserve"> total</w:t>
      </w:r>
      <w:r w:rsidR="00ED2360" w:rsidRPr="004D407A">
        <w:rPr>
          <w:rFonts w:ascii="Arial" w:hAnsi="Arial"/>
        </w:rPr>
        <w:t xml:space="preserve"> </w:t>
      </w:r>
      <w:r w:rsidR="007C1D2B" w:rsidRPr="004D407A">
        <w:rPr>
          <w:rFonts w:ascii="Arial" w:hAnsi="Arial"/>
        </w:rPr>
        <w:t>233</w:t>
      </w:r>
      <w:r w:rsidR="00ED2360" w:rsidRPr="004D407A">
        <w:rPr>
          <w:rFonts w:ascii="Arial" w:hAnsi="Arial"/>
        </w:rPr>
        <w:t>.</w:t>
      </w:r>
      <w:r w:rsidR="007C1D2B" w:rsidRPr="004D407A">
        <w:rPr>
          <w:rFonts w:ascii="Arial" w:hAnsi="Arial"/>
        </w:rPr>
        <w:t>913</w:t>
      </w:r>
      <w:r w:rsidRPr="004D407A">
        <w:rPr>
          <w:rFonts w:ascii="Arial" w:hAnsi="Arial"/>
        </w:rPr>
        <w:t xml:space="preserve"> million US$ which will constitute </w:t>
      </w:r>
      <w:r w:rsidR="007C1D2B" w:rsidRPr="004D407A">
        <w:rPr>
          <w:rFonts w:ascii="Arial" w:hAnsi="Arial"/>
        </w:rPr>
        <w:t>47</w:t>
      </w:r>
      <w:r w:rsidRPr="004D407A">
        <w:rPr>
          <w:rFonts w:ascii="Arial" w:hAnsi="Arial"/>
        </w:rPr>
        <w:t xml:space="preserve">% of total funding. </w:t>
      </w:r>
    </w:p>
    <w:p w14:paraId="6607CE8F" w14:textId="06DD1B29" w:rsidR="00E53D03" w:rsidRPr="004D407A" w:rsidRDefault="00E53D03" w:rsidP="00E53D03">
      <w:pPr>
        <w:pStyle w:val="BodyText"/>
        <w:rPr>
          <w:rFonts w:ascii="Arial" w:hAnsi="Arial"/>
        </w:rPr>
      </w:pPr>
      <w:r w:rsidRPr="004D407A">
        <w:rPr>
          <w:rFonts w:ascii="Arial" w:hAnsi="Arial"/>
          <w:b/>
        </w:rPr>
        <w:t>Gavi</w:t>
      </w:r>
      <w:r w:rsidRPr="004D407A">
        <w:rPr>
          <w:rFonts w:ascii="Arial" w:hAnsi="Arial"/>
        </w:rPr>
        <w:t xml:space="preserve"> will be the second major source of financing of Bangladesh EPI contributing </w:t>
      </w:r>
      <w:r w:rsidR="007C1D2B" w:rsidRPr="004D407A">
        <w:rPr>
          <w:rFonts w:ascii="Arial" w:hAnsi="Arial"/>
        </w:rPr>
        <w:t>approximately 180</w:t>
      </w:r>
      <w:r w:rsidRPr="004D407A">
        <w:rPr>
          <w:rFonts w:ascii="Arial" w:hAnsi="Arial"/>
        </w:rPr>
        <w:t xml:space="preserve"> million US$ accounting for </w:t>
      </w:r>
      <w:r w:rsidR="007C1D2B" w:rsidRPr="004D407A">
        <w:rPr>
          <w:rFonts w:ascii="Arial" w:hAnsi="Arial"/>
        </w:rPr>
        <w:t>36</w:t>
      </w:r>
      <w:r w:rsidRPr="004D407A">
        <w:rPr>
          <w:rFonts w:ascii="Arial" w:hAnsi="Arial"/>
        </w:rPr>
        <w:t xml:space="preserve">% of total funding. </w:t>
      </w:r>
    </w:p>
    <w:p w14:paraId="559341EB" w14:textId="138F5C90" w:rsidR="00E53D03" w:rsidRPr="004D407A" w:rsidRDefault="00E53D03" w:rsidP="004C31DE">
      <w:pPr>
        <w:pStyle w:val="BodyText"/>
        <w:rPr>
          <w:rFonts w:ascii="Arial" w:hAnsi="Arial"/>
        </w:rPr>
      </w:pPr>
      <w:r w:rsidRPr="004D407A">
        <w:rPr>
          <w:rFonts w:ascii="Arial" w:hAnsi="Arial"/>
          <w:b/>
        </w:rPr>
        <w:t>WHO</w:t>
      </w:r>
      <w:r w:rsidRPr="004D407A">
        <w:rPr>
          <w:rFonts w:ascii="Arial" w:hAnsi="Arial"/>
          <w:bCs/>
        </w:rPr>
        <w:t xml:space="preserve"> </w:t>
      </w:r>
      <w:r w:rsidR="007C1D2B" w:rsidRPr="004D407A">
        <w:rPr>
          <w:rFonts w:ascii="Arial" w:hAnsi="Arial"/>
          <w:bCs/>
        </w:rPr>
        <w:t>secured</w:t>
      </w:r>
      <w:r w:rsidR="007C1D2B" w:rsidRPr="004D407A">
        <w:rPr>
          <w:rFonts w:ascii="Arial" w:hAnsi="Arial"/>
        </w:rPr>
        <w:t xml:space="preserve"> resources for the NIS implementation will amount 588,836 US$</w:t>
      </w:r>
      <w:r w:rsidRPr="004D407A">
        <w:rPr>
          <w:rFonts w:ascii="Arial" w:hAnsi="Arial"/>
        </w:rPr>
        <w:t xml:space="preserve"> </w:t>
      </w:r>
      <w:r w:rsidR="00C82F24" w:rsidRPr="004D407A">
        <w:rPr>
          <w:rFonts w:ascii="Arial" w:hAnsi="Arial"/>
        </w:rPr>
        <w:t xml:space="preserve">(or </w:t>
      </w:r>
      <w:r w:rsidR="007C1D2B" w:rsidRPr="004D407A">
        <w:rPr>
          <w:rFonts w:ascii="Arial" w:hAnsi="Arial"/>
        </w:rPr>
        <w:t>0.1</w:t>
      </w:r>
      <w:r w:rsidRPr="004D407A">
        <w:rPr>
          <w:rFonts w:ascii="Arial" w:hAnsi="Arial"/>
        </w:rPr>
        <w:t>2% of total secured funding</w:t>
      </w:r>
      <w:r w:rsidR="00C82F24" w:rsidRPr="004D407A">
        <w:rPr>
          <w:rFonts w:ascii="Arial" w:hAnsi="Arial"/>
        </w:rPr>
        <w:t xml:space="preserve"> as shown </w:t>
      </w:r>
      <w:r w:rsidRPr="004D407A">
        <w:rPr>
          <w:rFonts w:ascii="Arial" w:hAnsi="Arial"/>
        </w:rPr>
        <w:t xml:space="preserve">in </w:t>
      </w:r>
      <w:r w:rsidRPr="004D407A">
        <w:rPr>
          <w:rFonts w:ascii="Arial" w:hAnsi="Arial"/>
        </w:rPr>
        <w:fldChar w:fldCharType="begin"/>
      </w:r>
      <w:r w:rsidRPr="004D407A">
        <w:rPr>
          <w:rFonts w:ascii="Arial" w:hAnsi="Arial"/>
        </w:rPr>
        <w:instrText xml:space="preserve"> REF _Ref441773804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b/>
          <w:bCs/>
        </w:rPr>
        <w:t>Error! Reference source not found.</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_Ref441773808 \p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b/>
          <w:bCs/>
        </w:rPr>
        <w:t>Error! Reference source not found.</w:t>
      </w:r>
      <w:r w:rsidRPr="004D407A">
        <w:rPr>
          <w:rFonts w:ascii="Arial" w:hAnsi="Arial"/>
        </w:rPr>
        <w:fldChar w:fldCharType="end"/>
      </w:r>
      <w:r w:rsidRPr="004D407A">
        <w:rPr>
          <w:rFonts w:ascii="Arial" w:hAnsi="Arial"/>
        </w:rPr>
        <w:t>):</w:t>
      </w:r>
    </w:p>
    <w:p w14:paraId="0D54B781" w14:textId="1A0AD055" w:rsidR="00E53D03" w:rsidRPr="004D407A" w:rsidRDefault="00E53D03" w:rsidP="00E53D03">
      <w:pPr>
        <w:pStyle w:val="BodyText"/>
        <w:rPr>
          <w:rFonts w:ascii="Arial" w:hAnsi="Arial"/>
        </w:rPr>
      </w:pPr>
      <w:r w:rsidRPr="004D407A">
        <w:rPr>
          <w:rFonts w:ascii="Arial" w:hAnsi="Arial"/>
        </w:rPr>
        <w:fldChar w:fldCharType="begin"/>
      </w:r>
      <w:r w:rsidRPr="004D407A">
        <w:rPr>
          <w:rFonts w:ascii="Arial" w:hAnsi="Arial"/>
        </w:rPr>
        <w:instrText xml:space="preserve"> REF _Ref460187175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33</w:t>
      </w:r>
      <w:r w:rsidRPr="004D407A">
        <w:rPr>
          <w:rFonts w:ascii="Arial" w:hAnsi="Arial"/>
        </w:rPr>
        <w:fldChar w:fldCharType="end"/>
      </w:r>
      <w:r w:rsidRPr="004D407A">
        <w:rPr>
          <w:rFonts w:ascii="Arial" w:hAnsi="Arial"/>
        </w:rPr>
        <w:t xml:space="preserve"> illustrates funding conditions of </w:t>
      </w:r>
      <w:r w:rsidR="00B44D8C" w:rsidRPr="004D407A">
        <w:rPr>
          <w:rFonts w:ascii="Arial" w:hAnsi="Arial"/>
        </w:rPr>
        <w:t>NIS 2023-2027 financial sustainability considering available funding</w:t>
      </w:r>
      <w:r w:rsidRPr="004D407A">
        <w:rPr>
          <w:rFonts w:ascii="Arial" w:hAnsi="Arial"/>
        </w:rPr>
        <w:t>.</w:t>
      </w:r>
    </w:p>
    <w:p w14:paraId="510EC8A3" w14:textId="72F251E5" w:rsidR="00B44D8C" w:rsidRPr="004D407A" w:rsidRDefault="00B44D8C" w:rsidP="00E53D03">
      <w:pPr>
        <w:pStyle w:val="BodyText"/>
      </w:pPr>
      <w:r w:rsidRPr="004D407A">
        <w:rPr>
          <w:rFonts w:ascii="Arial" w:hAnsi="Arial"/>
        </w:rPr>
        <w:t>The size of the funding gap by years, varies between 7% (in 2027) and 24% (in 2023) of total NIS budget. The more detailed analysis of the funding gap is provided in the next section.</w:t>
      </w:r>
    </w:p>
    <w:p w14:paraId="06109AB8" w14:textId="191D113D" w:rsidR="00E53D03" w:rsidRPr="004D407A" w:rsidRDefault="00E53D03" w:rsidP="00E53D03">
      <w:pPr>
        <w:pStyle w:val="Caption"/>
        <w:rPr>
          <w:color w:val="auto"/>
        </w:rPr>
      </w:pPr>
      <w:bookmarkStart w:id="328" w:name="_Ref460187175"/>
      <w:bookmarkStart w:id="329" w:name="_Toc478573867"/>
      <w:bookmarkStart w:id="330" w:name="_Toc490750652"/>
      <w:bookmarkStart w:id="331" w:name="_Toc103004756"/>
      <w:bookmarkStart w:id="332" w:name="_Toc111912772"/>
      <w:r w:rsidRPr="004D407A">
        <w:rPr>
          <w:color w:val="auto"/>
        </w:rPr>
        <w:lastRenderedPageBreak/>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33</w:t>
      </w:r>
      <w:r w:rsidR="00E21383" w:rsidRPr="004D407A">
        <w:rPr>
          <w:noProof/>
          <w:color w:val="auto"/>
        </w:rPr>
        <w:fldChar w:fldCharType="end"/>
      </w:r>
      <w:bookmarkEnd w:id="328"/>
      <w:r w:rsidRPr="004D407A">
        <w:rPr>
          <w:noProof/>
          <w:color w:val="auto"/>
        </w:rPr>
        <w:t>:</w:t>
      </w:r>
      <w:r w:rsidRPr="004D407A">
        <w:rPr>
          <w:noProof/>
          <w:color w:val="auto"/>
        </w:rPr>
        <w:tab/>
      </w:r>
      <w:r w:rsidRPr="004D407A">
        <w:rPr>
          <w:color w:val="auto"/>
        </w:rPr>
        <w:t>Financing by sources and funding gap by years (with secured and probable funds, excluding shared health system costs)</w:t>
      </w:r>
      <w:bookmarkEnd w:id="329"/>
      <w:bookmarkEnd w:id="330"/>
      <w:bookmarkEnd w:id="331"/>
      <w:bookmarkEnd w:id="332"/>
    </w:p>
    <w:p w14:paraId="460C49ED" w14:textId="28B3429C" w:rsidR="00E53D03" w:rsidRPr="004D407A" w:rsidRDefault="00B44D8C" w:rsidP="00E53D03">
      <w:pPr>
        <w:pStyle w:val="mySource"/>
        <w:rPr>
          <w:color w:val="auto"/>
        </w:rPr>
      </w:pPr>
      <w:r w:rsidRPr="004D407A">
        <w:rPr>
          <w:noProof/>
          <w:color w:val="auto"/>
        </w:rPr>
        <w:drawing>
          <wp:inline distT="0" distB="0" distL="0" distR="0" wp14:anchorId="6E4F84B6" wp14:editId="1F18BC48">
            <wp:extent cx="4006076" cy="22828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0452" cy="2285318"/>
                    </a:xfrm>
                    <a:prstGeom prst="rect">
                      <a:avLst/>
                    </a:prstGeom>
                    <a:noFill/>
                  </pic:spPr>
                </pic:pic>
              </a:graphicData>
            </a:graphic>
          </wp:inline>
        </w:drawing>
      </w:r>
    </w:p>
    <w:p w14:paraId="34D28390" w14:textId="77777777" w:rsidR="00E53D03" w:rsidRPr="004D407A" w:rsidRDefault="00E53D03" w:rsidP="00E53D03">
      <w:pPr>
        <w:pStyle w:val="Heading2"/>
        <w:rPr>
          <w:color w:val="auto"/>
        </w:rPr>
      </w:pPr>
      <w:bookmarkStart w:id="333" w:name="_Toc489491539"/>
      <w:bookmarkStart w:id="334" w:name="_Toc103004703"/>
      <w:bookmarkStart w:id="335" w:name="_Toc111910274"/>
      <w:r w:rsidRPr="004D407A">
        <w:rPr>
          <w:color w:val="auto"/>
        </w:rPr>
        <w:t>Funding gap analysis and sustainability</w:t>
      </w:r>
      <w:bookmarkEnd w:id="333"/>
      <w:bookmarkEnd w:id="334"/>
      <w:bookmarkEnd w:id="335"/>
    </w:p>
    <w:p w14:paraId="0B0E04DB" w14:textId="77777777" w:rsidR="00E53D03" w:rsidRPr="004D407A" w:rsidRDefault="00E53D03" w:rsidP="00E53D03">
      <w:pPr>
        <w:pStyle w:val="Heading3"/>
        <w:rPr>
          <w:color w:val="auto"/>
        </w:rPr>
      </w:pPr>
      <w:bookmarkStart w:id="336" w:name="_Toc489491540"/>
      <w:bookmarkStart w:id="337" w:name="_Toc103004704"/>
      <w:bookmarkStart w:id="338" w:name="_Toc111910275"/>
      <w:r w:rsidRPr="004D407A">
        <w:rPr>
          <w:color w:val="auto"/>
        </w:rPr>
        <w:t>Implications of the funding gap on immunization system performance</w:t>
      </w:r>
      <w:bookmarkEnd w:id="336"/>
      <w:bookmarkEnd w:id="337"/>
      <w:bookmarkEnd w:id="338"/>
    </w:p>
    <w:p w14:paraId="33DCFB5C" w14:textId="39999AFA" w:rsidR="00E53D03" w:rsidRPr="004D407A" w:rsidRDefault="00E53D03" w:rsidP="00E53D03">
      <w:pPr>
        <w:pStyle w:val="BodyText"/>
        <w:rPr>
          <w:rFonts w:ascii="Arial" w:hAnsi="Arial"/>
        </w:rPr>
      </w:pPr>
      <w:r w:rsidRPr="004D407A">
        <w:rPr>
          <w:rFonts w:ascii="Arial" w:hAnsi="Arial"/>
        </w:rPr>
        <w:t xml:space="preserve">Analysis of funding gap showed that the funding gap in the amount of approximately </w:t>
      </w:r>
      <w:r w:rsidR="00190801" w:rsidRPr="004D407A">
        <w:rPr>
          <w:rFonts w:ascii="Arial" w:hAnsi="Arial"/>
        </w:rPr>
        <w:t xml:space="preserve">70 million US$ </w:t>
      </w:r>
      <w:r w:rsidRPr="004D407A">
        <w:rPr>
          <w:rFonts w:ascii="Arial" w:hAnsi="Arial"/>
        </w:rPr>
        <w:t xml:space="preserve">will affect </w:t>
      </w:r>
      <w:r w:rsidR="00190801" w:rsidRPr="004D407A">
        <w:rPr>
          <w:rFonts w:ascii="Arial" w:hAnsi="Arial"/>
        </w:rPr>
        <w:t xml:space="preserve">all </w:t>
      </w:r>
      <w:r w:rsidRPr="004D407A">
        <w:rPr>
          <w:rFonts w:ascii="Arial" w:hAnsi="Arial"/>
        </w:rPr>
        <w:t>components of the immunization system</w:t>
      </w:r>
      <w:r w:rsidR="00190801" w:rsidRPr="004D407A">
        <w:rPr>
          <w:rFonts w:ascii="Arial" w:hAnsi="Arial"/>
        </w:rPr>
        <w:t>.</w:t>
      </w:r>
      <w:r w:rsidRPr="004D407A">
        <w:rPr>
          <w:rFonts w:ascii="Arial" w:hAnsi="Arial"/>
        </w:rPr>
        <w:t xml:space="preserve"> </w:t>
      </w:r>
      <w:r w:rsidR="00190801" w:rsidRPr="004D407A">
        <w:rPr>
          <w:rFonts w:ascii="Arial" w:hAnsi="Arial"/>
        </w:rPr>
        <w:t>With the current financing of the immunization system, there is 100% funding gap for implementation of interventions in the areas of “Program management”, “Human resources management”, “Service delivery”, “Disease Surveillance” and “Demand generation”</w:t>
      </w:r>
      <w:r w:rsidR="00C24B1D" w:rsidRPr="004D407A">
        <w:rPr>
          <w:rFonts w:ascii="Arial" w:hAnsi="Arial"/>
        </w:rPr>
        <w:t xml:space="preserve"> and the funding gap for these components accounts for 100%. </w:t>
      </w:r>
      <w:r w:rsidRPr="004D407A">
        <w:rPr>
          <w:rFonts w:ascii="Arial" w:hAnsi="Arial"/>
        </w:rPr>
        <w:t>(</w:t>
      </w:r>
      <w:proofErr w:type="gramStart"/>
      <w:r w:rsidRPr="004D407A">
        <w:rPr>
          <w:rFonts w:ascii="Arial" w:hAnsi="Arial"/>
        </w:rPr>
        <w:t>see</w:t>
      </w:r>
      <w:proofErr w:type="gramEnd"/>
      <w:r w:rsidRPr="004D407A">
        <w:rPr>
          <w:rFonts w:ascii="Arial" w:hAnsi="Arial"/>
        </w:rPr>
        <w:t xml:space="preserve"> </w:t>
      </w:r>
      <w:r w:rsidRPr="004D407A">
        <w:rPr>
          <w:rFonts w:ascii="Arial" w:hAnsi="Arial"/>
        </w:rPr>
        <w:fldChar w:fldCharType="begin"/>
      </w:r>
      <w:r w:rsidRPr="004D407A">
        <w:rPr>
          <w:rFonts w:ascii="Arial" w:hAnsi="Arial"/>
        </w:rPr>
        <w:instrText xml:space="preserve"> REF _Ref459542295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 xml:space="preserve">Figure </w:t>
      </w:r>
      <w:r w:rsidR="00D80429" w:rsidRPr="004D407A">
        <w:rPr>
          <w:rFonts w:ascii="Arial" w:hAnsi="Arial"/>
          <w:noProof/>
        </w:rPr>
        <w:t>34</w:t>
      </w:r>
      <w:r w:rsidRPr="004D407A">
        <w:rPr>
          <w:rFonts w:ascii="Arial" w:hAnsi="Arial"/>
        </w:rPr>
        <w:fldChar w:fldCharType="end"/>
      </w:r>
      <w:r w:rsidR="00C24B1D" w:rsidRPr="004D407A">
        <w:rPr>
          <w:rFonts w:ascii="Arial" w:hAnsi="Arial"/>
        </w:rPr>
        <w:t xml:space="preserve"> </w:t>
      </w:r>
      <w:r w:rsidRPr="004D407A">
        <w:rPr>
          <w:rFonts w:ascii="Arial" w:hAnsi="Arial"/>
        </w:rPr>
        <w:fldChar w:fldCharType="begin"/>
      </w:r>
      <w:r w:rsidRPr="004D407A">
        <w:rPr>
          <w:rFonts w:ascii="Arial" w:hAnsi="Arial"/>
        </w:rPr>
        <w:instrText xml:space="preserve"> REF _Ref459542298 \p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rPr>
        <w:t>below</w:t>
      </w:r>
      <w:r w:rsidRPr="004D407A">
        <w:rPr>
          <w:rFonts w:ascii="Arial" w:hAnsi="Arial"/>
        </w:rPr>
        <w:fldChar w:fldCharType="end"/>
      </w:r>
      <w:r w:rsidRPr="004D407A">
        <w:rPr>
          <w:rFonts w:ascii="Arial" w:hAnsi="Arial"/>
        </w:rPr>
        <w:t xml:space="preserve">). </w:t>
      </w:r>
      <w:r w:rsidR="00C24B1D" w:rsidRPr="004D407A">
        <w:rPr>
          <w:rFonts w:ascii="Arial" w:hAnsi="Arial"/>
        </w:rPr>
        <w:t xml:space="preserve">The funding gap for “vaccine supply, quality and logistics” component accounts for 6%, however this calculation </w:t>
      </w:r>
      <w:r w:rsidR="00885C74" w:rsidRPr="004D407A">
        <w:rPr>
          <w:rFonts w:ascii="Arial" w:hAnsi="Arial"/>
        </w:rPr>
        <w:t>assumed</w:t>
      </w:r>
      <w:r w:rsidR="00C24B1D" w:rsidRPr="004D407A">
        <w:rPr>
          <w:rFonts w:ascii="Arial" w:hAnsi="Arial"/>
        </w:rPr>
        <w:t xml:space="preserve"> that the Government </w:t>
      </w:r>
      <w:proofErr w:type="gramStart"/>
      <w:r w:rsidR="00C24B1D" w:rsidRPr="004D407A">
        <w:rPr>
          <w:rFonts w:ascii="Arial" w:hAnsi="Arial"/>
        </w:rPr>
        <w:t>will</w:t>
      </w:r>
      <w:proofErr w:type="gramEnd"/>
      <w:r w:rsidR="00C24B1D" w:rsidRPr="004D407A">
        <w:rPr>
          <w:rFonts w:ascii="Arial" w:hAnsi="Arial"/>
        </w:rPr>
        <w:t xml:space="preserve"> continue allocation for sufficient funding for procurement of routine immunization vaccines and co-financing of the vaccines provided by Gavi. This also included assumption that the government will significantly increase the budget for procurement of Routine immunization vaccines after graduation from Gavi financing and taking responsibility for procurement of all vaccines of the national immunization schedule.</w:t>
      </w:r>
    </w:p>
    <w:p w14:paraId="3FA3BBEF" w14:textId="717EA811" w:rsidR="00E53D03" w:rsidRPr="004D407A" w:rsidRDefault="00E53D03" w:rsidP="00E53D03">
      <w:pPr>
        <w:pStyle w:val="Caption"/>
        <w:rPr>
          <w:color w:val="auto"/>
        </w:rPr>
      </w:pPr>
      <w:bookmarkStart w:id="339" w:name="_Ref459542295"/>
      <w:bookmarkStart w:id="340" w:name="_Ref459542298"/>
      <w:bookmarkStart w:id="341" w:name="_Toc478573868"/>
      <w:bookmarkStart w:id="342" w:name="_Toc490750653"/>
      <w:bookmarkStart w:id="343" w:name="_Toc103004757"/>
      <w:bookmarkStart w:id="344" w:name="_Toc111912773"/>
      <w:bookmarkStart w:id="345" w:name="_Ref441776037"/>
      <w:bookmarkStart w:id="346" w:name="_Ref441776039"/>
      <w:bookmarkStart w:id="347" w:name="_Toc447749576"/>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34</w:t>
      </w:r>
      <w:r w:rsidR="00E21383" w:rsidRPr="004D407A">
        <w:rPr>
          <w:noProof/>
          <w:color w:val="auto"/>
        </w:rPr>
        <w:fldChar w:fldCharType="end"/>
      </w:r>
      <w:bookmarkEnd w:id="339"/>
      <w:r w:rsidRPr="004D407A">
        <w:rPr>
          <w:color w:val="auto"/>
        </w:rPr>
        <w:t>:</w:t>
      </w:r>
      <w:r w:rsidRPr="004D407A">
        <w:rPr>
          <w:color w:val="auto"/>
        </w:rPr>
        <w:tab/>
        <w:t>Funding gap structure by years</w:t>
      </w:r>
      <w:bookmarkEnd w:id="340"/>
      <w:bookmarkEnd w:id="341"/>
      <w:bookmarkEnd w:id="342"/>
      <w:bookmarkEnd w:id="343"/>
      <w:bookmarkEnd w:id="344"/>
    </w:p>
    <w:bookmarkEnd w:id="345"/>
    <w:bookmarkEnd w:id="346"/>
    <w:bookmarkEnd w:id="347"/>
    <w:p w14:paraId="076D8C8E" w14:textId="2193E1E8" w:rsidR="00E53D03" w:rsidRPr="004D407A" w:rsidRDefault="00190801" w:rsidP="00E53D03">
      <w:pPr>
        <w:pStyle w:val="myChart"/>
      </w:pPr>
      <w:r w:rsidRPr="004D407A">
        <w:rPr>
          <w:noProof/>
        </w:rPr>
        <w:drawing>
          <wp:inline distT="0" distB="0" distL="0" distR="0" wp14:anchorId="21DDFB68" wp14:editId="753F5CE7">
            <wp:extent cx="4438650" cy="13975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4398" cy="1399345"/>
                    </a:xfrm>
                    <a:prstGeom prst="rect">
                      <a:avLst/>
                    </a:prstGeom>
                    <a:noFill/>
                    <a:ln>
                      <a:noFill/>
                    </a:ln>
                  </pic:spPr>
                </pic:pic>
              </a:graphicData>
            </a:graphic>
          </wp:inline>
        </w:drawing>
      </w:r>
    </w:p>
    <w:p w14:paraId="7951386F" w14:textId="3D18DCD2" w:rsidR="00E53D03" w:rsidRPr="004D407A" w:rsidRDefault="00885C74" w:rsidP="00E53D03">
      <w:pPr>
        <w:pStyle w:val="BodyText"/>
        <w:rPr>
          <w:rFonts w:ascii="Arial" w:hAnsi="Arial"/>
        </w:rPr>
      </w:pPr>
      <w:r w:rsidRPr="004D407A">
        <w:rPr>
          <w:rFonts w:ascii="Arial" w:hAnsi="Arial"/>
        </w:rPr>
        <w:t>The results of the funding gap analysis</w:t>
      </w:r>
      <w:r w:rsidR="00E53D03" w:rsidRPr="004D407A">
        <w:rPr>
          <w:rFonts w:ascii="Arial" w:hAnsi="Arial"/>
        </w:rPr>
        <w:t xml:space="preserve"> suggest</w:t>
      </w:r>
      <w:r w:rsidR="00C24B1D" w:rsidRPr="004D407A">
        <w:rPr>
          <w:rFonts w:ascii="Arial" w:hAnsi="Arial"/>
        </w:rPr>
        <w:t>s</w:t>
      </w:r>
      <w:r w:rsidR="00E53D03" w:rsidRPr="004D407A">
        <w:rPr>
          <w:rFonts w:ascii="Arial" w:hAnsi="Arial"/>
        </w:rPr>
        <w:t xml:space="preserve"> that if</w:t>
      </w:r>
      <w:r w:rsidR="00C24B1D" w:rsidRPr="004D407A">
        <w:rPr>
          <w:rFonts w:ascii="Arial" w:hAnsi="Arial"/>
        </w:rPr>
        <w:t xml:space="preserve"> additional funds are not mobilized EPI will not be able to realize National Immunization Strategy implementation</w:t>
      </w:r>
      <w:r w:rsidR="00E53D03" w:rsidRPr="004D407A">
        <w:rPr>
          <w:rFonts w:ascii="Arial" w:hAnsi="Arial"/>
        </w:rPr>
        <w:t>,</w:t>
      </w:r>
      <w:r w:rsidR="00C24B1D" w:rsidRPr="004D407A">
        <w:rPr>
          <w:rFonts w:ascii="Arial" w:hAnsi="Arial"/>
        </w:rPr>
        <w:t xml:space="preserve"> which will put under the risk improvement of performance of the immunization system and achieve NIS objectives.</w:t>
      </w:r>
    </w:p>
    <w:p w14:paraId="3BEEEEEA" w14:textId="4E531C42" w:rsidR="00E53D03" w:rsidRPr="004D407A" w:rsidRDefault="00E53D03" w:rsidP="00E53D03">
      <w:pPr>
        <w:pStyle w:val="Caption"/>
        <w:rPr>
          <w:color w:val="auto"/>
        </w:rPr>
      </w:pPr>
      <w:bookmarkStart w:id="348" w:name="_Ref441776258"/>
      <w:bookmarkStart w:id="349" w:name="_Ref447746738"/>
      <w:bookmarkStart w:id="350" w:name="_Toc447749577"/>
      <w:bookmarkStart w:id="351" w:name="_Toc478573869"/>
      <w:bookmarkStart w:id="352" w:name="_Toc490750654"/>
      <w:bookmarkStart w:id="353" w:name="_Toc103004758"/>
      <w:bookmarkStart w:id="354" w:name="_Toc111912774"/>
      <w:r w:rsidRPr="004D407A">
        <w:rPr>
          <w:color w:val="auto"/>
        </w:rPr>
        <w:lastRenderedPageBreak/>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35</w:t>
      </w:r>
      <w:r w:rsidR="00E21383" w:rsidRPr="004D407A">
        <w:rPr>
          <w:noProof/>
          <w:color w:val="auto"/>
        </w:rPr>
        <w:fldChar w:fldCharType="end"/>
      </w:r>
      <w:bookmarkEnd w:id="348"/>
      <w:r w:rsidRPr="004D407A">
        <w:rPr>
          <w:color w:val="auto"/>
        </w:rPr>
        <w:t>: Funding gap structure by the major cost categories</w:t>
      </w:r>
      <w:bookmarkEnd w:id="349"/>
      <w:bookmarkEnd w:id="350"/>
      <w:bookmarkEnd w:id="351"/>
      <w:bookmarkEnd w:id="352"/>
      <w:bookmarkEnd w:id="353"/>
      <w:bookmarkEnd w:id="354"/>
    </w:p>
    <w:p w14:paraId="585052C2" w14:textId="30F5FD4E" w:rsidR="00E53D03" w:rsidRPr="004D407A" w:rsidRDefault="00C549BB" w:rsidP="00E53D03">
      <w:pPr>
        <w:pStyle w:val="myChart"/>
      </w:pPr>
      <w:r w:rsidRPr="004D407A">
        <w:rPr>
          <w:noProof/>
        </w:rPr>
        <w:drawing>
          <wp:inline distT="0" distB="0" distL="0" distR="0" wp14:anchorId="57A73417" wp14:editId="6277A853">
            <wp:extent cx="4697464" cy="217805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7094" cy="2182515"/>
                    </a:xfrm>
                    <a:prstGeom prst="rect">
                      <a:avLst/>
                    </a:prstGeom>
                    <a:noFill/>
                  </pic:spPr>
                </pic:pic>
              </a:graphicData>
            </a:graphic>
          </wp:inline>
        </w:drawing>
      </w:r>
      <w:r w:rsidR="00E53D03" w:rsidRPr="004D407A">
        <w:tab/>
      </w:r>
    </w:p>
    <w:p w14:paraId="07A208D0" w14:textId="77777777" w:rsidR="00E53D03" w:rsidRPr="004D407A" w:rsidRDefault="00E53D03" w:rsidP="00E53D03">
      <w:pPr>
        <w:pStyle w:val="Heading3"/>
        <w:rPr>
          <w:color w:val="auto"/>
        </w:rPr>
      </w:pPr>
      <w:bookmarkStart w:id="355" w:name="_Toc489491541"/>
      <w:bookmarkStart w:id="356" w:name="_Toc103004705"/>
      <w:bookmarkStart w:id="357" w:name="_Toc111910276"/>
      <w:r w:rsidRPr="004D407A">
        <w:rPr>
          <w:color w:val="auto"/>
        </w:rPr>
        <w:t>Financial sustainability strategies</w:t>
      </w:r>
      <w:bookmarkEnd w:id="355"/>
      <w:bookmarkEnd w:id="356"/>
      <w:bookmarkEnd w:id="357"/>
      <w:r w:rsidRPr="004D407A">
        <w:rPr>
          <w:color w:val="auto"/>
        </w:rPr>
        <w:tab/>
      </w:r>
    </w:p>
    <w:p w14:paraId="6E38C1B7" w14:textId="213D4847" w:rsidR="00E53D03" w:rsidRPr="004D407A" w:rsidRDefault="00E53D03" w:rsidP="00E53D03">
      <w:pPr>
        <w:pStyle w:val="BodyText"/>
        <w:rPr>
          <w:rFonts w:ascii="Arial" w:hAnsi="Arial"/>
        </w:rPr>
      </w:pPr>
      <w:r w:rsidRPr="004D407A">
        <w:rPr>
          <w:rFonts w:ascii="Arial" w:hAnsi="Arial"/>
        </w:rPr>
        <w:t>The main and most important strategies to ensure financial and programmatic sustainability of the</w:t>
      </w:r>
      <w:r w:rsidR="00CC5BDB" w:rsidRPr="004D407A">
        <w:rPr>
          <w:rFonts w:ascii="Arial" w:hAnsi="Arial"/>
        </w:rPr>
        <w:t xml:space="preserve"> National Immunization Strategy</w:t>
      </w:r>
      <w:r w:rsidRPr="004D407A">
        <w:rPr>
          <w:rFonts w:ascii="Arial" w:hAnsi="Arial"/>
        </w:rPr>
        <w:t xml:space="preserve"> during the</w:t>
      </w:r>
      <w:r w:rsidR="00CC5BDB" w:rsidRPr="004D407A">
        <w:rPr>
          <w:rFonts w:ascii="Arial" w:hAnsi="Arial"/>
        </w:rPr>
        <w:t xml:space="preserve"> period of 2023-2027</w:t>
      </w:r>
      <w:r w:rsidRPr="004D407A">
        <w:rPr>
          <w:rFonts w:ascii="Arial" w:hAnsi="Arial"/>
        </w:rPr>
        <w:t xml:space="preserve"> will be</w:t>
      </w:r>
      <w:r w:rsidR="00CC5BDB" w:rsidRPr="004D407A">
        <w:rPr>
          <w:rFonts w:ascii="Arial" w:hAnsi="Arial"/>
        </w:rPr>
        <w:t xml:space="preserve"> focused on the </w:t>
      </w:r>
      <w:r w:rsidRPr="004D407A">
        <w:rPr>
          <w:rFonts w:ascii="Arial" w:hAnsi="Arial"/>
        </w:rPr>
        <w:t>following main directions:</w:t>
      </w:r>
    </w:p>
    <w:p w14:paraId="126C857D" w14:textId="2C2673A6" w:rsidR="00E53D03" w:rsidRPr="004D407A" w:rsidRDefault="00CC5BDB">
      <w:pPr>
        <w:pStyle w:val="BodyText"/>
        <w:numPr>
          <w:ilvl w:val="0"/>
          <w:numId w:val="25"/>
        </w:numPr>
        <w:rPr>
          <w:rFonts w:ascii="Arial" w:hAnsi="Arial"/>
        </w:rPr>
      </w:pPr>
      <w:r w:rsidRPr="004D407A">
        <w:rPr>
          <w:rFonts w:ascii="Arial" w:hAnsi="Arial"/>
        </w:rPr>
        <w:t>Mobilizing additional funding through</w:t>
      </w:r>
      <w:r w:rsidR="00E53D03" w:rsidRPr="004D407A">
        <w:rPr>
          <w:rFonts w:ascii="Arial" w:hAnsi="Arial"/>
        </w:rPr>
        <w:t>:</w:t>
      </w:r>
    </w:p>
    <w:p w14:paraId="6849D790" w14:textId="699D340C" w:rsidR="00E53D03" w:rsidRPr="004D407A" w:rsidRDefault="00E53D03">
      <w:pPr>
        <w:pStyle w:val="BodyText"/>
        <w:numPr>
          <w:ilvl w:val="1"/>
          <w:numId w:val="25"/>
        </w:numPr>
        <w:rPr>
          <w:rFonts w:ascii="Arial" w:hAnsi="Arial"/>
        </w:rPr>
      </w:pPr>
      <w:r w:rsidRPr="004D407A">
        <w:rPr>
          <w:rFonts w:ascii="Arial" w:hAnsi="Arial"/>
        </w:rPr>
        <w:t xml:space="preserve">Increasing government </w:t>
      </w:r>
      <w:r w:rsidR="00CC5BDB" w:rsidRPr="004D407A">
        <w:rPr>
          <w:rFonts w:ascii="Arial" w:hAnsi="Arial"/>
        </w:rPr>
        <w:t xml:space="preserve">allocation for strengthening capacity of the immunization system of the country (EPI) and </w:t>
      </w:r>
      <w:r w:rsidRPr="004D407A">
        <w:rPr>
          <w:rFonts w:ascii="Arial" w:hAnsi="Arial"/>
        </w:rPr>
        <w:t xml:space="preserve">meeting increased resource requirements in the context of expansion of Routine Immunization schedule with the new </w:t>
      </w:r>
      <w:r w:rsidR="00CC5BDB" w:rsidRPr="004D407A">
        <w:rPr>
          <w:rFonts w:ascii="Arial" w:hAnsi="Arial"/>
        </w:rPr>
        <w:t>vaccines.</w:t>
      </w:r>
    </w:p>
    <w:p w14:paraId="73DF9044" w14:textId="148A4F4C" w:rsidR="00E53D03" w:rsidRPr="004D407A" w:rsidRDefault="00E53D03">
      <w:pPr>
        <w:pStyle w:val="BodyText"/>
        <w:numPr>
          <w:ilvl w:val="1"/>
          <w:numId w:val="25"/>
        </w:numPr>
        <w:rPr>
          <w:rFonts w:ascii="Arial" w:hAnsi="Arial"/>
        </w:rPr>
      </w:pPr>
      <w:r w:rsidRPr="004D407A">
        <w:rPr>
          <w:rFonts w:ascii="Arial" w:hAnsi="Arial"/>
        </w:rPr>
        <w:t xml:space="preserve">Advocate with government for timely and fully releasing funds for financing </w:t>
      </w:r>
      <w:r w:rsidR="00CC5BDB" w:rsidRPr="004D407A">
        <w:rPr>
          <w:rFonts w:ascii="Arial" w:hAnsi="Arial"/>
        </w:rPr>
        <w:t xml:space="preserve">all </w:t>
      </w:r>
      <w:r w:rsidRPr="004D407A">
        <w:rPr>
          <w:rFonts w:ascii="Arial" w:hAnsi="Arial"/>
        </w:rPr>
        <w:t>critical components of EPI</w:t>
      </w:r>
      <w:r w:rsidR="00CC5BDB" w:rsidRPr="004D407A">
        <w:rPr>
          <w:rFonts w:ascii="Arial" w:hAnsi="Arial"/>
        </w:rPr>
        <w:t xml:space="preserve"> outlined </w:t>
      </w:r>
      <w:r w:rsidR="00885C74" w:rsidRPr="004D407A">
        <w:rPr>
          <w:rFonts w:ascii="Arial" w:hAnsi="Arial"/>
        </w:rPr>
        <w:t>above.</w:t>
      </w:r>
      <w:r w:rsidR="00CC5BDB" w:rsidRPr="004D407A">
        <w:rPr>
          <w:rFonts w:ascii="Arial" w:hAnsi="Arial"/>
        </w:rPr>
        <w:t xml:space="preserve"> </w:t>
      </w:r>
    </w:p>
    <w:p w14:paraId="62AE828D" w14:textId="12B9FEA3" w:rsidR="00E53D03" w:rsidRPr="004D407A" w:rsidRDefault="00E53D03">
      <w:pPr>
        <w:pStyle w:val="BodyText"/>
        <w:numPr>
          <w:ilvl w:val="1"/>
          <w:numId w:val="25"/>
        </w:numPr>
        <w:rPr>
          <w:rFonts w:ascii="Arial" w:hAnsi="Arial"/>
        </w:rPr>
      </w:pPr>
      <w:r w:rsidRPr="004D407A">
        <w:rPr>
          <w:rFonts w:ascii="Arial" w:hAnsi="Arial"/>
        </w:rPr>
        <w:t>Conducting fundraising and advocating activities to secure additional financial support for</w:t>
      </w:r>
      <w:r w:rsidR="00CC5BDB" w:rsidRPr="004D407A">
        <w:rPr>
          <w:rFonts w:ascii="Arial" w:hAnsi="Arial"/>
        </w:rPr>
        <w:t xml:space="preserve"> introduction of the new vaccines in the national immunization schedule of Bangladesh </w:t>
      </w:r>
      <w:r w:rsidRPr="004D407A">
        <w:rPr>
          <w:rFonts w:ascii="Arial" w:hAnsi="Arial"/>
        </w:rPr>
        <w:t xml:space="preserve">according to the objectives and strategies outlined in this </w:t>
      </w:r>
      <w:r w:rsidR="00885C74" w:rsidRPr="004D407A">
        <w:rPr>
          <w:rFonts w:ascii="Arial" w:hAnsi="Arial"/>
        </w:rPr>
        <w:t>NIS.</w:t>
      </w:r>
    </w:p>
    <w:p w14:paraId="5BD3532E" w14:textId="601593EB" w:rsidR="00E53D03" w:rsidRPr="004D407A" w:rsidRDefault="00E53D03">
      <w:pPr>
        <w:pStyle w:val="BodyText"/>
        <w:numPr>
          <w:ilvl w:val="0"/>
          <w:numId w:val="25"/>
        </w:numPr>
        <w:rPr>
          <w:rFonts w:ascii="Arial" w:hAnsi="Arial"/>
        </w:rPr>
      </w:pPr>
      <w:r w:rsidRPr="004D407A">
        <w:rPr>
          <w:rFonts w:ascii="Arial" w:hAnsi="Arial"/>
        </w:rPr>
        <w:t xml:space="preserve">Select </w:t>
      </w:r>
      <w:r w:rsidR="002936D6" w:rsidRPr="004D407A">
        <w:rPr>
          <w:rFonts w:ascii="Arial" w:hAnsi="Arial"/>
        </w:rPr>
        <w:t>the most balanced and feasible scenario for introduction of Rotavirus, JE, TCV vaccines and scaling-out HPV vaccine as well as implementation of the HPV catch-up campaign among the selected population groups</w:t>
      </w:r>
      <w:r w:rsidRPr="004D407A">
        <w:rPr>
          <w:rFonts w:ascii="Arial" w:hAnsi="Arial"/>
        </w:rPr>
        <w:t xml:space="preserve"> to decrease disease burden of cervical cancer in the </w:t>
      </w:r>
      <w:r w:rsidR="00885C74" w:rsidRPr="004D407A">
        <w:rPr>
          <w:rFonts w:ascii="Arial" w:hAnsi="Arial"/>
        </w:rPr>
        <w:t>country.</w:t>
      </w:r>
    </w:p>
    <w:p w14:paraId="552B047F" w14:textId="5170B62F" w:rsidR="00E53D03" w:rsidRPr="004D407A" w:rsidRDefault="00E53D03">
      <w:pPr>
        <w:pStyle w:val="BodyText"/>
        <w:numPr>
          <w:ilvl w:val="0"/>
          <w:numId w:val="25"/>
        </w:numPr>
        <w:rPr>
          <w:rFonts w:ascii="Arial" w:hAnsi="Arial"/>
        </w:rPr>
      </w:pPr>
      <w:r w:rsidRPr="004D407A">
        <w:rPr>
          <w:rFonts w:ascii="Arial" w:hAnsi="Arial"/>
        </w:rPr>
        <w:t xml:space="preserve">Increasing reliability of financing from the domestic </w:t>
      </w:r>
      <w:r w:rsidR="00885C74" w:rsidRPr="004D407A">
        <w:rPr>
          <w:rFonts w:ascii="Arial" w:hAnsi="Arial"/>
        </w:rPr>
        <w:t>sources.</w:t>
      </w:r>
    </w:p>
    <w:p w14:paraId="6E584E7B" w14:textId="687B7340" w:rsidR="00E53D03" w:rsidRPr="004D407A" w:rsidRDefault="0050688A">
      <w:pPr>
        <w:pStyle w:val="BodyText"/>
        <w:numPr>
          <w:ilvl w:val="0"/>
          <w:numId w:val="25"/>
        </w:numPr>
        <w:rPr>
          <w:rFonts w:ascii="Arial" w:hAnsi="Arial"/>
        </w:rPr>
      </w:pPr>
      <w:r w:rsidRPr="004D407A">
        <w:rPr>
          <w:rFonts w:ascii="Arial" w:hAnsi="Arial"/>
        </w:rPr>
        <w:t xml:space="preserve">Improve the service delivery and revise service delivery strategy </w:t>
      </w:r>
      <w:r w:rsidR="00E53D03" w:rsidRPr="004D407A">
        <w:rPr>
          <w:rFonts w:ascii="Arial" w:hAnsi="Arial"/>
        </w:rPr>
        <w:t>to</w:t>
      </w:r>
      <w:r w:rsidRPr="004D407A">
        <w:rPr>
          <w:rFonts w:ascii="Arial" w:hAnsi="Arial"/>
        </w:rPr>
        <w:t xml:space="preserve"> avoid the costs related to SIAs, which has been the major cost driver for immunization budgets in </w:t>
      </w:r>
      <w:r w:rsidR="00885C74" w:rsidRPr="004D407A">
        <w:rPr>
          <w:rFonts w:ascii="Arial" w:hAnsi="Arial"/>
        </w:rPr>
        <w:t>Bangladesh.</w:t>
      </w:r>
      <w:r w:rsidR="00E53D03" w:rsidRPr="004D407A">
        <w:rPr>
          <w:rFonts w:ascii="Arial" w:hAnsi="Arial"/>
        </w:rPr>
        <w:t xml:space="preserve"> </w:t>
      </w:r>
    </w:p>
    <w:p w14:paraId="4CC7B66D" w14:textId="77777777" w:rsidR="00E53D03" w:rsidRPr="004D407A" w:rsidRDefault="00E53D03">
      <w:pPr>
        <w:pStyle w:val="BodyText"/>
        <w:numPr>
          <w:ilvl w:val="0"/>
          <w:numId w:val="25"/>
        </w:numPr>
        <w:rPr>
          <w:rFonts w:ascii="Arial" w:hAnsi="Arial"/>
        </w:rPr>
      </w:pPr>
      <w:r w:rsidRPr="004D407A">
        <w:rPr>
          <w:rFonts w:ascii="Arial" w:hAnsi="Arial"/>
        </w:rPr>
        <w:t>Optimization of and selection of the most cost-effective modality for implementation of the “program activities” – the major cost driver for expected funding gap.</w:t>
      </w:r>
    </w:p>
    <w:p w14:paraId="24AE4340" w14:textId="77777777" w:rsidR="00E53D03" w:rsidRPr="004D407A" w:rsidRDefault="00E53D03" w:rsidP="00E53D03">
      <w:pPr>
        <w:pStyle w:val="BodyText"/>
        <w:rPr>
          <w:rFonts w:ascii="Arial" w:hAnsi="Arial"/>
        </w:rPr>
      </w:pPr>
      <w:r w:rsidRPr="004D407A">
        <w:rPr>
          <w:rFonts w:ascii="Arial" w:hAnsi="Arial"/>
        </w:rPr>
        <w:t>This could include following:</w:t>
      </w:r>
    </w:p>
    <w:p w14:paraId="4C56A4F2" w14:textId="58F2FEC1" w:rsidR="00E53D03" w:rsidRPr="004D407A" w:rsidRDefault="00E53D03">
      <w:pPr>
        <w:pStyle w:val="BodyText"/>
        <w:numPr>
          <w:ilvl w:val="0"/>
          <w:numId w:val="24"/>
        </w:numPr>
        <w:rPr>
          <w:rFonts w:ascii="Arial" w:hAnsi="Arial"/>
        </w:rPr>
      </w:pPr>
      <w:r w:rsidRPr="004D407A">
        <w:rPr>
          <w:rFonts w:ascii="Arial" w:hAnsi="Arial"/>
        </w:rPr>
        <w:t xml:space="preserve">Advocate for increase of budget allocations and timely release of funds for implementation of all components of </w:t>
      </w:r>
      <w:r w:rsidR="0050688A" w:rsidRPr="004D407A">
        <w:rPr>
          <w:rFonts w:ascii="Arial" w:hAnsi="Arial"/>
        </w:rPr>
        <w:t>the national immunization strategy</w:t>
      </w:r>
      <w:r w:rsidRPr="004D407A">
        <w:rPr>
          <w:rFonts w:ascii="Arial" w:hAnsi="Arial"/>
        </w:rPr>
        <w:t xml:space="preserve"> at all levels, including budget allocations for introduction/roll-out</w:t>
      </w:r>
      <w:r w:rsidR="0050688A" w:rsidRPr="004D407A">
        <w:rPr>
          <w:rFonts w:ascii="Arial" w:hAnsi="Arial"/>
        </w:rPr>
        <w:t xml:space="preserve"> of the new vaccines.</w:t>
      </w:r>
    </w:p>
    <w:p w14:paraId="3302C8AF" w14:textId="43087145" w:rsidR="00E53D03" w:rsidRPr="004D407A" w:rsidRDefault="00E53D03">
      <w:pPr>
        <w:pStyle w:val="BodyText"/>
        <w:numPr>
          <w:ilvl w:val="0"/>
          <w:numId w:val="24"/>
        </w:numPr>
        <w:rPr>
          <w:rFonts w:ascii="Arial" w:hAnsi="Arial"/>
        </w:rPr>
      </w:pPr>
      <w:r w:rsidRPr="004D407A">
        <w:rPr>
          <w:rFonts w:ascii="Arial" w:hAnsi="Arial"/>
        </w:rPr>
        <w:t xml:space="preserve">For </w:t>
      </w:r>
      <w:r w:rsidR="0050688A" w:rsidRPr="004D407A">
        <w:rPr>
          <w:rFonts w:ascii="Arial" w:hAnsi="Arial"/>
        </w:rPr>
        <w:t>mobilizing additional financial resources</w:t>
      </w:r>
      <w:r w:rsidRPr="004D407A">
        <w:rPr>
          <w:rFonts w:ascii="Arial" w:hAnsi="Arial"/>
        </w:rPr>
        <w:t xml:space="preserve">, accelerate communication and collaboration with international development partners to provide evidence-based </w:t>
      </w:r>
      <w:r w:rsidRPr="004D407A">
        <w:rPr>
          <w:rFonts w:ascii="Arial" w:hAnsi="Arial"/>
        </w:rPr>
        <w:lastRenderedPageBreak/>
        <w:t xml:space="preserve">information and strong justification of the need in implementation of all planned program activities over the course of </w:t>
      </w:r>
      <w:r w:rsidR="0050688A" w:rsidRPr="004D407A">
        <w:rPr>
          <w:rFonts w:ascii="Arial" w:hAnsi="Arial"/>
        </w:rPr>
        <w:t>NIS 2023-2027</w:t>
      </w:r>
      <w:r w:rsidRPr="004D407A">
        <w:rPr>
          <w:rFonts w:ascii="Arial" w:hAnsi="Arial"/>
        </w:rPr>
        <w:t>.</w:t>
      </w:r>
    </w:p>
    <w:p w14:paraId="0CD9A337" w14:textId="3F758B3A" w:rsidR="00E53D03" w:rsidRPr="004D407A" w:rsidRDefault="00E53D03">
      <w:pPr>
        <w:pStyle w:val="BodyText"/>
        <w:numPr>
          <w:ilvl w:val="0"/>
          <w:numId w:val="24"/>
        </w:numPr>
        <w:rPr>
          <w:rFonts w:ascii="Arial" w:hAnsi="Arial"/>
        </w:rPr>
      </w:pPr>
      <w:r w:rsidRPr="004D407A">
        <w:rPr>
          <w:rFonts w:ascii="Arial" w:hAnsi="Arial"/>
        </w:rPr>
        <w:t xml:space="preserve">Provide national level decision makers with evidence-based information on the essential need </w:t>
      </w:r>
      <w:r w:rsidR="007620C2" w:rsidRPr="004D407A">
        <w:rPr>
          <w:rFonts w:ascii="Arial" w:hAnsi="Arial"/>
        </w:rPr>
        <w:t>in introduction of new vaccines</w:t>
      </w:r>
      <w:r w:rsidRPr="004D407A">
        <w:rPr>
          <w:rFonts w:ascii="Arial" w:hAnsi="Arial"/>
        </w:rPr>
        <w:t xml:space="preserve"> for meeting objectives of national EPI as well as regional and global goals in terms of</w:t>
      </w:r>
      <w:r w:rsidR="007620C2" w:rsidRPr="004D407A">
        <w:rPr>
          <w:rFonts w:ascii="Arial" w:hAnsi="Arial"/>
        </w:rPr>
        <w:t xml:space="preserve"> sufficient coverage of population against the VPD and management of the accelerated disease control initiatives (Polio, Measles, Rubella and CRS, Hepatitis B and MNT</w:t>
      </w:r>
      <w:proofErr w:type="gramStart"/>
      <w:r w:rsidR="007620C2" w:rsidRPr="004D407A">
        <w:rPr>
          <w:rFonts w:ascii="Arial" w:hAnsi="Arial"/>
        </w:rPr>
        <w:t>)</w:t>
      </w:r>
      <w:r w:rsidRPr="004D407A">
        <w:rPr>
          <w:rFonts w:ascii="Arial" w:hAnsi="Arial"/>
        </w:rPr>
        <w:t>;</w:t>
      </w:r>
      <w:proofErr w:type="gramEnd"/>
      <w:r w:rsidRPr="004D407A">
        <w:rPr>
          <w:rFonts w:ascii="Arial" w:hAnsi="Arial"/>
        </w:rPr>
        <w:t xml:space="preserve"> </w:t>
      </w:r>
    </w:p>
    <w:p w14:paraId="14572CF4" w14:textId="0810CD38" w:rsidR="00E53D03" w:rsidRPr="004D407A" w:rsidRDefault="00E53D03">
      <w:pPr>
        <w:pStyle w:val="BodyText"/>
        <w:numPr>
          <w:ilvl w:val="0"/>
          <w:numId w:val="24"/>
        </w:numPr>
        <w:rPr>
          <w:rFonts w:ascii="Arial" w:hAnsi="Arial"/>
        </w:rPr>
      </w:pPr>
      <w:r w:rsidRPr="004D407A">
        <w:rPr>
          <w:rFonts w:ascii="Arial" w:hAnsi="Arial"/>
        </w:rPr>
        <w:t xml:space="preserve">Revision and development of alternative and more cost-effective </w:t>
      </w:r>
      <w:r w:rsidR="007620C2" w:rsidRPr="004D407A">
        <w:rPr>
          <w:rFonts w:ascii="Arial" w:hAnsi="Arial"/>
        </w:rPr>
        <w:t xml:space="preserve">Annual Operations Plan, which will be implemented over the period </w:t>
      </w:r>
      <w:r w:rsidR="00885C74" w:rsidRPr="004D407A">
        <w:rPr>
          <w:rFonts w:ascii="Arial" w:hAnsi="Arial"/>
        </w:rPr>
        <w:t>2023-2027.</w:t>
      </w:r>
    </w:p>
    <w:p w14:paraId="6F645A6A" w14:textId="75D6D039" w:rsidR="00E53D03" w:rsidRPr="004D407A" w:rsidRDefault="00E53D03">
      <w:pPr>
        <w:pStyle w:val="BodyText"/>
        <w:numPr>
          <w:ilvl w:val="0"/>
          <w:numId w:val="24"/>
        </w:numPr>
        <w:rPr>
          <w:rFonts w:ascii="Arial" w:hAnsi="Arial"/>
        </w:rPr>
      </w:pPr>
      <w:r w:rsidRPr="004D407A">
        <w:rPr>
          <w:rFonts w:ascii="Arial" w:hAnsi="Arial"/>
        </w:rPr>
        <w:t xml:space="preserve">Conducting fundraising activities and work with donor community over the course of </w:t>
      </w:r>
      <w:r w:rsidR="007620C2" w:rsidRPr="004D407A">
        <w:rPr>
          <w:rFonts w:ascii="Arial" w:hAnsi="Arial"/>
        </w:rPr>
        <w:t>NIS</w:t>
      </w:r>
      <w:r w:rsidRPr="004D407A">
        <w:rPr>
          <w:rFonts w:ascii="Arial" w:hAnsi="Arial"/>
        </w:rPr>
        <w:t xml:space="preserve"> cycle to secure alternative funding for filling program funding </w:t>
      </w:r>
      <w:proofErr w:type="gramStart"/>
      <w:r w:rsidRPr="004D407A">
        <w:rPr>
          <w:rFonts w:ascii="Arial" w:hAnsi="Arial"/>
        </w:rPr>
        <w:t>gaps;</w:t>
      </w:r>
      <w:proofErr w:type="gramEnd"/>
    </w:p>
    <w:p w14:paraId="6DCE3A20" w14:textId="42D8AF30" w:rsidR="00E53D03" w:rsidRPr="004D407A" w:rsidRDefault="00E53D03" w:rsidP="00E53D03">
      <w:pPr>
        <w:rPr>
          <w:rFonts w:ascii="Arial" w:hAnsi="Arial"/>
        </w:rPr>
      </w:pPr>
      <w:r w:rsidRPr="004D407A">
        <w:rPr>
          <w:rFonts w:ascii="Arial" w:hAnsi="Arial"/>
        </w:rPr>
        <w:t xml:space="preserve">Immunization program sustainability indicators are presented in </w:t>
      </w:r>
      <w:r w:rsidRPr="004D407A">
        <w:rPr>
          <w:rFonts w:ascii="Arial" w:hAnsi="Arial"/>
        </w:rPr>
        <w:fldChar w:fldCharType="begin"/>
      </w:r>
      <w:r w:rsidRPr="004D407A">
        <w:rPr>
          <w:rFonts w:ascii="Arial" w:hAnsi="Arial"/>
        </w:rPr>
        <w:instrText xml:space="preserve"> REF _Ref500367584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b/>
          <w:bCs/>
        </w:rPr>
        <w:t>Error! Reference source not found.</w:t>
      </w:r>
      <w:r w:rsidRPr="004D407A">
        <w:rPr>
          <w:rFonts w:ascii="Arial" w:hAnsi="Arial"/>
        </w:rPr>
        <w:fldChar w:fldCharType="end"/>
      </w:r>
      <w:r w:rsidRPr="004D407A">
        <w:rPr>
          <w:rFonts w:ascii="Arial" w:hAnsi="Arial"/>
        </w:rPr>
        <w:t xml:space="preserve"> on page </w:t>
      </w:r>
      <w:r w:rsidRPr="004D407A">
        <w:rPr>
          <w:rFonts w:ascii="Arial" w:hAnsi="Arial"/>
        </w:rPr>
        <w:fldChar w:fldCharType="begin"/>
      </w:r>
      <w:r w:rsidRPr="004D407A">
        <w:rPr>
          <w:rFonts w:ascii="Arial" w:hAnsi="Arial"/>
        </w:rPr>
        <w:instrText xml:space="preserve"> PAGEREF _Ref500367593 \h </w:instrText>
      </w:r>
      <w:r w:rsidRPr="004D407A">
        <w:rPr>
          <w:rFonts w:ascii="Arial" w:hAnsi="Arial"/>
        </w:rPr>
      </w:r>
      <w:r w:rsidRPr="004D407A">
        <w:rPr>
          <w:rFonts w:ascii="Arial" w:hAnsi="Arial"/>
        </w:rPr>
        <w:fldChar w:fldCharType="separate"/>
      </w:r>
      <w:r w:rsidR="00D80429" w:rsidRPr="004D407A">
        <w:rPr>
          <w:rFonts w:ascii="Arial" w:hAnsi="Arial"/>
          <w:b/>
          <w:bCs/>
          <w:noProof/>
        </w:rPr>
        <w:t>Error! Bookmark not defined.</w:t>
      </w:r>
      <w:r w:rsidRPr="004D407A">
        <w:rPr>
          <w:rFonts w:ascii="Arial" w:hAnsi="Arial"/>
        </w:rPr>
        <w:fldChar w:fldCharType="end"/>
      </w:r>
      <w:r w:rsidRPr="004D407A">
        <w:rPr>
          <w:rFonts w:ascii="Arial" w:hAnsi="Arial"/>
        </w:rPr>
        <w:t xml:space="preserve"> </w:t>
      </w:r>
      <w:r w:rsidRPr="004D407A">
        <w:rPr>
          <w:rFonts w:ascii="Arial" w:hAnsi="Arial"/>
        </w:rPr>
        <w:fldChar w:fldCharType="begin"/>
      </w:r>
      <w:r w:rsidRPr="004D407A">
        <w:rPr>
          <w:rFonts w:ascii="Arial" w:hAnsi="Arial"/>
        </w:rPr>
        <w:instrText xml:space="preserve"> REF _Ref500367598 \p \h </w:instrText>
      </w:r>
      <w:r w:rsidR="00882955" w:rsidRPr="004D407A">
        <w:rPr>
          <w:rFonts w:ascii="Arial" w:hAnsi="Arial"/>
        </w:rPr>
        <w:instrText xml:space="preserve"> \* MERGEFORMAT </w:instrText>
      </w:r>
      <w:r w:rsidRPr="004D407A">
        <w:rPr>
          <w:rFonts w:ascii="Arial" w:hAnsi="Arial"/>
        </w:rPr>
      </w:r>
      <w:r w:rsidRPr="004D407A">
        <w:rPr>
          <w:rFonts w:ascii="Arial" w:hAnsi="Arial"/>
        </w:rPr>
        <w:fldChar w:fldCharType="separate"/>
      </w:r>
      <w:r w:rsidR="00D80429" w:rsidRPr="004D407A">
        <w:rPr>
          <w:rFonts w:ascii="Arial" w:hAnsi="Arial"/>
          <w:b/>
          <w:bCs/>
        </w:rPr>
        <w:t>Error! Reference source not found.</w:t>
      </w:r>
      <w:r w:rsidRPr="004D407A">
        <w:rPr>
          <w:rFonts w:ascii="Arial" w:hAnsi="Arial"/>
        </w:rPr>
        <w:fldChar w:fldCharType="end"/>
      </w:r>
      <w:bookmarkEnd w:id="255"/>
    </w:p>
    <w:p w14:paraId="1B98C34E" w14:textId="77777777" w:rsidR="00E53D03" w:rsidRPr="004D407A" w:rsidRDefault="00E53D03" w:rsidP="00E53D03">
      <w:pPr>
        <w:pStyle w:val="BodyText"/>
      </w:pPr>
    </w:p>
    <w:p w14:paraId="4E894D8B" w14:textId="77777777" w:rsidR="00E53D03" w:rsidRPr="004D407A" w:rsidRDefault="00E53D03" w:rsidP="00E53D03">
      <w:pPr>
        <w:pStyle w:val="BodyText"/>
      </w:pPr>
    </w:p>
    <w:p w14:paraId="0470AEE8" w14:textId="77777777" w:rsidR="00E53D03" w:rsidRPr="004D407A" w:rsidRDefault="00E53D03" w:rsidP="00E53D03">
      <w:pPr>
        <w:pStyle w:val="BodyText"/>
      </w:pPr>
      <w:r w:rsidRPr="004D407A">
        <w:br/>
      </w:r>
    </w:p>
    <w:p w14:paraId="71F2B2D9" w14:textId="77777777" w:rsidR="00E53D03" w:rsidRPr="004D407A" w:rsidRDefault="00E53D03" w:rsidP="00E53D03">
      <w:r w:rsidRPr="004D407A">
        <w:br w:type="page"/>
      </w:r>
    </w:p>
    <w:p w14:paraId="06C4345C" w14:textId="77777777" w:rsidR="00E53D03" w:rsidRPr="004D407A" w:rsidRDefault="00E53D03" w:rsidP="00E53D03">
      <w:pPr>
        <w:pStyle w:val="BodyText"/>
        <w:ind w:firstLine="0"/>
        <w:sectPr w:rsidR="00E53D03" w:rsidRPr="004D407A" w:rsidSect="004419CD">
          <w:pgSz w:w="11906" w:h="16838" w:code="9"/>
          <w:pgMar w:top="1440" w:right="1157" w:bottom="1440" w:left="1724" w:header="709" w:footer="709" w:gutter="0"/>
          <w:cols w:space="708"/>
          <w:titlePg/>
          <w:docGrid w:linePitch="360"/>
        </w:sectPr>
      </w:pPr>
    </w:p>
    <w:p w14:paraId="301954E9" w14:textId="77777777" w:rsidR="00E53D03" w:rsidRPr="004D407A" w:rsidRDefault="00E53D03" w:rsidP="00E53D03">
      <w:pPr>
        <w:pStyle w:val="Heading1"/>
        <w:rPr>
          <w:color w:val="auto"/>
        </w:rPr>
      </w:pPr>
      <w:bookmarkStart w:id="358" w:name="_Ref488584376"/>
      <w:bookmarkStart w:id="359" w:name="_Toc489491542"/>
      <w:bookmarkStart w:id="360" w:name="_Toc103004706"/>
      <w:bookmarkStart w:id="361" w:name="_Toc111910277"/>
      <w:r w:rsidRPr="004D407A">
        <w:rPr>
          <w:color w:val="auto"/>
        </w:rPr>
        <w:lastRenderedPageBreak/>
        <w:t>Annexes</w:t>
      </w:r>
      <w:bookmarkEnd w:id="358"/>
      <w:bookmarkEnd w:id="359"/>
      <w:bookmarkEnd w:id="360"/>
      <w:bookmarkEnd w:id="361"/>
    </w:p>
    <w:p w14:paraId="56DB3DEB" w14:textId="256F388A" w:rsidR="00E53D03" w:rsidRPr="004D407A" w:rsidRDefault="00E53D03" w:rsidP="00E53D03">
      <w:pPr>
        <w:pStyle w:val="Caption"/>
        <w:rPr>
          <w:color w:val="auto"/>
        </w:rPr>
      </w:pPr>
      <w:bookmarkStart w:id="362" w:name="_Ref488584363"/>
      <w:bookmarkStart w:id="363" w:name="_Ref488584365"/>
      <w:bookmarkStart w:id="364" w:name="_Toc489355890"/>
      <w:bookmarkStart w:id="365" w:name="_Toc489491447"/>
      <w:bookmarkStart w:id="366" w:name="_Toc490750655"/>
      <w:bookmarkStart w:id="367" w:name="_Toc103004759"/>
      <w:bookmarkStart w:id="368" w:name="_Toc111912775"/>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36</w:t>
      </w:r>
      <w:r w:rsidR="00E21383" w:rsidRPr="004D407A">
        <w:rPr>
          <w:noProof/>
          <w:color w:val="auto"/>
        </w:rPr>
        <w:fldChar w:fldCharType="end"/>
      </w:r>
      <w:bookmarkEnd w:id="362"/>
      <w:r w:rsidRPr="004D407A">
        <w:rPr>
          <w:color w:val="auto"/>
        </w:rPr>
        <w:t>:</w:t>
      </w:r>
      <w:r w:rsidRPr="004D407A">
        <w:rPr>
          <w:color w:val="auto"/>
        </w:rPr>
        <w:tab/>
        <w:t>Population density by administrative units in Bangladesh</w:t>
      </w:r>
      <w:bookmarkEnd w:id="363"/>
      <w:bookmarkEnd w:id="364"/>
      <w:bookmarkEnd w:id="365"/>
      <w:bookmarkEnd w:id="366"/>
      <w:bookmarkEnd w:id="367"/>
      <w:bookmarkEnd w:id="368"/>
    </w:p>
    <w:p w14:paraId="33E340F4" w14:textId="1820A9F7" w:rsidR="00E53D03" w:rsidRPr="004D407A" w:rsidRDefault="00E53D03" w:rsidP="00E53D03">
      <w:pPr>
        <w:pStyle w:val="mySource"/>
        <w:spacing w:after="0"/>
        <w:rPr>
          <w:color w:val="auto"/>
        </w:rPr>
      </w:pPr>
      <w:r w:rsidRPr="004D407A">
        <w:rPr>
          <w:noProof/>
          <w:color w:val="auto"/>
        </w:rPr>
        <w:drawing>
          <wp:inline distT="0" distB="0" distL="0" distR="0" wp14:anchorId="091B0E6C" wp14:editId="6E04FF3A">
            <wp:extent cx="4112908" cy="4401239"/>
            <wp:effectExtent l="152400" t="152400" r="363855" b="36131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34603" cy="4424455"/>
                    </a:xfrm>
                    <a:prstGeom prst="rect">
                      <a:avLst/>
                    </a:prstGeom>
                    <a:ln>
                      <a:noFill/>
                    </a:ln>
                    <a:effectLst>
                      <a:outerShdw blurRad="292100" dist="139700" dir="2700000" algn="tl" rotWithShape="0">
                        <a:srgbClr val="333333">
                          <a:alpha val="65000"/>
                        </a:srgbClr>
                      </a:outerShdw>
                    </a:effectLst>
                  </pic:spPr>
                </pic:pic>
              </a:graphicData>
            </a:graphic>
          </wp:inline>
        </w:drawing>
      </w:r>
      <w:r w:rsidRPr="004D407A">
        <w:rPr>
          <w:color w:val="auto"/>
        </w:rPr>
        <w:br w:type="textWrapping" w:clear="all"/>
        <w:t>Source: EPI, 2016</w:t>
      </w:r>
    </w:p>
    <w:p w14:paraId="4FB8A5A7" w14:textId="77777777" w:rsidR="00723041" w:rsidRPr="004D407A" w:rsidRDefault="00723041" w:rsidP="00723041">
      <w:pPr>
        <w:pStyle w:val="BodyText"/>
        <w:sectPr w:rsidR="00723041" w:rsidRPr="004D407A" w:rsidSect="00DA3EF7">
          <w:headerReference w:type="default" r:id="rId44"/>
          <w:pgSz w:w="16838" w:h="11906" w:orient="landscape" w:code="9"/>
          <w:pgMar w:top="1157" w:right="1157" w:bottom="1157" w:left="1157" w:header="709" w:footer="709" w:gutter="0"/>
          <w:cols w:space="708"/>
          <w:titlePg/>
          <w:docGrid w:linePitch="360"/>
        </w:sectPr>
      </w:pPr>
    </w:p>
    <w:p w14:paraId="38251709" w14:textId="48DFF47D" w:rsidR="00723041" w:rsidRPr="004D407A" w:rsidRDefault="00513771" w:rsidP="00723041">
      <w:pPr>
        <w:pStyle w:val="Caption"/>
        <w:rPr>
          <w:color w:val="auto"/>
        </w:rPr>
      </w:pPr>
      <w:bookmarkStart w:id="369" w:name="_Ref104114503"/>
      <w:bookmarkStart w:id="370" w:name="_Ref111906105"/>
      <w:bookmarkStart w:id="371" w:name="_Toc111912776"/>
      <w:r w:rsidRPr="004D407A">
        <w:rPr>
          <w:noProof/>
          <w:color w:val="auto"/>
        </w:rPr>
        <w:lastRenderedPageBreak/>
        <w:drawing>
          <wp:anchor distT="0" distB="0" distL="114300" distR="114300" simplePos="0" relativeHeight="251667456" behindDoc="0" locked="0" layoutInCell="1" allowOverlap="1" wp14:anchorId="66C01738" wp14:editId="5BBDAA64">
            <wp:simplePos x="0" y="0"/>
            <wp:positionH relativeFrom="page">
              <wp:posOffset>734060</wp:posOffset>
            </wp:positionH>
            <wp:positionV relativeFrom="paragraph">
              <wp:posOffset>237765</wp:posOffset>
            </wp:positionV>
            <wp:extent cx="8387715" cy="4959985"/>
            <wp:effectExtent l="0" t="0" r="0" b="0"/>
            <wp:wrapTopAndBottom/>
            <wp:docPr id="34" name="Diagram 34">
              <a:extLst xmlns:a="http://schemas.openxmlformats.org/drawingml/2006/main">
                <a:ext uri="{FF2B5EF4-FFF2-40B4-BE49-F238E27FC236}">
                  <a16:creationId xmlns:a16="http://schemas.microsoft.com/office/drawing/2014/main" id="{4E618390-58AB-4821-8B1D-B0BC35ABAEE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723041"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37</w:t>
      </w:r>
      <w:r w:rsidR="00E21383" w:rsidRPr="004D407A">
        <w:rPr>
          <w:noProof/>
          <w:color w:val="auto"/>
        </w:rPr>
        <w:fldChar w:fldCharType="end"/>
      </w:r>
      <w:bookmarkEnd w:id="369"/>
      <w:r w:rsidR="00723041" w:rsidRPr="004D407A">
        <w:rPr>
          <w:color w:val="auto"/>
        </w:rPr>
        <w:t>: Bangladesh EPI Root Cause Analysis Diagram – Block A – Maintenance of High Coverage Rates in All Areas of the Country</w:t>
      </w:r>
      <w:bookmarkEnd w:id="370"/>
      <w:bookmarkEnd w:id="371"/>
    </w:p>
    <w:p w14:paraId="7F7CDCED" w14:textId="699354F9" w:rsidR="00513771" w:rsidRPr="004D407A" w:rsidRDefault="00513771">
      <w:r w:rsidRPr="004D407A">
        <w:br w:type="page"/>
      </w:r>
    </w:p>
    <w:p w14:paraId="542FC779" w14:textId="16D6B019" w:rsidR="00723041" w:rsidRPr="004D407A" w:rsidRDefault="00513771" w:rsidP="00513771">
      <w:pPr>
        <w:pStyle w:val="Caption"/>
        <w:rPr>
          <w:color w:val="auto"/>
        </w:rPr>
      </w:pPr>
      <w:bookmarkStart w:id="372" w:name="_Ref104114506"/>
      <w:bookmarkStart w:id="373" w:name="_Ref111906060"/>
      <w:bookmarkStart w:id="374" w:name="_Toc111912777"/>
      <w:r w:rsidRPr="004D407A">
        <w:rPr>
          <w:color w:val="auto"/>
        </w:rPr>
        <w:lastRenderedPageBreak/>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38</w:t>
      </w:r>
      <w:r w:rsidR="00E21383" w:rsidRPr="004D407A">
        <w:rPr>
          <w:noProof/>
          <w:color w:val="auto"/>
        </w:rPr>
        <w:fldChar w:fldCharType="end"/>
      </w:r>
      <w:bookmarkEnd w:id="372"/>
      <w:r w:rsidRPr="004D407A">
        <w:rPr>
          <w:color w:val="auto"/>
        </w:rPr>
        <w:t>: Bangladesh EPI Root Cause Analysis Diagram – Block B – Vaccine Quality at the Service Delivery Points</w:t>
      </w:r>
      <w:r w:rsidR="00C10C22" w:rsidRPr="004D407A">
        <w:rPr>
          <w:color w:val="auto"/>
        </w:rPr>
        <w:t xml:space="preserve"> and Block C – Outbreak Prevention and control mechanisms</w:t>
      </w:r>
      <w:bookmarkEnd w:id="373"/>
      <w:bookmarkEnd w:id="374"/>
    </w:p>
    <w:tbl>
      <w:tblPr>
        <w:tblStyle w:val="TableGrid"/>
        <w:tblW w:w="0" w:type="auto"/>
        <w:tblLook w:val="04A0" w:firstRow="1" w:lastRow="0" w:firstColumn="1" w:lastColumn="0" w:noHBand="0" w:noVBand="1"/>
      </w:tblPr>
      <w:tblGrid>
        <w:gridCol w:w="7257"/>
        <w:gridCol w:w="7257"/>
      </w:tblGrid>
      <w:tr w:rsidR="004D407A" w:rsidRPr="004D407A" w14:paraId="23938D03" w14:textId="77777777" w:rsidTr="00C10C22">
        <w:trPr>
          <w:cnfStyle w:val="100000000000" w:firstRow="1" w:lastRow="0" w:firstColumn="0" w:lastColumn="0" w:oddVBand="0" w:evenVBand="0" w:oddHBand="0" w:evenHBand="0" w:firstRowFirstColumn="0" w:firstRowLastColumn="0" w:lastRowFirstColumn="0" w:lastRowLastColumn="0"/>
        </w:trPr>
        <w:tc>
          <w:tcPr>
            <w:tcW w:w="7257" w:type="dxa"/>
          </w:tcPr>
          <w:p w14:paraId="252DE780" w14:textId="029AEAC5" w:rsidR="00C10C22" w:rsidRPr="004D407A" w:rsidRDefault="00C10C22" w:rsidP="00C10C22">
            <w:r w:rsidRPr="004D407A">
              <w:rPr>
                <w:noProof/>
              </w:rPr>
              <w:drawing>
                <wp:anchor distT="0" distB="0" distL="114300" distR="114300" simplePos="0" relativeHeight="251674624" behindDoc="0" locked="0" layoutInCell="1" allowOverlap="1" wp14:anchorId="0C2D2B89" wp14:editId="3B4132FB">
                  <wp:simplePos x="0" y="0"/>
                  <wp:positionH relativeFrom="column">
                    <wp:posOffset>-41275</wp:posOffset>
                  </wp:positionH>
                  <wp:positionV relativeFrom="paragraph">
                    <wp:posOffset>0</wp:posOffset>
                  </wp:positionV>
                  <wp:extent cx="4227195" cy="2686050"/>
                  <wp:effectExtent l="0" t="0" r="0" b="0"/>
                  <wp:wrapTopAndBottom/>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27195" cy="26860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257" w:type="dxa"/>
          </w:tcPr>
          <w:p w14:paraId="6D16ED1E" w14:textId="68075D9E" w:rsidR="00C10C22" w:rsidRPr="004D407A" w:rsidRDefault="00C10C22" w:rsidP="00C10C22">
            <w:r w:rsidRPr="004D407A">
              <w:rPr>
                <w:noProof/>
              </w:rPr>
              <w:drawing>
                <wp:inline distT="0" distB="0" distL="0" distR="0" wp14:anchorId="0C59AF76" wp14:editId="13020E86">
                  <wp:extent cx="3990907" cy="2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04748" cy="2548809"/>
                          </a:xfrm>
                          <a:prstGeom prst="rect">
                            <a:avLst/>
                          </a:prstGeom>
                          <a:noFill/>
                        </pic:spPr>
                      </pic:pic>
                    </a:graphicData>
                  </a:graphic>
                </wp:inline>
              </w:drawing>
            </w:r>
          </w:p>
        </w:tc>
      </w:tr>
    </w:tbl>
    <w:p w14:paraId="18A581DE" w14:textId="77777777" w:rsidR="00C10C22" w:rsidRPr="004D407A" w:rsidRDefault="00C10C22" w:rsidP="00C10C22"/>
    <w:p w14:paraId="406E3AB9" w14:textId="1E46A1BF" w:rsidR="00C10C22" w:rsidRPr="004D407A" w:rsidRDefault="00C10C22" w:rsidP="00C10C22"/>
    <w:p w14:paraId="2DD8E41B" w14:textId="3DDC83F0" w:rsidR="00513771" w:rsidRPr="004D407A" w:rsidRDefault="00513771" w:rsidP="00513771">
      <w:pPr>
        <w:spacing w:after="0" w:line="240" w:lineRule="auto"/>
      </w:pPr>
    </w:p>
    <w:p w14:paraId="5B5A43DD" w14:textId="2AF23E4B" w:rsidR="00465B19" w:rsidRPr="004D407A" w:rsidRDefault="00465B19" w:rsidP="00513771">
      <w:pPr>
        <w:spacing w:after="0" w:line="240" w:lineRule="auto"/>
      </w:pPr>
    </w:p>
    <w:p w14:paraId="6F5F5074" w14:textId="6FCFC9F4" w:rsidR="00465B19" w:rsidRPr="004D407A" w:rsidRDefault="00465B19">
      <w:r w:rsidRPr="004D407A">
        <w:br w:type="page"/>
      </w:r>
    </w:p>
    <w:p w14:paraId="6955A4D2" w14:textId="77777777" w:rsidR="001C236E" w:rsidRPr="004D407A" w:rsidRDefault="001C236E" w:rsidP="00BC7B0B">
      <w:pPr>
        <w:pStyle w:val="Caption"/>
        <w:rPr>
          <w:color w:val="auto"/>
        </w:rPr>
        <w:sectPr w:rsidR="001C236E" w:rsidRPr="004D407A" w:rsidSect="00DA3EF7">
          <w:pgSz w:w="16838" w:h="11906" w:orient="landscape" w:code="9"/>
          <w:pgMar w:top="1157" w:right="1157" w:bottom="1157" w:left="1157" w:header="709" w:footer="709" w:gutter="0"/>
          <w:cols w:space="708"/>
          <w:titlePg/>
          <w:docGrid w:linePitch="360"/>
        </w:sectPr>
      </w:pPr>
    </w:p>
    <w:p w14:paraId="1708913D" w14:textId="0DED0306" w:rsidR="001C236E" w:rsidRPr="004D407A" w:rsidRDefault="001C236E" w:rsidP="001C236E">
      <w:pPr>
        <w:pStyle w:val="Caption"/>
        <w:rPr>
          <w:color w:val="auto"/>
        </w:rPr>
      </w:pPr>
      <w:bookmarkStart w:id="375" w:name="_Ref111910319"/>
      <w:bookmarkStart w:id="376" w:name="_Ref111910320"/>
      <w:bookmarkStart w:id="377" w:name="_Toc111912778"/>
      <w:r w:rsidRPr="004D407A">
        <w:rPr>
          <w:color w:val="auto"/>
        </w:rPr>
        <w:lastRenderedPageBreak/>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39</w:t>
      </w:r>
      <w:r w:rsidR="00E21383" w:rsidRPr="004D407A">
        <w:rPr>
          <w:noProof/>
          <w:color w:val="auto"/>
        </w:rPr>
        <w:fldChar w:fldCharType="end"/>
      </w:r>
      <w:bookmarkEnd w:id="375"/>
      <w:r w:rsidRPr="004D407A">
        <w:rPr>
          <w:color w:val="auto"/>
        </w:rPr>
        <w:t xml:space="preserve">: </w:t>
      </w:r>
      <w:r w:rsidR="00B54966" w:rsidRPr="004D407A">
        <w:rPr>
          <w:color w:val="auto"/>
        </w:rPr>
        <w:t>Links between the Root Causes Main Interventions and NIS Objectives</w:t>
      </w:r>
      <w:bookmarkEnd w:id="376"/>
      <w:bookmarkEnd w:id="377"/>
    </w:p>
    <w:tbl>
      <w:tblPr>
        <w:tblW w:w="5000" w:type="pct"/>
        <w:tblBorders>
          <w:top w:val="single" w:sz="12" w:space="0" w:color="7F7F7F"/>
          <w:left w:val="single" w:sz="12" w:space="0" w:color="7F7F7F"/>
          <w:bottom w:val="single" w:sz="12" w:space="0" w:color="7F7F7F"/>
          <w:right w:val="single" w:sz="12" w:space="0" w:color="7F7F7F"/>
          <w:insideH w:val="single" w:sz="8" w:space="0" w:color="7F7F7F"/>
        </w:tblBorders>
        <w:tblLook w:val="04A0" w:firstRow="1" w:lastRow="0" w:firstColumn="1" w:lastColumn="0" w:noHBand="0" w:noVBand="1"/>
      </w:tblPr>
      <w:tblGrid>
        <w:gridCol w:w="1349"/>
        <w:gridCol w:w="3894"/>
        <w:gridCol w:w="4628"/>
        <w:gridCol w:w="4628"/>
      </w:tblGrid>
      <w:tr w:rsidR="004D407A" w:rsidRPr="004D407A" w14:paraId="43F530F5" w14:textId="77777777" w:rsidTr="00E21383">
        <w:trPr>
          <w:trHeight w:val="1155"/>
        </w:trPr>
        <w:tc>
          <w:tcPr>
            <w:tcW w:w="465" w:type="pct"/>
            <w:shd w:val="clear" w:color="auto" w:fill="auto"/>
            <w:vAlign w:val="center"/>
          </w:tcPr>
          <w:p w14:paraId="0AFB79EC" w14:textId="77777777" w:rsidR="003066AA" w:rsidRPr="004D407A" w:rsidRDefault="003066AA"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Root cause</w:t>
            </w:r>
          </w:p>
        </w:tc>
        <w:tc>
          <w:tcPr>
            <w:tcW w:w="1343" w:type="pct"/>
            <w:tcBorders>
              <w:top w:val="single" w:sz="12" w:space="0" w:color="7F7F7F"/>
              <w:bottom w:val="single" w:sz="8" w:space="0" w:color="7F7F7F"/>
              <w:right w:val="single" w:sz="8" w:space="0" w:color="7F7F7F"/>
            </w:tcBorders>
            <w:shd w:val="clear" w:color="auto" w:fill="auto"/>
            <w:vAlign w:val="center"/>
          </w:tcPr>
          <w:p w14:paraId="6C80F6D9" w14:textId="77777777" w:rsidR="003066AA" w:rsidRPr="004D407A" w:rsidRDefault="003066AA" w:rsidP="00E21383">
            <w:pPr>
              <w:spacing w:after="0" w:line="240" w:lineRule="auto"/>
              <w:rPr>
                <w:rFonts w:ascii="Calibri" w:eastAsia="Times New Roman" w:hAnsi="Calibri" w:cs="Calibri"/>
                <w:b/>
                <w:bCs/>
                <w:sz w:val="18"/>
              </w:rPr>
            </w:pPr>
          </w:p>
        </w:tc>
        <w:tc>
          <w:tcPr>
            <w:tcW w:w="1596" w:type="pct"/>
            <w:vMerge w:val="restart"/>
            <w:tcBorders>
              <w:top w:val="single" w:sz="12" w:space="0" w:color="7F7F7F"/>
              <w:left w:val="single" w:sz="8" w:space="0" w:color="7F7F7F"/>
            </w:tcBorders>
            <w:vAlign w:val="center"/>
          </w:tcPr>
          <w:p w14:paraId="2A8AD1CD" w14:textId="77777777" w:rsidR="003066AA" w:rsidRPr="004D407A" w:rsidRDefault="003066AA"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Intervention</w:t>
            </w:r>
          </w:p>
        </w:tc>
        <w:tc>
          <w:tcPr>
            <w:tcW w:w="1596" w:type="pct"/>
            <w:vMerge w:val="restart"/>
            <w:tcBorders>
              <w:top w:val="single" w:sz="12" w:space="0" w:color="7F7F7F"/>
              <w:left w:val="single" w:sz="8" w:space="0" w:color="7F7F7F"/>
              <w:right w:val="single" w:sz="8" w:space="0" w:color="7F7F7F"/>
            </w:tcBorders>
            <w:vAlign w:val="center"/>
          </w:tcPr>
          <w:p w14:paraId="2A9F7FC3" w14:textId="7D0DDA85" w:rsidR="003066AA" w:rsidRPr="004D407A" w:rsidRDefault="003066AA" w:rsidP="00E21383">
            <w:pPr>
              <w:spacing w:after="0" w:line="240" w:lineRule="auto"/>
              <w:rPr>
                <w:rFonts w:ascii="Calibri" w:eastAsia="Times New Roman" w:hAnsi="Calibri" w:cs="Calibri"/>
                <w:b/>
                <w:bCs/>
                <w:sz w:val="18"/>
              </w:rPr>
            </w:pPr>
            <w:r w:rsidRPr="004D407A">
              <w:rPr>
                <w:rFonts w:ascii="Calibri" w:eastAsia="Times New Roman" w:hAnsi="Calibri" w:cs="Calibri"/>
                <w:b/>
                <w:bCs/>
                <w:sz w:val="18"/>
              </w:rPr>
              <w:t>NIS Objective</w:t>
            </w:r>
          </w:p>
        </w:tc>
      </w:tr>
      <w:tr w:rsidR="004D407A" w:rsidRPr="004D407A" w14:paraId="33E3F7FC" w14:textId="77777777" w:rsidTr="00E21383">
        <w:trPr>
          <w:trHeight w:val="1155"/>
        </w:trPr>
        <w:tc>
          <w:tcPr>
            <w:tcW w:w="465" w:type="pct"/>
            <w:shd w:val="clear" w:color="auto" w:fill="auto"/>
            <w:vAlign w:val="center"/>
            <w:hideMark/>
          </w:tcPr>
          <w:p w14:paraId="30640E08" w14:textId="77777777" w:rsidR="003066AA" w:rsidRPr="004D407A" w:rsidRDefault="003066AA"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Block A</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12" w:space="0" w:color="7F7F7F"/>
              <w:bottom w:val="single" w:sz="8" w:space="0" w:color="7F7F7F"/>
              <w:right w:val="single" w:sz="8" w:space="0" w:color="7F7F7F"/>
            </w:tcBorders>
            <w:shd w:val="clear" w:color="auto" w:fill="auto"/>
            <w:vAlign w:val="center"/>
            <w:hideMark/>
          </w:tcPr>
          <w:p w14:paraId="097B1962" w14:textId="77777777" w:rsidR="003066AA" w:rsidRPr="004D407A" w:rsidRDefault="003066AA"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rPr>
              <w:t>Maintenance of High Coverage Rates in All areas of the country</w:t>
            </w:r>
          </w:p>
        </w:tc>
        <w:tc>
          <w:tcPr>
            <w:tcW w:w="1596" w:type="pct"/>
            <w:vMerge/>
            <w:tcBorders>
              <w:left w:val="single" w:sz="8" w:space="0" w:color="7F7F7F"/>
              <w:bottom w:val="single" w:sz="8" w:space="0" w:color="7F7F7F"/>
            </w:tcBorders>
            <w:vAlign w:val="center"/>
          </w:tcPr>
          <w:p w14:paraId="52897B39" w14:textId="77777777" w:rsidR="003066AA" w:rsidRPr="004D407A" w:rsidRDefault="003066AA" w:rsidP="00E21383">
            <w:pPr>
              <w:spacing w:after="0" w:line="240" w:lineRule="auto"/>
              <w:rPr>
                <w:rFonts w:ascii="Calibri" w:eastAsia="Times New Roman" w:hAnsi="Calibri" w:cs="Calibri"/>
                <w:b/>
                <w:bCs/>
                <w:sz w:val="18"/>
              </w:rPr>
            </w:pPr>
          </w:p>
        </w:tc>
        <w:tc>
          <w:tcPr>
            <w:tcW w:w="1596" w:type="pct"/>
            <w:vMerge/>
            <w:tcBorders>
              <w:left w:val="single" w:sz="8" w:space="0" w:color="7F7F7F"/>
              <w:bottom w:val="single" w:sz="8" w:space="0" w:color="7F7F7F"/>
              <w:right w:val="single" w:sz="8" w:space="0" w:color="7F7F7F"/>
            </w:tcBorders>
            <w:vAlign w:val="center"/>
          </w:tcPr>
          <w:p w14:paraId="7F492381" w14:textId="77777777" w:rsidR="003066AA" w:rsidRPr="004D407A" w:rsidRDefault="003066AA" w:rsidP="00E21383">
            <w:pPr>
              <w:spacing w:after="0" w:line="240" w:lineRule="auto"/>
              <w:rPr>
                <w:rFonts w:ascii="Calibri" w:eastAsia="Times New Roman" w:hAnsi="Calibri" w:cs="Calibri"/>
                <w:b/>
                <w:bCs/>
                <w:sz w:val="18"/>
              </w:rPr>
            </w:pPr>
          </w:p>
        </w:tc>
      </w:tr>
      <w:tr w:rsidR="004D407A" w:rsidRPr="004D407A" w14:paraId="3C58DCB3" w14:textId="77777777" w:rsidTr="003066AA">
        <w:trPr>
          <w:trHeight w:val="293"/>
        </w:trPr>
        <w:tc>
          <w:tcPr>
            <w:tcW w:w="465" w:type="pct"/>
            <w:tcBorders>
              <w:bottom w:val="single" w:sz="12" w:space="0" w:color="FF0000"/>
            </w:tcBorders>
            <w:shd w:val="clear" w:color="auto" w:fill="auto"/>
            <w:vAlign w:val="center"/>
            <w:hideMark/>
          </w:tcPr>
          <w:p w14:paraId="4BAD5C95"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A1</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8" w:space="0" w:color="7F7F7F"/>
              <w:bottom w:val="single" w:sz="12" w:space="0" w:color="FF0000"/>
              <w:right w:val="single" w:sz="8" w:space="0" w:color="7F7F7F"/>
            </w:tcBorders>
            <w:shd w:val="clear" w:color="auto" w:fill="auto"/>
            <w:vAlign w:val="center"/>
            <w:hideMark/>
          </w:tcPr>
          <w:p w14:paraId="54C59865"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mallCaps/>
                <w:sz w:val="18"/>
              </w:rPr>
              <w:t>Missed opportunities for vaccination</w:t>
            </w:r>
          </w:p>
        </w:tc>
        <w:tc>
          <w:tcPr>
            <w:tcW w:w="1596" w:type="pct"/>
            <w:tcBorders>
              <w:top w:val="single" w:sz="8" w:space="0" w:color="7F7F7F"/>
              <w:left w:val="single" w:sz="8" w:space="0" w:color="7F7F7F"/>
              <w:bottom w:val="single" w:sz="12" w:space="0" w:color="FF0000"/>
            </w:tcBorders>
            <w:vAlign w:val="center"/>
          </w:tcPr>
          <w:p w14:paraId="3B74337B" w14:textId="77777777" w:rsidR="00B54966" w:rsidRPr="004D407A" w:rsidRDefault="00B54966" w:rsidP="00E21383">
            <w:pPr>
              <w:spacing w:after="0" w:line="240" w:lineRule="auto"/>
              <w:rPr>
                <w:rFonts w:ascii="Calibri" w:eastAsia="Times New Roman" w:hAnsi="Calibri" w:cs="Calibri"/>
                <w:b/>
                <w:bCs/>
                <w:smallCaps/>
                <w:sz w:val="18"/>
              </w:rPr>
            </w:pPr>
          </w:p>
        </w:tc>
        <w:tc>
          <w:tcPr>
            <w:tcW w:w="1596" w:type="pct"/>
            <w:vMerge w:val="restart"/>
            <w:tcBorders>
              <w:top w:val="single" w:sz="8" w:space="0" w:color="7F7F7F"/>
              <w:left w:val="single" w:sz="8" w:space="0" w:color="7F7F7F"/>
              <w:right w:val="single" w:sz="8" w:space="0" w:color="7F7F7F"/>
            </w:tcBorders>
            <w:vAlign w:val="center"/>
          </w:tcPr>
          <w:p w14:paraId="46681F7E" w14:textId="77777777" w:rsidR="00B54966" w:rsidRPr="004D407A" w:rsidRDefault="00B54966" w:rsidP="003066AA">
            <w:pPr>
              <w:spacing w:after="0" w:line="240" w:lineRule="auto"/>
              <w:rPr>
                <w:rFonts w:ascii="Calibri" w:eastAsia="Times New Roman" w:hAnsi="Calibri" w:cs="Calibri"/>
                <w:b/>
                <w:bCs/>
                <w:sz w:val="18"/>
              </w:rPr>
            </w:pPr>
          </w:p>
          <w:p w14:paraId="1C2DBF8C" w14:textId="77777777" w:rsidR="00B54966" w:rsidRPr="004D407A" w:rsidRDefault="00B54966" w:rsidP="003066AA">
            <w:pPr>
              <w:spacing w:after="0" w:line="240" w:lineRule="auto"/>
              <w:rPr>
                <w:rFonts w:ascii="Calibri" w:eastAsia="Times New Roman" w:hAnsi="Calibri" w:cs="Calibri"/>
                <w:b/>
                <w:bCs/>
                <w:sz w:val="18"/>
              </w:rPr>
            </w:pPr>
            <w:r w:rsidRPr="004D407A">
              <w:rPr>
                <w:rFonts w:ascii="Calibri" w:eastAsia="Times New Roman" w:hAnsi="Calibri" w:cs="Calibri"/>
                <w:b/>
                <w:bCs/>
                <w:sz w:val="18"/>
              </w:rPr>
              <w:t>Objective 1:</w:t>
            </w:r>
          </w:p>
          <w:p w14:paraId="221A287D" w14:textId="77777777" w:rsidR="00B54966" w:rsidRPr="004D407A" w:rsidRDefault="00B54966" w:rsidP="003066AA">
            <w:pPr>
              <w:spacing w:after="0" w:line="240" w:lineRule="auto"/>
              <w:rPr>
                <w:rFonts w:ascii="Calibri" w:eastAsia="Times New Roman" w:hAnsi="Calibri" w:cs="Calibri"/>
                <w:sz w:val="18"/>
              </w:rPr>
            </w:pPr>
            <w:r w:rsidRPr="004D407A">
              <w:rPr>
                <w:rFonts w:ascii="Calibri" w:eastAsia="Times New Roman" w:hAnsi="Calibri" w:cs="Calibri"/>
                <w:sz w:val="18"/>
              </w:rPr>
              <w:t>Achieve and maintain at least 95% full vaccination coverage at National level and 90% at Sub-national among under two years children and achieve and maintain at least 80% Td5 coverage at national level and 75% at sub national level</w:t>
            </w:r>
          </w:p>
          <w:p w14:paraId="609019F3" w14:textId="77777777" w:rsidR="00B54966" w:rsidRPr="004D407A" w:rsidRDefault="00B54966" w:rsidP="003066AA">
            <w:pPr>
              <w:spacing w:after="0" w:line="240" w:lineRule="auto"/>
              <w:rPr>
                <w:rFonts w:ascii="Calibri" w:eastAsia="Times New Roman" w:hAnsi="Calibri" w:cs="Calibri"/>
                <w:b/>
                <w:bCs/>
                <w:sz w:val="18"/>
              </w:rPr>
            </w:pPr>
            <w:r w:rsidRPr="004D407A">
              <w:rPr>
                <w:rFonts w:ascii="Calibri" w:eastAsia="Times New Roman" w:hAnsi="Calibri" w:cs="Calibri"/>
                <w:b/>
                <w:bCs/>
                <w:sz w:val="18"/>
              </w:rPr>
              <w:t>Objective 6:</w:t>
            </w:r>
          </w:p>
          <w:p w14:paraId="1340779D" w14:textId="77777777" w:rsidR="00B54966" w:rsidRPr="004D407A" w:rsidRDefault="00B54966" w:rsidP="003066AA">
            <w:pPr>
              <w:spacing w:after="0" w:line="240" w:lineRule="auto"/>
              <w:rPr>
                <w:rFonts w:ascii="Calibri" w:eastAsia="Times New Roman" w:hAnsi="Calibri" w:cs="Calibri"/>
                <w:sz w:val="18"/>
              </w:rPr>
            </w:pPr>
            <w:r w:rsidRPr="004D407A">
              <w:rPr>
                <w:rFonts w:ascii="Calibri" w:eastAsia="Times New Roman" w:hAnsi="Calibri" w:cs="Calibri"/>
                <w:sz w:val="18"/>
              </w:rPr>
              <w:t xml:space="preserve"> Ensure access and Use of the High-Quality Vaccines</w:t>
            </w:r>
          </w:p>
          <w:p w14:paraId="2B3990F0" w14:textId="77777777" w:rsidR="00B54966" w:rsidRPr="004D407A" w:rsidRDefault="00B54966" w:rsidP="003066AA">
            <w:pPr>
              <w:spacing w:after="0" w:line="240" w:lineRule="auto"/>
              <w:rPr>
                <w:rFonts w:ascii="Calibri" w:eastAsia="Times New Roman" w:hAnsi="Calibri" w:cs="Calibri"/>
                <w:b/>
                <w:bCs/>
                <w:sz w:val="18"/>
              </w:rPr>
            </w:pPr>
            <w:r w:rsidRPr="004D407A">
              <w:rPr>
                <w:rFonts w:ascii="Calibri" w:eastAsia="Times New Roman" w:hAnsi="Calibri" w:cs="Calibri"/>
                <w:b/>
                <w:bCs/>
                <w:sz w:val="18"/>
              </w:rPr>
              <w:t xml:space="preserve">Objective 7: </w:t>
            </w:r>
          </w:p>
          <w:p w14:paraId="5A7A04ED" w14:textId="77777777" w:rsidR="00B54966" w:rsidRPr="004D407A" w:rsidRDefault="00B54966" w:rsidP="003066AA">
            <w:pPr>
              <w:spacing w:after="0" w:line="240" w:lineRule="auto"/>
              <w:rPr>
                <w:rFonts w:ascii="Calibri" w:eastAsia="Times New Roman" w:hAnsi="Calibri" w:cs="Calibri"/>
                <w:sz w:val="18"/>
              </w:rPr>
            </w:pPr>
            <w:r w:rsidRPr="004D407A">
              <w:rPr>
                <w:rFonts w:ascii="Calibri" w:eastAsia="Times New Roman" w:hAnsi="Calibri" w:cs="Calibri"/>
                <w:sz w:val="18"/>
              </w:rPr>
              <w:t>Enhance Protection of Population Against VPD by new and underused vaccine introduction</w:t>
            </w:r>
          </w:p>
          <w:p w14:paraId="161BEBB7" w14:textId="77777777" w:rsidR="00B54966" w:rsidRPr="004D407A" w:rsidRDefault="00B54966" w:rsidP="003066AA">
            <w:pPr>
              <w:spacing w:after="0" w:line="240" w:lineRule="auto"/>
              <w:rPr>
                <w:rFonts w:ascii="Calibri" w:eastAsia="Times New Roman" w:hAnsi="Calibri" w:cs="Calibri"/>
                <w:b/>
                <w:bCs/>
                <w:sz w:val="18"/>
              </w:rPr>
            </w:pPr>
            <w:r w:rsidRPr="004D407A">
              <w:rPr>
                <w:rFonts w:ascii="Calibri" w:eastAsia="Times New Roman" w:hAnsi="Calibri" w:cs="Calibri"/>
                <w:b/>
                <w:bCs/>
                <w:sz w:val="18"/>
              </w:rPr>
              <w:t>Objective 8:</w:t>
            </w:r>
          </w:p>
          <w:p w14:paraId="482E895F" w14:textId="77777777" w:rsidR="00B54966" w:rsidRPr="004D407A" w:rsidRDefault="00B54966" w:rsidP="003066AA">
            <w:pPr>
              <w:spacing w:after="0" w:line="240" w:lineRule="auto"/>
              <w:rPr>
                <w:rFonts w:ascii="Calibri" w:eastAsia="Times New Roman" w:hAnsi="Calibri" w:cs="Calibri"/>
                <w:b/>
                <w:bCs/>
                <w:smallCaps/>
                <w:sz w:val="18"/>
              </w:rPr>
            </w:pPr>
            <w:r w:rsidRPr="004D407A">
              <w:rPr>
                <w:rFonts w:ascii="Calibri" w:eastAsia="Times New Roman" w:hAnsi="Calibri" w:cs="Calibri"/>
                <w:sz w:val="18"/>
              </w:rPr>
              <w:t>Sustain operation of Critical Immunization System Components While Transitioning from Foreign to Domestic Sources of Financing</w:t>
            </w:r>
          </w:p>
        </w:tc>
      </w:tr>
      <w:tr w:rsidR="004D407A" w:rsidRPr="004D407A" w14:paraId="105C5EEE" w14:textId="77777777" w:rsidTr="003066AA">
        <w:trPr>
          <w:trHeight w:val="293"/>
        </w:trPr>
        <w:tc>
          <w:tcPr>
            <w:tcW w:w="465" w:type="pct"/>
            <w:tcBorders>
              <w:top w:val="single" w:sz="12" w:space="0" w:color="FF0000"/>
              <w:bottom w:val="single" w:sz="8" w:space="0" w:color="7F7F7F"/>
            </w:tcBorders>
            <w:shd w:val="clear" w:color="auto" w:fill="auto"/>
            <w:vAlign w:val="center"/>
            <w:hideMark/>
          </w:tcPr>
          <w:p w14:paraId="38179B0A"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A1.1</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12" w:space="0" w:color="FF0000"/>
              <w:bottom w:val="single" w:sz="8" w:space="0" w:color="7F7F7F"/>
              <w:right w:val="single" w:sz="8" w:space="0" w:color="7F7F7F"/>
            </w:tcBorders>
            <w:shd w:val="clear" w:color="auto" w:fill="auto"/>
            <w:vAlign w:val="center"/>
            <w:hideMark/>
          </w:tcPr>
          <w:p w14:paraId="7CA3AA91"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rPr>
              <w:t>Valid RI vaccination rate</w:t>
            </w:r>
          </w:p>
        </w:tc>
        <w:tc>
          <w:tcPr>
            <w:tcW w:w="1596" w:type="pct"/>
            <w:vMerge w:val="restart"/>
            <w:tcBorders>
              <w:top w:val="single" w:sz="12" w:space="0" w:color="FF0000"/>
              <w:left w:val="single" w:sz="8" w:space="0" w:color="7F7F7F"/>
              <w:bottom w:val="single" w:sz="8" w:space="0" w:color="7F7F7F"/>
            </w:tcBorders>
            <w:vAlign w:val="center"/>
          </w:tcPr>
          <w:p w14:paraId="2DD37802" w14:textId="77777777" w:rsidR="00B54966" w:rsidRPr="004D407A" w:rsidRDefault="00B54966" w:rsidP="00E21383">
            <w:pPr>
              <w:spacing w:after="0" w:line="240" w:lineRule="auto"/>
              <w:rPr>
                <w:rFonts w:ascii="Calibri" w:eastAsia="Times New Roman" w:hAnsi="Calibri" w:cs="Calibri"/>
                <w:b/>
                <w:bCs/>
                <w:sz w:val="18"/>
              </w:rPr>
            </w:pPr>
            <w:r w:rsidRPr="004D407A">
              <w:rPr>
                <w:rFonts w:ascii="Calibri" w:eastAsia="Times New Roman" w:hAnsi="Calibri" w:cs="Calibri"/>
                <w:sz w:val="18"/>
              </w:rPr>
              <w:t xml:space="preserve">1.1: Strengthen governance and management capacity of EPI through appropriate immunization policy that also includes. Integration of immunization with other Primary health care services, vaccination beyond current age, private vaccination, catch-up </w:t>
            </w:r>
            <w:proofErr w:type="gramStart"/>
            <w:r w:rsidRPr="004D407A">
              <w:rPr>
                <w:rFonts w:ascii="Calibri" w:eastAsia="Times New Roman" w:hAnsi="Calibri" w:cs="Calibri"/>
                <w:sz w:val="18"/>
              </w:rPr>
              <w:t>vaccination</w:t>
            </w:r>
            <w:proofErr w:type="gramEnd"/>
            <w:r w:rsidRPr="004D407A">
              <w:rPr>
                <w:rFonts w:ascii="Calibri" w:eastAsia="Times New Roman" w:hAnsi="Calibri" w:cs="Calibri"/>
                <w:sz w:val="18"/>
              </w:rPr>
              <w:t xml:space="preserve"> and booster doses) at all levels</w:t>
            </w:r>
          </w:p>
          <w:p w14:paraId="24AFBDF8"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1.2: Achieve immunization target rates in City Corporations and Municipalities</w:t>
            </w:r>
          </w:p>
          <w:p w14:paraId="05179363"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1.3: Achieve immunization target rates among zero-dose children and missed communities</w:t>
            </w:r>
          </w:p>
          <w:p w14:paraId="747DEA98"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1.4: Improve EPI performance and achieve coverage targets in the under-served and high-risk areas such as:  geographically hard-to-reach areas; ethnic minorities and migrant population (refugees)</w:t>
            </w:r>
          </w:p>
          <w:p w14:paraId="1D9DBAD0"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1.10: Procurement of Vaccines</w:t>
            </w:r>
          </w:p>
          <w:p w14:paraId="47147F20"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1.11: Introduction of booster doses</w:t>
            </w:r>
          </w:p>
          <w:p w14:paraId="785DC5FD" w14:textId="77777777" w:rsidR="00B54966" w:rsidRPr="004D407A" w:rsidRDefault="00B54966" w:rsidP="00E21383">
            <w:pPr>
              <w:spacing w:after="0" w:line="240" w:lineRule="auto"/>
              <w:rPr>
                <w:rFonts w:ascii="Calibri" w:eastAsia="Times New Roman" w:hAnsi="Calibri" w:cs="Calibri"/>
                <w:sz w:val="18"/>
              </w:rPr>
            </w:pPr>
          </w:p>
          <w:p w14:paraId="4081732C" w14:textId="77777777" w:rsidR="00B54966" w:rsidRPr="004D407A" w:rsidRDefault="00B54966" w:rsidP="00E21383">
            <w:pPr>
              <w:spacing w:after="0" w:line="240" w:lineRule="auto"/>
              <w:rPr>
                <w:rFonts w:ascii="Calibri" w:eastAsia="Times New Roman" w:hAnsi="Calibri" w:cs="Calibri"/>
                <w:sz w:val="18"/>
              </w:rPr>
            </w:pPr>
          </w:p>
          <w:p w14:paraId="412C26FE"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6.1: Strengthen capacity of NRA to undertake all NRA functions for ensuring selection of high-quality vaccines</w:t>
            </w:r>
          </w:p>
          <w:p w14:paraId="55E0A71A"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6.2: Strengthen AEFI surveillance</w:t>
            </w:r>
          </w:p>
          <w:p w14:paraId="26777F91"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6.3: Explore and support domestic production of vaccines</w:t>
            </w:r>
          </w:p>
          <w:p w14:paraId="51659F76" w14:textId="77777777" w:rsidR="00B54966" w:rsidRPr="004D407A" w:rsidRDefault="00B54966" w:rsidP="00E21383">
            <w:pPr>
              <w:spacing w:after="0" w:line="240" w:lineRule="auto"/>
              <w:rPr>
                <w:rFonts w:ascii="Calibri" w:eastAsia="Times New Roman" w:hAnsi="Calibri" w:cs="Calibri"/>
                <w:sz w:val="18"/>
              </w:rPr>
            </w:pPr>
          </w:p>
          <w:p w14:paraId="42A35E24" w14:textId="77777777" w:rsidR="00B54966" w:rsidRPr="004D407A" w:rsidRDefault="00B54966" w:rsidP="00E21383">
            <w:pPr>
              <w:spacing w:after="0" w:line="240" w:lineRule="auto"/>
              <w:rPr>
                <w:rFonts w:ascii="Calibri" w:eastAsia="Times New Roman" w:hAnsi="Calibri" w:cs="Calibri"/>
                <w:sz w:val="18"/>
              </w:rPr>
            </w:pPr>
          </w:p>
          <w:p w14:paraId="105F509D"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7.1: Introduce Rota vaccine in 2023</w:t>
            </w:r>
          </w:p>
          <w:p w14:paraId="33A46017"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7.2: Roll out HPV vaccination at the national level in 2023</w:t>
            </w:r>
          </w:p>
          <w:p w14:paraId="44073004"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7.3: Conduct HPV MAC SIA in 2023</w:t>
            </w:r>
          </w:p>
          <w:p w14:paraId="62C9E53D"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7.4: Introduce JE vaccine into the national immunization schedule in 2023</w:t>
            </w:r>
          </w:p>
          <w:p w14:paraId="766C428D"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lastRenderedPageBreak/>
              <w:t>7.5: Introduce TCV into the national immunization schedule in 2023 year</w:t>
            </w:r>
          </w:p>
          <w:p w14:paraId="324222EB" w14:textId="77777777" w:rsidR="00B54966" w:rsidRPr="004D407A" w:rsidRDefault="00B54966" w:rsidP="00E21383">
            <w:pPr>
              <w:spacing w:after="0" w:line="240" w:lineRule="auto"/>
              <w:rPr>
                <w:rFonts w:ascii="Calibri" w:eastAsia="Times New Roman" w:hAnsi="Calibri" w:cs="Calibri"/>
                <w:sz w:val="18"/>
              </w:rPr>
            </w:pPr>
          </w:p>
          <w:p w14:paraId="2E42696A"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8.1: Ensure sufficient government fund allocation under Operational Plan to support immunization activities including new vaccine introduction for sustainable program and financial sustainability</w:t>
            </w:r>
          </w:p>
          <w:p w14:paraId="44D2CB65"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 xml:space="preserve">8.2: Ensure high political and financial commitment demonstrated by increased budget space and increased domestic fund for immunization </w:t>
            </w:r>
            <w:proofErr w:type="spellStart"/>
            <w:r w:rsidRPr="004D407A">
              <w:rPr>
                <w:rFonts w:ascii="Calibri" w:eastAsia="Times New Roman" w:hAnsi="Calibri" w:cs="Calibri"/>
                <w:sz w:val="18"/>
              </w:rPr>
              <w:t>Programme</w:t>
            </w:r>
            <w:proofErr w:type="spellEnd"/>
          </w:p>
          <w:p w14:paraId="65D1AAE5"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8.3: Advocate for the establishment of separate Immunization Directorate incorporating in 5th HPNSP</w:t>
            </w:r>
          </w:p>
        </w:tc>
        <w:tc>
          <w:tcPr>
            <w:tcW w:w="1596" w:type="pct"/>
            <w:vMerge/>
            <w:tcBorders>
              <w:left w:val="single" w:sz="8" w:space="0" w:color="7F7F7F"/>
              <w:right w:val="single" w:sz="8" w:space="0" w:color="7F7F7F"/>
            </w:tcBorders>
            <w:vAlign w:val="center"/>
          </w:tcPr>
          <w:p w14:paraId="3795FECA"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616B92A2"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42B2983E"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A1.1.1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58875CD0"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Availability of well-organized high-quality services</w:t>
            </w:r>
          </w:p>
        </w:tc>
        <w:tc>
          <w:tcPr>
            <w:tcW w:w="1596" w:type="pct"/>
            <w:vMerge/>
            <w:tcBorders>
              <w:top w:val="single" w:sz="8" w:space="0" w:color="7F7F7F"/>
              <w:left w:val="single" w:sz="8" w:space="0" w:color="7F7F7F"/>
              <w:bottom w:val="single" w:sz="8" w:space="0" w:color="7F7F7F"/>
            </w:tcBorders>
            <w:vAlign w:val="center"/>
          </w:tcPr>
          <w:p w14:paraId="5C006CAE"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1756363D"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429CB5B3"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76E52DD6"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A1.1.1.1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511C548A"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Capacity in micro-planning</w:t>
            </w:r>
          </w:p>
        </w:tc>
        <w:tc>
          <w:tcPr>
            <w:tcW w:w="1596" w:type="pct"/>
            <w:vMerge/>
            <w:tcBorders>
              <w:top w:val="single" w:sz="8" w:space="0" w:color="7F7F7F"/>
              <w:left w:val="single" w:sz="8" w:space="0" w:color="7F7F7F"/>
              <w:bottom w:val="single" w:sz="8" w:space="0" w:color="7F7F7F"/>
            </w:tcBorders>
            <w:vAlign w:val="center"/>
          </w:tcPr>
          <w:p w14:paraId="46E41E41"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38698193"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72C7D111"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10F370F1"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A1.1.1.2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66408A04"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Capacity and skills of service providers in quality service delivery</w:t>
            </w:r>
          </w:p>
        </w:tc>
        <w:tc>
          <w:tcPr>
            <w:tcW w:w="1596" w:type="pct"/>
            <w:vMerge/>
            <w:tcBorders>
              <w:top w:val="single" w:sz="8" w:space="0" w:color="7F7F7F"/>
              <w:left w:val="single" w:sz="8" w:space="0" w:color="7F7F7F"/>
              <w:bottom w:val="single" w:sz="8" w:space="0" w:color="7F7F7F"/>
            </w:tcBorders>
            <w:vAlign w:val="center"/>
          </w:tcPr>
          <w:p w14:paraId="54FBABB2"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55F6A940"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3B0743A9" w14:textId="77777777" w:rsidTr="003066AA">
        <w:trPr>
          <w:trHeight w:val="473"/>
        </w:trPr>
        <w:tc>
          <w:tcPr>
            <w:tcW w:w="465" w:type="pct"/>
            <w:tcBorders>
              <w:top w:val="single" w:sz="8" w:space="0" w:color="7F7F7F"/>
              <w:bottom w:val="single" w:sz="8" w:space="0" w:color="7F7F7F"/>
            </w:tcBorders>
            <w:shd w:val="clear" w:color="auto" w:fill="auto"/>
            <w:vAlign w:val="center"/>
            <w:hideMark/>
          </w:tcPr>
          <w:p w14:paraId="76AC6AB0"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A1.1.2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4F85E955"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Service providers are not motivated to achieve high coverage rates in valid vaccination</w:t>
            </w:r>
          </w:p>
        </w:tc>
        <w:tc>
          <w:tcPr>
            <w:tcW w:w="1596" w:type="pct"/>
            <w:vMerge/>
            <w:tcBorders>
              <w:top w:val="single" w:sz="8" w:space="0" w:color="7F7F7F"/>
              <w:left w:val="single" w:sz="8" w:space="0" w:color="7F7F7F"/>
              <w:bottom w:val="single" w:sz="8" w:space="0" w:color="7F7F7F"/>
            </w:tcBorders>
            <w:vAlign w:val="center"/>
          </w:tcPr>
          <w:p w14:paraId="5F554468"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652E4483"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50763694" w14:textId="77777777" w:rsidTr="003066AA">
        <w:trPr>
          <w:trHeight w:val="473"/>
        </w:trPr>
        <w:tc>
          <w:tcPr>
            <w:tcW w:w="465" w:type="pct"/>
            <w:tcBorders>
              <w:top w:val="single" w:sz="8" w:space="0" w:color="7F7F7F"/>
              <w:bottom w:val="single" w:sz="8" w:space="0" w:color="7F7F7F"/>
            </w:tcBorders>
            <w:shd w:val="clear" w:color="auto" w:fill="auto"/>
            <w:vAlign w:val="center"/>
            <w:hideMark/>
          </w:tcPr>
          <w:p w14:paraId="20BB7DB8"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A1.1.2.1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53D2AEB8"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Non-financial incentives and/or motivating factors for increasing valid vaccination coverage rates</w:t>
            </w:r>
          </w:p>
        </w:tc>
        <w:tc>
          <w:tcPr>
            <w:tcW w:w="1596" w:type="pct"/>
            <w:vMerge/>
            <w:tcBorders>
              <w:top w:val="single" w:sz="8" w:space="0" w:color="7F7F7F"/>
              <w:left w:val="single" w:sz="8" w:space="0" w:color="7F7F7F"/>
              <w:bottom w:val="single" w:sz="8" w:space="0" w:color="7F7F7F"/>
            </w:tcBorders>
            <w:vAlign w:val="center"/>
          </w:tcPr>
          <w:p w14:paraId="5485AF7F"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27AA6F22"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0813089E" w14:textId="77777777" w:rsidTr="003066AA">
        <w:trPr>
          <w:trHeight w:val="293"/>
        </w:trPr>
        <w:tc>
          <w:tcPr>
            <w:tcW w:w="465" w:type="pct"/>
            <w:tcBorders>
              <w:top w:val="single" w:sz="8" w:space="0" w:color="7F7F7F"/>
              <w:bottom w:val="single" w:sz="12" w:space="0" w:color="FF0000"/>
            </w:tcBorders>
            <w:shd w:val="clear" w:color="auto" w:fill="auto"/>
            <w:vAlign w:val="center"/>
            <w:hideMark/>
          </w:tcPr>
          <w:p w14:paraId="6218B3B0"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A1.1.2.2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12" w:space="0" w:color="FF0000"/>
              <w:right w:val="single" w:sz="8" w:space="0" w:color="7F7F7F"/>
            </w:tcBorders>
            <w:shd w:val="clear" w:color="auto" w:fill="auto"/>
            <w:vAlign w:val="center"/>
            <w:hideMark/>
          </w:tcPr>
          <w:p w14:paraId="68B264AA"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Supportive supervision systems for improving quality of provided services</w:t>
            </w:r>
          </w:p>
        </w:tc>
        <w:tc>
          <w:tcPr>
            <w:tcW w:w="1596" w:type="pct"/>
            <w:vMerge/>
            <w:tcBorders>
              <w:top w:val="single" w:sz="8" w:space="0" w:color="7F7F7F"/>
              <w:left w:val="single" w:sz="8" w:space="0" w:color="7F7F7F"/>
              <w:bottom w:val="single" w:sz="12" w:space="0" w:color="FF0000"/>
            </w:tcBorders>
            <w:vAlign w:val="center"/>
          </w:tcPr>
          <w:p w14:paraId="1ECCC605"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30D575C0"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60CE62BC" w14:textId="77777777" w:rsidTr="003066AA">
        <w:trPr>
          <w:trHeight w:val="293"/>
        </w:trPr>
        <w:tc>
          <w:tcPr>
            <w:tcW w:w="465" w:type="pct"/>
            <w:tcBorders>
              <w:top w:val="single" w:sz="12" w:space="0" w:color="FF0000"/>
              <w:bottom w:val="single" w:sz="8" w:space="0" w:color="7F7F7F"/>
            </w:tcBorders>
            <w:shd w:val="clear" w:color="auto" w:fill="auto"/>
            <w:vAlign w:val="center"/>
            <w:hideMark/>
          </w:tcPr>
          <w:p w14:paraId="5D3E3BE9"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A1.2</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12" w:space="0" w:color="FF0000"/>
              <w:bottom w:val="single" w:sz="8" w:space="0" w:color="7F7F7F"/>
              <w:right w:val="single" w:sz="8" w:space="0" w:color="7F7F7F"/>
            </w:tcBorders>
            <w:shd w:val="clear" w:color="auto" w:fill="auto"/>
            <w:vAlign w:val="center"/>
            <w:hideMark/>
          </w:tcPr>
          <w:p w14:paraId="378D416C"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rPr>
              <w:t>Recording and reporting systems</w:t>
            </w:r>
          </w:p>
        </w:tc>
        <w:tc>
          <w:tcPr>
            <w:tcW w:w="1596" w:type="pct"/>
            <w:vMerge w:val="restart"/>
            <w:tcBorders>
              <w:top w:val="single" w:sz="12" w:space="0" w:color="FF0000"/>
              <w:left w:val="single" w:sz="8" w:space="0" w:color="7F7F7F"/>
              <w:bottom w:val="single" w:sz="8" w:space="0" w:color="7F7F7F"/>
            </w:tcBorders>
            <w:vAlign w:val="center"/>
          </w:tcPr>
          <w:p w14:paraId="411395AA"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1.5: Update, formalize and implement data quality improvement plan to ensure high quality data management and monitoring, and establish linking with HMIS, CRVS and birth registration</w:t>
            </w:r>
          </w:p>
        </w:tc>
        <w:tc>
          <w:tcPr>
            <w:tcW w:w="1596" w:type="pct"/>
            <w:vMerge/>
            <w:tcBorders>
              <w:left w:val="single" w:sz="8" w:space="0" w:color="7F7F7F"/>
              <w:right w:val="single" w:sz="8" w:space="0" w:color="7F7F7F"/>
            </w:tcBorders>
            <w:vAlign w:val="center"/>
          </w:tcPr>
          <w:p w14:paraId="276174E6"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1EE3BBCF"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68AEB590"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A1.2.1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11784B67"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Manual recording and reporting systems at the service delivery level</w:t>
            </w:r>
          </w:p>
        </w:tc>
        <w:tc>
          <w:tcPr>
            <w:tcW w:w="1596" w:type="pct"/>
            <w:vMerge/>
            <w:tcBorders>
              <w:top w:val="single" w:sz="8" w:space="0" w:color="7F7F7F"/>
              <w:left w:val="single" w:sz="8" w:space="0" w:color="7F7F7F"/>
              <w:bottom w:val="single" w:sz="8" w:space="0" w:color="7F7F7F"/>
            </w:tcBorders>
            <w:vAlign w:val="center"/>
          </w:tcPr>
          <w:p w14:paraId="4EF16C15"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1ECC4E47"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50C6BDBB" w14:textId="77777777" w:rsidTr="003066AA">
        <w:trPr>
          <w:trHeight w:val="473"/>
        </w:trPr>
        <w:tc>
          <w:tcPr>
            <w:tcW w:w="465" w:type="pct"/>
            <w:tcBorders>
              <w:top w:val="single" w:sz="8" w:space="0" w:color="7F7F7F"/>
              <w:bottom w:val="single" w:sz="8" w:space="0" w:color="7F7F7F"/>
            </w:tcBorders>
            <w:shd w:val="clear" w:color="auto" w:fill="auto"/>
            <w:vAlign w:val="center"/>
            <w:hideMark/>
          </w:tcPr>
          <w:p w14:paraId="21A8A8A7"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A1.2.2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5E5AC7D6"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Skills of front-line service providers in record keeping and development of the reports</w:t>
            </w:r>
          </w:p>
        </w:tc>
        <w:tc>
          <w:tcPr>
            <w:tcW w:w="1596" w:type="pct"/>
            <w:vMerge/>
            <w:tcBorders>
              <w:top w:val="single" w:sz="8" w:space="0" w:color="7F7F7F"/>
              <w:left w:val="single" w:sz="8" w:space="0" w:color="7F7F7F"/>
              <w:bottom w:val="single" w:sz="8" w:space="0" w:color="7F7F7F"/>
            </w:tcBorders>
            <w:vAlign w:val="center"/>
          </w:tcPr>
          <w:p w14:paraId="5BB14D48"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3BEEBC9E"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6AEC221C" w14:textId="77777777" w:rsidTr="003066AA">
        <w:trPr>
          <w:trHeight w:val="473"/>
        </w:trPr>
        <w:tc>
          <w:tcPr>
            <w:tcW w:w="465" w:type="pct"/>
            <w:tcBorders>
              <w:top w:val="single" w:sz="8" w:space="0" w:color="7F7F7F"/>
              <w:bottom w:val="single" w:sz="12" w:space="0" w:color="FF0000"/>
            </w:tcBorders>
            <w:shd w:val="clear" w:color="auto" w:fill="auto"/>
            <w:vAlign w:val="center"/>
            <w:hideMark/>
          </w:tcPr>
          <w:p w14:paraId="7369A1F2"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A1.2.3</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12" w:space="0" w:color="FF0000"/>
              <w:right w:val="single" w:sz="8" w:space="0" w:color="7F7F7F"/>
            </w:tcBorders>
            <w:shd w:val="clear" w:color="auto" w:fill="auto"/>
            <w:vAlign w:val="center"/>
            <w:hideMark/>
          </w:tcPr>
          <w:p w14:paraId="3676BA26"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Lack of equipment for maintenance records and produce reports in electronic format</w:t>
            </w:r>
          </w:p>
        </w:tc>
        <w:tc>
          <w:tcPr>
            <w:tcW w:w="1596" w:type="pct"/>
            <w:vMerge/>
            <w:tcBorders>
              <w:top w:val="single" w:sz="8" w:space="0" w:color="7F7F7F"/>
              <w:left w:val="single" w:sz="8" w:space="0" w:color="7F7F7F"/>
              <w:bottom w:val="single" w:sz="12" w:space="0" w:color="FF0000"/>
            </w:tcBorders>
            <w:vAlign w:val="center"/>
          </w:tcPr>
          <w:p w14:paraId="03D019C0"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61789B56"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51BFD0D4" w14:textId="77777777" w:rsidTr="003066AA">
        <w:trPr>
          <w:trHeight w:val="293"/>
        </w:trPr>
        <w:tc>
          <w:tcPr>
            <w:tcW w:w="465" w:type="pct"/>
            <w:tcBorders>
              <w:top w:val="single" w:sz="12" w:space="0" w:color="FF0000"/>
              <w:bottom w:val="single" w:sz="8" w:space="0" w:color="7F7F7F"/>
            </w:tcBorders>
            <w:shd w:val="clear" w:color="auto" w:fill="auto"/>
            <w:vAlign w:val="center"/>
            <w:hideMark/>
          </w:tcPr>
          <w:p w14:paraId="7FE56D46"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A1.3</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12" w:space="0" w:color="FF0000"/>
              <w:bottom w:val="single" w:sz="8" w:space="0" w:color="7F7F7F"/>
              <w:right w:val="single" w:sz="8" w:space="0" w:color="7F7F7F"/>
            </w:tcBorders>
            <w:shd w:val="clear" w:color="auto" w:fill="auto"/>
            <w:vAlign w:val="center"/>
            <w:hideMark/>
          </w:tcPr>
          <w:p w14:paraId="1F9E2638"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rPr>
              <w:t>Staff shortage at vaccination points</w:t>
            </w:r>
          </w:p>
        </w:tc>
        <w:tc>
          <w:tcPr>
            <w:tcW w:w="1596" w:type="pct"/>
            <w:vMerge w:val="restart"/>
            <w:tcBorders>
              <w:top w:val="single" w:sz="12" w:space="0" w:color="FF0000"/>
              <w:left w:val="single" w:sz="8" w:space="0" w:color="7F7F7F"/>
              <w:bottom w:val="single" w:sz="8" w:space="0" w:color="7F7F7F"/>
            </w:tcBorders>
            <w:vAlign w:val="center"/>
          </w:tcPr>
          <w:p w14:paraId="112CFBB4" w14:textId="77777777" w:rsidR="00B54966" w:rsidRPr="004D407A" w:rsidRDefault="00B54966" w:rsidP="00E21383">
            <w:pPr>
              <w:spacing w:after="0" w:line="240" w:lineRule="auto"/>
              <w:rPr>
                <w:rFonts w:ascii="Calibri" w:eastAsia="Times New Roman" w:hAnsi="Calibri" w:cs="Calibri"/>
                <w:b/>
                <w:bCs/>
                <w:sz w:val="18"/>
              </w:rPr>
            </w:pPr>
            <w:r w:rsidRPr="004D407A">
              <w:rPr>
                <w:rFonts w:ascii="Calibri" w:eastAsia="Times New Roman" w:hAnsi="Calibri" w:cs="Calibri"/>
                <w:sz w:val="18"/>
              </w:rPr>
              <w:t>1.7: Ensure adequate and effective human resource capacity at all levels of all districts, municipality and city-corporations through development and implementation of HR strategy and building capacity of existing HR</w:t>
            </w:r>
          </w:p>
        </w:tc>
        <w:tc>
          <w:tcPr>
            <w:tcW w:w="1596" w:type="pct"/>
            <w:vMerge/>
            <w:tcBorders>
              <w:left w:val="single" w:sz="8" w:space="0" w:color="7F7F7F"/>
              <w:right w:val="single" w:sz="8" w:space="0" w:color="7F7F7F"/>
            </w:tcBorders>
            <w:vAlign w:val="center"/>
          </w:tcPr>
          <w:p w14:paraId="05C0D534"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466C132E"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46BB43E9"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A1.3.1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192914E4"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Full reliance on fixed service delivery in urban slums</w:t>
            </w:r>
          </w:p>
        </w:tc>
        <w:tc>
          <w:tcPr>
            <w:tcW w:w="1596" w:type="pct"/>
            <w:vMerge/>
            <w:tcBorders>
              <w:top w:val="single" w:sz="8" w:space="0" w:color="7F7F7F"/>
              <w:left w:val="single" w:sz="8" w:space="0" w:color="7F7F7F"/>
              <w:bottom w:val="single" w:sz="8" w:space="0" w:color="7F7F7F"/>
            </w:tcBorders>
            <w:vAlign w:val="center"/>
          </w:tcPr>
          <w:p w14:paraId="58134119"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75B546DA"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2242AF34"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3B289A76"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A1.3.2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1FBA7709"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National Immunization Policy and HR strategy for Immunization</w:t>
            </w:r>
          </w:p>
        </w:tc>
        <w:tc>
          <w:tcPr>
            <w:tcW w:w="1596" w:type="pct"/>
            <w:vMerge/>
            <w:tcBorders>
              <w:top w:val="single" w:sz="8" w:space="0" w:color="7F7F7F"/>
              <w:left w:val="single" w:sz="8" w:space="0" w:color="7F7F7F"/>
              <w:bottom w:val="single" w:sz="8" w:space="0" w:color="7F7F7F"/>
            </w:tcBorders>
            <w:vAlign w:val="center"/>
          </w:tcPr>
          <w:p w14:paraId="4F7569C3"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66674158"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1246160E" w14:textId="77777777" w:rsidTr="003066AA">
        <w:trPr>
          <w:trHeight w:val="293"/>
        </w:trPr>
        <w:tc>
          <w:tcPr>
            <w:tcW w:w="465" w:type="pct"/>
            <w:tcBorders>
              <w:top w:val="single" w:sz="8" w:space="0" w:color="7F7F7F"/>
              <w:bottom w:val="single" w:sz="12" w:space="0" w:color="FF0000"/>
            </w:tcBorders>
            <w:shd w:val="clear" w:color="auto" w:fill="auto"/>
            <w:vAlign w:val="center"/>
            <w:hideMark/>
          </w:tcPr>
          <w:p w14:paraId="73481662"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A1.3.3</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12" w:space="0" w:color="FF0000"/>
              <w:right w:val="single" w:sz="8" w:space="0" w:color="7F7F7F"/>
            </w:tcBorders>
            <w:shd w:val="clear" w:color="auto" w:fill="auto"/>
            <w:vAlign w:val="center"/>
            <w:hideMark/>
          </w:tcPr>
          <w:p w14:paraId="2F8FAC28"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High staff turn-over and availability of service providers in urban settings</w:t>
            </w:r>
          </w:p>
        </w:tc>
        <w:tc>
          <w:tcPr>
            <w:tcW w:w="1596" w:type="pct"/>
            <w:vMerge/>
            <w:tcBorders>
              <w:top w:val="single" w:sz="8" w:space="0" w:color="7F7F7F"/>
              <w:left w:val="single" w:sz="8" w:space="0" w:color="7F7F7F"/>
              <w:bottom w:val="single" w:sz="12" w:space="0" w:color="FF0000"/>
            </w:tcBorders>
            <w:vAlign w:val="center"/>
          </w:tcPr>
          <w:p w14:paraId="35CC4C6E"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799CDFE4"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2A5FA7B8" w14:textId="77777777" w:rsidTr="003066AA">
        <w:trPr>
          <w:trHeight w:val="293"/>
        </w:trPr>
        <w:tc>
          <w:tcPr>
            <w:tcW w:w="465" w:type="pct"/>
            <w:tcBorders>
              <w:top w:val="single" w:sz="12" w:space="0" w:color="FF0000"/>
              <w:bottom w:val="single" w:sz="8" w:space="0" w:color="7F7F7F"/>
            </w:tcBorders>
            <w:shd w:val="clear" w:color="auto" w:fill="auto"/>
            <w:vAlign w:val="center"/>
            <w:hideMark/>
          </w:tcPr>
          <w:p w14:paraId="25C8E40A"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A1.4</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12" w:space="0" w:color="FF0000"/>
              <w:bottom w:val="single" w:sz="8" w:space="0" w:color="7F7F7F"/>
              <w:right w:val="single" w:sz="8" w:space="0" w:color="7F7F7F"/>
            </w:tcBorders>
            <w:shd w:val="clear" w:color="auto" w:fill="auto"/>
            <w:vAlign w:val="center"/>
            <w:hideMark/>
          </w:tcPr>
          <w:p w14:paraId="26E11C04"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rPr>
              <w:t>Capacity for Defaulter Tracking</w:t>
            </w:r>
          </w:p>
        </w:tc>
        <w:tc>
          <w:tcPr>
            <w:tcW w:w="1596" w:type="pct"/>
            <w:vMerge w:val="restart"/>
            <w:tcBorders>
              <w:top w:val="single" w:sz="12" w:space="0" w:color="FF0000"/>
              <w:left w:val="single" w:sz="8" w:space="0" w:color="7F7F7F"/>
              <w:bottom w:val="single" w:sz="8" w:space="0" w:color="7F7F7F"/>
            </w:tcBorders>
            <w:vAlign w:val="center"/>
          </w:tcPr>
          <w:p w14:paraId="24FC8AC4" w14:textId="77777777" w:rsidR="00B54966" w:rsidRPr="004D407A" w:rsidRDefault="00B54966" w:rsidP="00E21383">
            <w:pPr>
              <w:spacing w:after="0" w:line="240" w:lineRule="auto"/>
              <w:rPr>
                <w:rFonts w:ascii="Calibri" w:eastAsia="Times New Roman" w:hAnsi="Calibri" w:cs="Calibri"/>
                <w:b/>
                <w:bCs/>
                <w:sz w:val="18"/>
              </w:rPr>
            </w:pPr>
            <w:r w:rsidRPr="004D407A">
              <w:rPr>
                <w:rFonts w:ascii="Calibri" w:eastAsia="Times New Roman" w:hAnsi="Calibri" w:cs="Calibri"/>
                <w:sz w:val="18"/>
              </w:rPr>
              <w:t>1.5: Update, formalize and implement data quality improvement plan to ensure high quality data management and monitoring, and establish linking with HMIS, CRVS and birth registration</w:t>
            </w:r>
          </w:p>
        </w:tc>
        <w:tc>
          <w:tcPr>
            <w:tcW w:w="1596" w:type="pct"/>
            <w:vMerge/>
            <w:tcBorders>
              <w:left w:val="single" w:sz="8" w:space="0" w:color="7F7F7F"/>
              <w:right w:val="single" w:sz="8" w:space="0" w:color="7F7F7F"/>
            </w:tcBorders>
            <w:vAlign w:val="center"/>
          </w:tcPr>
          <w:p w14:paraId="0764355B"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298A4EB4"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32B21882"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A1.4.1</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756304D2"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Defaulter tracking and reminder systems</w:t>
            </w:r>
          </w:p>
        </w:tc>
        <w:tc>
          <w:tcPr>
            <w:tcW w:w="1596" w:type="pct"/>
            <w:vMerge/>
            <w:tcBorders>
              <w:top w:val="single" w:sz="8" w:space="0" w:color="7F7F7F"/>
              <w:left w:val="single" w:sz="8" w:space="0" w:color="7F7F7F"/>
              <w:bottom w:val="single" w:sz="8" w:space="0" w:color="7F7F7F"/>
            </w:tcBorders>
            <w:vAlign w:val="center"/>
          </w:tcPr>
          <w:p w14:paraId="72BCE512"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53ACDC3F"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3EC0D943" w14:textId="77777777" w:rsidTr="003066AA">
        <w:trPr>
          <w:trHeight w:val="293"/>
        </w:trPr>
        <w:tc>
          <w:tcPr>
            <w:tcW w:w="465" w:type="pct"/>
            <w:tcBorders>
              <w:top w:val="single" w:sz="8" w:space="0" w:color="7F7F7F"/>
              <w:bottom w:val="single" w:sz="12" w:space="0" w:color="FF0000"/>
            </w:tcBorders>
            <w:shd w:val="clear" w:color="auto" w:fill="auto"/>
            <w:vAlign w:val="center"/>
            <w:hideMark/>
          </w:tcPr>
          <w:p w14:paraId="39FA25DC"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A1.4.2</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8" w:space="0" w:color="7F7F7F"/>
              <w:bottom w:val="single" w:sz="12" w:space="0" w:color="FF0000"/>
              <w:right w:val="single" w:sz="8" w:space="0" w:color="7F7F7F"/>
            </w:tcBorders>
            <w:shd w:val="clear" w:color="auto" w:fill="auto"/>
            <w:vAlign w:val="center"/>
            <w:hideMark/>
          </w:tcPr>
          <w:p w14:paraId="4C8B33ED"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Staff capacity for defaulter tracking</w:t>
            </w:r>
          </w:p>
        </w:tc>
        <w:tc>
          <w:tcPr>
            <w:tcW w:w="1596" w:type="pct"/>
            <w:vMerge/>
            <w:tcBorders>
              <w:top w:val="single" w:sz="8" w:space="0" w:color="7F7F7F"/>
              <w:left w:val="single" w:sz="8" w:space="0" w:color="7F7F7F"/>
              <w:bottom w:val="single" w:sz="12" w:space="0" w:color="FF0000"/>
            </w:tcBorders>
            <w:vAlign w:val="center"/>
          </w:tcPr>
          <w:p w14:paraId="1353DE1F"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137D08A2"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5D628FC2" w14:textId="77777777" w:rsidTr="003066AA">
        <w:trPr>
          <w:trHeight w:val="293"/>
        </w:trPr>
        <w:tc>
          <w:tcPr>
            <w:tcW w:w="465" w:type="pct"/>
            <w:tcBorders>
              <w:top w:val="single" w:sz="12" w:space="0" w:color="FF0000"/>
              <w:bottom w:val="single" w:sz="8" w:space="0" w:color="7F7F7F"/>
            </w:tcBorders>
            <w:shd w:val="clear" w:color="auto" w:fill="auto"/>
            <w:vAlign w:val="center"/>
            <w:hideMark/>
          </w:tcPr>
          <w:p w14:paraId="075BB1D7"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A2</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12" w:space="0" w:color="FF0000"/>
              <w:bottom w:val="single" w:sz="8" w:space="0" w:color="7F7F7F"/>
              <w:right w:val="single" w:sz="8" w:space="0" w:color="7F7F7F"/>
            </w:tcBorders>
            <w:shd w:val="clear" w:color="auto" w:fill="auto"/>
            <w:vAlign w:val="center"/>
            <w:hideMark/>
          </w:tcPr>
          <w:p w14:paraId="63C2380E" w14:textId="77777777" w:rsidR="00B54966" w:rsidRPr="004D407A" w:rsidRDefault="00B54966" w:rsidP="00E21383">
            <w:pPr>
              <w:spacing w:after="0" w:line="240" w:lineRule="auto"/>
              <w:rPr>
                <w:rFonts w:ascii="Calibri" w:eastAsia="Times New Roman" w:hAnsi="Calibri" w:cs="Calibri"/>
                <w:b/>
                <w:bCs/>
                <w:smallCaps/>
                <w:sz w:val="18"/>
                <w:szCs w:val="18"/>
              </w:rPr>
            </w:pPr>
            <w:r w:rsidRPr="004D407A">
              <w:rPr>
                <w:rFonts w:ascii="Calibri" w:eastAsia="Times New Roman" w:hAnsi="Calibri" w:cs="Calibri"/>
                <w:b/>
                <w:bCs/>
                <w:smallCaps/>
                <w:sz w:val="18"/>
              </w:rPr>
              <w:t>Uptake of vaccination services</w:t>
            </w:r>
          </w:p>
        </w:tc>
        <w:tc>
          <w:tcPr>
            <w:tcW w:w="1596" w:type="pct"/>
            <w:vMerge w:val="restart"/>
            <w:tcBorders>
              <w:top w:val="single" w:sz="12" w:space="0" w:color="FF0000"/>
              <w:left w:val="single" w:sz="8" w:space="0" w:color="7F7F7F"/>
              <w:bottom w:val="single" w:sz="8" w:space="0" w:color="7F7F7F"/>
            </w:tcBorders>
            <w:vAlign w:val="center"/>
          </w:tcPr>
          <w:p w14:paraId="2CED5EB5"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1.8: Increase uptake of immunization services in the low performing districts and city corporations through implementation of the demand generation and community mobilization intervention</w:t>
            </w:r>
          </w:p>
          <w:p w14:paraId="295715A1" w14:textId="77777777" w:rsidR="00B54966" w:rsidRPr="004D407A" w:rsidRDefault="00B54966" w:rsidP="00E21383">
            <w:pPr>
              <w:spacing w:after="0" w:line="240" w:lineRule="auto"/>
              <w:rPr>
                <w:rFonts w:ascii="Calibri" w:eastAsia="Times New Roman" w:hAnsi="Calibri" w:cs="Calibri"/>
                <w:b/>
                <w:bCs/>
                <w:smallCaps/>
                <w:sz w:val="18"/>
              </w:rPr>
            </w:pPr>
          </w:p>
        </w:tc>
        <w:tc>
          <w:tcPr>
            <w:tcW w:w="1596" w:type="pct"/>
            <w:vMerge/>
            <w:tcBorders>
              <w:left w:val="single" w:sz="8" w:space="0" w:color="7F7F7F"/>
              <w:right w:val="single" w:sz="8" w:space="0" w:color="7F7F7F"/>
            </w:tcBorders>
            <w:vAlign w:val="center"/>
          </w:tcPr>
          <w:p w14:paraId="0CE58D18"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45B3B5F9"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2931EE9A"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A2.1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7B9B5DB6"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Demand for vaccination in low performing districts and city corporations</w:t>
            </w:r>
          </w:p>
        </w:tc>
        <w:tc>
          <w:tcPr>
            <w:tcW w:w="1596" w:type="pct"/>
            <w:vMerge/>
            <w:tcBorders>
              <w:top w:val="single" w:sz="8" w:space="0" w:color="7F7F7F"/>
              <w:left w:val="single" w:sz="8" w:space="0" w:color="7F7F7F"/>
              <w:bottom w:val="single" w:sz="8" w:space="0" w:color="7F7F7F"/>
            </w:tcBorders>
            <w:vAlign w:val="center"/>
          </w:tcPr>
          <w:p w14:paraId="1267122B"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1730C9A0"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1487285E"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1A58E9CD"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A2.1.1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600E16DE"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Knowledge of caregivers about availability of immunization services</w:t>
            </w:r>
          </w:p>
        </w:tc>
        <w:tc>
          <w:tcPr>
            <w:tcW w:w="1596" w:type="pct"/>
            <w:vMerge/>
            <w:tcBorders>
              <w:top w:val="single" w:sz="8" w:space="0" w:color="7F7F7F"/>
              <w:left w:val="single" w:sz="8" w:space="0" w:color="7F7F7F"/>
              <w:bottom w:val="single" w:sz="8" w:space="0" w:color="7F7F7F"/>
            </w:tcBorders>
            <w:vAlign w:val="center"/>
          </w:tcPr>
          <w:p w14:paraId="179021BC"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0F6AF008"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0B565F48"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2024603D"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A2.1.2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2E8CBF94"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Engagement of communities in community mobilization</w:t>
            </w:r>
          </w:p>
        </w:tc>
        <w:tc>
          <w:tcPr>
            <w:tcW w:w="1596" w:type="pct"/>
            <w:vMerge/>
            <w:tcBorders>
              <w:top w:val="single" w:sz="8" w:space="0" w:color="7F7F7F"/>
              <w:left w:val="single" w:sz="8" w:space="0" w:color="7F7F7F"/>
              <w:bottom w:val="single" w:sz="8" w:space="0" w:color="7F7F7F"/>
            </w:tcBorders>
            <w:vAlign w:val="center"/>
          </w:tcPr>
          <w:p w14:paraId="689E6C2D"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20A8EB44"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1AA0D061"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0B91FCE4"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A2.1.3</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7A9F5EFD"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Staff capacity for IPC</w:t>
            </w:r>
          </w:p>
        </w:tc>
        <w:tc>
          <w:tcPr>
            <w:tcW w:w="1596" w:type="pct"/>
            <w:vMerge/>
            <w:tcBorders>
              <w:top w:val="single" w:sz="8" w:space="0" w:color="7F7F7F"/>
              <w:left w:val="single" w:sz="8" w:space="0" w:color="7F7F7F"/>
              <w:bottom w:val="single" w:sz="8" w:space="0" w:color="7F7F7F"/>
            </w:tcBorders>
            <w:vAlign w:val="center"/>
          </w:tcPr>
          <w:p w14:paraId="4F0BF789"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192424B4"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1165A450" w14:textId="77777777" w:rsidTr="003066AA">
        <w:trPr>
          <w:trHeight w:val="293"/>
        </w:trPr>
        <w:tc>
          <w:tcPr>
            <w:tcW w:w="465" w:type="pct"/>
            <w:tcBorders>
              <w:top w:val="single" w:sz="8" w:space="0" w:color="7F7F7F"/>
              <w:bottom w:val="single" w:sz="8" w:space="0" w:color="7F7F7F"/>
            </w:tcBorders>
            <w:shd w:val="clear" w:color="auto" w:fill="auto"/>
            <w:vAlign w:val="center"/>
            <w:hideMark/>
          </w:tcPr>
          <w:p w14:paraId="2666DB8D"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A2.2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5301808C"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Barriers for vaccination</w:t>
            </w:r>
          </w:p>
        </w:tc>
        <w:tc>
          <w:tcPr>
            <w:tcW w:w="1596" w:type="pct"/>
            <w:vMerge/>
            <w:tcBorders>
              <w:top w:val="single" w:sz="8" w:space="0" w:color="7F7F7F"/>
              <w:left w:val="single" w:sz="8" w:space="0" w:color="7F7F7F"/>
              <w:bottom w:val="single" w:sz="8" w:space="0" w:color="7F7F7F"/>
            </w:tcBorders>
            <w:vAlign w:val="center"/>
          </w:tcPr>
          <w:p w14:paraId="7BAD49E8"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41F93B53" w14:textId="77777777" w:rsidR="00B54966" w:rsidRPr="004D407A" w:rsidRDefault="00B54966" w:rsidP="003066AA">
            <w:pPr>
              <w:spacing w:after="0" w:line="240" w:lineRule="auto"/>
              <w:rPr>
                <w:rFonts w:ascii="Calibri" w:eastAsia="Times New Roman" w:hAnsi="Calibri" w:cs="Calibri"/>
                <w:sz w:val="18"/>
              </w:rPr>
            </w:pPr>
          </w:p>
        </w:tc>
      </w:tr>
      <w:tr w:rsidR="004D407A" w:rsidRPr="004D407A" w14:paraId="58C69E0D" w14:textId="77777777" w:rsidTr="00B54966">
        <w:trPr>
          <w:trHeight w:val="293"/>
        </w:trPr>
        <w:tc>
          <w:tcPr>
            <w:tcW w:w="465" w:type="pct"/>
            <w:tcBorders>
              <w:top w:val="single" w:sz="8" w:space="0" w:color="7F7F7F"/>
              <w:bottom w:val="single" w:sz="8" w:space="0" w:color="7F7F7F"/>
            </w:tcBorders>
            <w:shd w:val="clear" w:color="auto" w:fill="auto"/>
            <w:vAlign w:val="center"/>
            <w:hideMark/>
          </w:tcPr>
          <w:p w14:paraId="035D5DA5"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lastRenderedPageBreak/>
              <w:t>A2.2.1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2FDE287B"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Mobile and outreach service delivery in urban settings</w:t>
            </w:r>
          </w:p>
        </w:tc>
        <w:tc>
          <w:tcPr>
            <w:tcW w:w="1596" w:type="pct"/>
            <w:vMerge/>
            <w:tcBorders>
              <w:top w:val="single" w:sz="8" w:space="0" w:color="7F7F7F"/>
              <w:left w:val="single" w:sz="8" w:space="0" w:color="7F7F7F"/>
              <w:bottom w:val="single" w:sz="8" w:space="0" w:color="7F7F7F"/>
            </w:tcBorders>
            <w:vAlign w:val="center"/>
          </w:tcPr>
          <w:p w14:paraId="78C3D098"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0B26563A" w14:textId="77777777" w:rsidR="00B54966" w:rsidRPr="004D407A" w:rsidRDefault="00B54966" w:rsidP="00E21383">
            <w:pPr>
              <w:spacing w:after="0" w:line="240" w:lineRule="auto"/>
              <w:rPr>
                <w:rFonts w:ascii="Calibri" w:eastAsia="Times New Roman" w:hAnsi="Calibri" w:cs="Calibri"/>
                <w:sz w:val="18"/>
              </w:rPr>
            </w:pPr>
          </w:p>
        </w:tc>
      </w:tr>
      <w:tr w:rsidR="004D407A" w:rsidRPr="004D407A" w14:paraId="7BCF9239" w14:textId="77777777" w:rsidTr="00B54966">
        <w:trPr>
          <w:trHeight w:val="473"/>
        </w:trPr>
        <w:tc>
          <w:tcPr>
            <w:tcW w:w="465" w:type="pct"/>
            <w:tcBorders>
              <w:top w:val="single" w:sz="8" w:space="0" w:color="7F7F7F"/>
              <w:bottom w:val="single" w:sz="8" w:space="0" w:color="7F7F7F"/>
            </w:tcBorders>
            <w:shd w:val="clear" w:color="auto" w:fill="auto"/>
            <w:vAlign w:val="center"/>
            <w:hideMark/>
          </w:tcPr>
          <w:p w14:paraId="56AA2E4A"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A2.2.2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59BEB75B"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Effective strategies for improving service delivery in hard-to-reach areas including urban settings, specific groups</w:t>
            </w:r>
          </w:p>
        </w:tc>
        <w:tc>
          <w:tcPr>
            <w:tcW w:w="1596" w:type="pct"/>
            <w:vMerge/>
            <w:tcBorders>
              <w:top w:val="single" w:sz="8" w:space="0" w:color="7F7F7F"/>
              <w:left w:val="single" w:sz="8" w:space="0" w:color="7F7F7F"/>
              <w:bottom w:val="single" w:sz="8" w:space="0" w:color="7F7F7F"/>
            </w:tcBorders>
            <w:vAlign w:val="center"/>
          </w:tcPr>
          <w:p w14:paraId="048CFC2C"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2FB2DCDB" w14:textId="77777777" w:rsidR="00B54966" w:rsidRPr="004D407A" w:rsidRDefault="00B54966" w:rsidP="00E21383">
            <w:pPr>
              <w:spacing w:after="0" w:line="240" w:lineRule="auto"/>
              <w:rPr>
                <w:rFonts w:ascii="Calibri" w:eastAsia="Times New Roman" w:hAnsi="Calibri" w:cs="Calibri"/>
                <w:sz w:val="18"/>
              </w:rPr>
            </w:pPr>
          </w:p>
        </w:tc>
      </w:tr>
      <w:tr w:rsidR="004D407A" w:rsidRPr="004D407A" w14:paraId="3CCA4E18" w14:textId="77777777" w:rsidTr="00B54966">
        <w:trPr>
          <w:trHeight w:val="293"/>
        </w:trPr>
        <w:tc>
          <w:tcPr>
            <w:tcW w:w="465" w:type="pct"/>
            <w:tcBorders>
              <w:top w:val="single" w:sz="8" w:space="0" w:color="7F7F7F"/>
              <w:bottom w:val="single" w:sz="12" w:space="0" w:color="FF0000"/>
            </w:tcBorders>
            <w:shd w:val="clear" w:color="auto" w:fill="auto"/>
            <w:vAlign w:val="center"/>
            <w:hideMark/>
          </w:tcPr>
          <w:p w14:paraId="65299EA6"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A2.2.3</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12" w:space="0" w:color="FF0000"/>
              <w:right w:val="single" w:sz="8" w:space="0" w:color="7F7F7F"/>
            </w:tcBorders>
            <w:shd w:val="clear" w:color="auto" w:fill="auto"/>
            <w:vAlign w:val="center"/>
            <w:hideMark/>
          </w:tcPr>
          <w:p w14:paraId="08B82F95"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Access to specific groups</w:t>
            </w:r>
          </w:p>
        </w:tc>
        <w:tc>
          <w:tcPr>
            <w:tcW w:w="1596" w:type="pct"/>
            <w:vMerge/>
            <w:tcBorders>
              <w:top w:val="single" w:sz="8" w:space="0" w:color="7F7F7F"/>
              <w:left w:val="single" w:sz="8" w:space="0" w:color="7F7F7F"/>
              <w:bottom w:val="single" w:sz="12" w:space="0" w:color="FF0000"/>
            </w:tcBorders>
            <w:vAlign w:val="center"/>
          </w:tcPr>
          <w:p w14:paraId="1D062279"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0F655068" w14:textId="77777777" w:rsidR="00B54966" w:rsidRPr="004D407A" w:rsidRDefault="00B54966" w:rsidP="00E21383">
            <w:pPr>
              <w:spacing w:after="0" w:line="240" w:lineRule="auto"/>
              <w:rPr>
                <w:rFonts w:ascii="Calibri" w:eastAsia="Times New Roman" w:hAnsi="Calibri" w:cs="Calibri"/>
                <w:sz w:val="18"/>
              </w:rPr>
            </w:pPr>
          </w:p>
        </w:tc>
      </w:tr>
      <w:tr w:rsidR="004D407A" w:rsidRPr="004D407A" w14:paraId="07941E0D" w14:textId="77777777" w:rsidTr="00B54966">
        <w:trPr>
          <w:trHeight w:val="293"/>
        </w:trPr>
        <w:tc>
          <w:tcPr>
            <w:tcW w:w="465" w:type="pct"/>
            <w:tcBorders>
              <w:top w:val="single" w:sz="12" w:space="0" w:color="FF0000"/>
              <w:bottom w:val="single" w:sz="8" w:space="0" w:color="7F7F7F"/>
            </w:tcBorders>
            <w:shd w:val="clear" w:color="auto" w:fill="auto"/>
            <w:vAlign w:val="center"/>
            <w:hideMark/>
          </w:tcPr>
          <w:p w14:paraId="3822BDEB"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Block B</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sz w:val="18"/>
                <w:szCs w:val="18"/>
              </w:rPr>
              <w:t> </w:t>
            </w:r>
          </w:p>
        </w:tc>
        <w:tc>
          <w:tcPr>
            <w:tcW w:w="1343" w:type="pct"/>
            <w:tcBorders>
              <w:top w:val="single" w:sz="12" w:space="0" w:color="FF0000"/>
              <w:bottom w:val="single" w:sz="8" w:space="0" w:color="7F7F7F"/>
              <w:right w:val="single" w:sz="8" w:space="0" w:color="7F7F7F"/>
            </w:tcBorders>
            <w:shd w:val="clear" w:color="auto" w:fill="auto"/>
            <w:vAlign w:val="center"/>
            <w:hideMark/>
          </w:tcPr>
          <w:p w14:paraId="27DCB9FD"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rPr>
              <w:t>Vaccine quality at the service delivery points</w:t>
            </w:r>
          </w:p>
        </w:tc>
        <w:tc>
          <w:tcPr>
            <w:tcW w:w="1596" w:type="pct"/>
            <w:vMerge w:val="restart"/>
            <w:tcBorders>
              <w:top w:val="single" w:sz="12" w:space="0" w:color="FF0000"/>
              <w:left w:val="single" w:sz="8" w:space="0" w:color="7F7F7F"/>
              <w:bottom w:val="single" w:sz="8" w:space="0" w:color="7F7F7F"/>
            </w:tcBorders>
            <w:vAlign w:val="center"/>
          </w:tcPr>
          <w:p w14:paraId="59D7DBAD"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 xml:space="preserve">1.6: Ensure effective vaccine and </w:t>
            </w:r>
            <w:proofErr w:type="spellStart"/>
            <w:r w:rsidRPr="004D407A">
              <w:rPr>
                <w:rFonts w:ascii="Calibri" w:eastAsia="Times New Roman" w:hAnsi="Calibri" w:cs="Calibri"/>
                <w:sz w:val="18"/>
              </w:rPr>
              <w:t>iSC</w:t>
            </w:r>
            <w:proofErr w:type="spellEnd"/>
            <w:r w:rsidRPr="004D407A">
              <w:rPr>
                <w:rFonts w:ascii="Calibri" w:eastAsia="Times New Roman" w:hAnsi="Calibri" w:cs="Calibri"/>
                <w:sz w:val="18"/>
              </w:rPr>
              <w:t xml:space="preserve"> and cold-chain management including R&amp;D of CCE and uninterrupted supply of high-quality, potent vaccines and injection supplies at all levels</w:t>
            </w:r>
          </w:p>
        </w:tc>
        <w:tc>
          <w:tcPr>
            <w:tcW w:w="1596" w:type="pct"/>
            <w:vMerge/>
            <w:tcBorders>
              <w:left w:val="single" w:sz="8" w:space="0" w:color="7F7F7F"/>
              <w:right w:val="single" w:sz="8" w:space="0" w:color="7F7F7F"/>
            </w:tcBorders>
            <w:vAlign w:val="center"/>
          </w:tcPr>
          <w:p w14:paraId="4913619A" w14:textId="77777777" w:rsidR="00B54966" w:rsidRPr="004D407A" w:rsidRDefault="00B54966" w:rsidP="00E21383">
            <w:pPr>
              <w:spacing w:after="0" w:line="240" w:lineRule="auto"/>
              <w:rPr>
                <w:rFonts w:ascii="Calibri" w:eastAsia="Times New Roman" w:hAnsi="Calibri" w:cs="Calibri"/>
                <w:sz w:val="18"/>
              </w:rPr>
            </w:pPr>
          </w:p>
        </w:tc>
      </w:tr>
      <w:tr w:rsidR="004D407A" w:rsidRPr="004D407A" w14:paraId="3AA8BEFE" w14:textId="77777777" w:rsidTr="00B54966">
        <w:trPr>
          <w:trHeight w:val="293"/>
        </w:trPr>
        <w:tc>
          <w:tcPr>
            <w:tcW w:w="465" w:type="pct"/>
            <w:tcBorders>
              <w:top w:val="single" w:sz="8" w:space="0" w:color="7F7F7F"/>
              <w:bottom w:val="single" w:sz="8" w:space="0" w:color="7F7F7F"/>
            </w:tcBorders>
            <w:shd w:val="clear" w:color="auto" w:fill="auto"/>
            <w:vAlign w:val="center"/>
            <w:hideMark/>
          </w:tcPr>
          <w:p w14:paraId="585188AD"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B1</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4AF53847"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mallCaps/>
                <w:sz w:val="18"/>
              </w:rPr>
              <w:t>EVM Practices</w:t>
            </w:r>
          </w:p>
        </w:tc>
        <w:tc>
          <w:tcPr>
            <w:tcW w:w="1596" w:type="pct"/>
            <w:vMerge/>
            <w:tcBorders>
              <w:top w:val="single" w:sz="8" w:space="0" w:color="7F7F7F"/>
              <w:left w:val="single" w:sz="8" w:space="0" w:color="7F7F7F"/>
              <w:bottom w:val="single" w:sz="8" w:space="0" w:color="7F7F7F"/>
            </w:tcBorders>
            <w:vAlign w:val="center"/>
          </w:tcPr>
          <w:p w14:paraId="3C7CD70E" w14:textId="77777777" w:rsidR="00B54966" w:rsidRPr="004D407A" w:rsidRDefault="00B54966" w:rsidP="00E21383">
            <w:pPr>
              <w:spacing w:after="0" w:line="240" w:lineRule="auto"/>
              <w:rPr>
                <w:rFonts w:ascii="Calibri" w:eastAsia="Times New Roman" w:hAnsi="Calibri" w:cs="Calibri"/>
                <w:smallCaps/>
                <w:sz w:val="18"/>
              </w:rPr>
            </w:pPr>
          </w:p>
        </w:tc>
        <w:tc>
          <w:tcPr>
            <w:tcW w:w="1596" w:type="pct"/>
            <w:vMerge/>
            <w:tcBorders>
              <w:left w:val="single" w:sz="8" w:space="0" w:color="7F7F7F"/>
              <w:right w:val="single" w:sz="8" w:space="0" w:color="7F7F7F"/>
            </w:tcBorders>
            <w:vAlign w:val="center"/>
          </w:tcPr>
          <w:p w14:paraId="1C531712" w14:textId="77777777" w:rsidR="00B54966" w:rsidRPr="004D407A" w:rsidRDefault="00B54966" w:rsidP="00E21383">
            <w:pPr>
              <w:spacing w:after="0" w:line="240" w:lineRule="auto"/>
              <w:rPr>
                <w:rFonts w:ascii="Calibri" w:eastAsia="Times New Roman" w:hAnsi="Calibri" w:cs="Calibri"/>
                <w:smallCaps/>
                <w:sz w:val="18"/>
              </w:rPr>
            </w:pPr>
          </w:p>
        </w:tc>
      </w:tr>
      <w:tr w:rsidR="004D407A" w:rsidRPr="004D407A" w14:paraId="07D43AE4" w14:textId="77777777" w:rsidTr="00B54966">
        <w:trPr>
          <w:trHeight w:val="293"/>
        </w:trPr>
        <w:tc>
          <w:tcPr>
            <w:tcW w:w="465" w:type="pct"/>
            <w:tcBorders>
              <w:top w:val="single" w:sz="8" w:space="0" w:color="7F7F7F"/>
              <w:bottom w:val="single" w:sz="8" w:space="0" w:color="7F7F7F"/>
            </w:tcBorders>
            <w:shd w:val="clear" w:color="auto" w:fill="auto"/>
            <w:vAlign w:val="center"/>
            <w:hideMark/>
          </w:tcPr>
          <w:p w14:paraId="76B3EB9D"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B1.1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6F62E1F7"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bCs/>
                <w:sz w:val="18"/>
              </w:rPr>
              <w:t>Lack of training opportunities for cold-chain staff</w:t>
            </w:r>
          </w:p>
        </w:tc>
        <w:tc>
          <w:tcPr>
            <w:tcW w:w="1596" w:type="pct"/>
            <w:vMerge/>
            <w:tcBorders>
              <w:top w:val="single" w:sz="8" w:space="0" w:color="7F7F7F"/>
              <w:left w:val="single" w:sz="8" w:space="0" w:color="7F7F7F"/>
              <w:bottom w:val="single" w:sz="8" w:space="0" w:color="7F7F7F"/>
            </w:tcBorders>
            <w:vAlign w:val="center"/>
          </w:tcPr>
          <w:p w14:paraId="3F83AB5B" w14:textId="77777777" w:rsidR="00B54966" w:rsidRPr="004D407A" w:rsidRDefault="00B54966" w:rsidP="00E21383">
            <w:pPr>
              <w:spacing w:after="0" w:line="240" w:lineRule="auto"/>
              <w:rPr>
                <w:rFonts w:ascii="Calibri" w:eastAsia="Times New Roman" w:hAnsi="Calibri" w:cs="Calibri"/>
                <w:bCs/>
                <w:sz w:val="18"/>
              </w:rPr>
            </w:pPr>
          </w:p>
        </w:tc>
        <w:tc>
          <w:tcPr>
            <w:tcW w:w="1596" w:type="pct"/>
            <w:vMerge/>
            <w:tcBorders>
              <w:left w:val="single" w:sz="8" w:space="0" w:color="7F7F7F"/>
              <w:right w:val="single" w:sz="8" w:space="0" w:color="7F7F7F"/>
            </w:tcBorders>
            <w:vAlign w:val="center"/>
          </w:tcPr>
          <w:p w14:paraId="395187D1" w14:textId="77777777" w:rsidR="00B54966" w:rsidRPr="004D407A" w:rsidRDefault="00B54966" w:rsidP="00E21383">
            <w:pPr>
              <w:spacing w:after="0" w:line="240" w:lineRule="auto"/>
              <w:rPr>
                <w:rFonts w:ascii="Calibri" w:eastAsia="Times New Roman" w:hAnsi="Calibri" w:cs="Calibri"/>
                <w:bCs/>
                <w:sz w:val="18"/>
              </w:rPr>
            </w:pPr>
          </w:p>
        </w:tc>
      </w:tr>
      <w:tr w:rsidR="004D407A" w:rsidRPr="004D407A" w14:paraId="003AF851" w14:textId="77777777" w:rsidTr="00B54966">
        <w:trPr>
          <w:trHeight w:val="293"/>
        </w:trPr>
        <w:tc>
          <w:tcPr>
            <w:tcW w:w="465" w:type="pct"/>
            <w:tcBorders>
              <w:top w:val="single" w:sz="8" w:space="0" w:color="7F7F7F"/>
              <w:bottom w:val="single" w:sz="8" w:space="0" w:color="7F7F7F"/>
            </w:tcBorders>
            <w:shd w:val="clear" w:color="auto" w:fill="auto"/>
            <w:vAlign w:val="center"/>
            <w:hideMark/>
          </w:tcPr>
          <w:p w14:paraId="73E3E7C2"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B1.2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093F00C1"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bCs/>
                <w:sz w:val="18"/>
              </w:rPr>
              <w:t>Shortage of CC staff</w:t>
            </w:r>
          </w:p>
        </w:tc>
        <w:tc>
          <w:tcPr>
            <w:tcW w:w="1596" w:type="pct"/>
            <w:vMerge/>
            <w:tcBorders>
              <w:top w:val="single" w:sz="8" w:space="0" w:color="7F7F7F"/>
              <w:left w:val="single" w:sz="8" w:space="0" w:color="7F7F7F"/>
              <w:bottom w:val="single" w:sz="8" w:space="0" w:color="7F7F7F"/>
            </w:tcBorders>
            <w:vAlign w:val="center"/>
          </w:tcPr>
          <w:p w14:paraId="510CA894" w14:textId="77777777" w:rsidR="00B54966" w:rsidRPr="004D407A" w:rsidRDefault="00B54966" w:rsidP="00E21383">
            <w:pPr>
              <w:spacing w:after="0" w:line="240" w:lineRule="auto"/>
              <w:rPr>
                <w:rFonts w:ascii="Calibri" w:eastAsia="Times New Roman" w:hAnsi="Calibri" w:cs="Calibri"/>
                <w:bCs/>
                <w:sz w:val="18"/>
              </w:rPr>
            </w:pPr>
          </w:p>
        </w:tc>
        <w:tc>
          <w:tcPr>
            <w:tcW w:w="1596" w:type="pct"/>
            <w:vMerge/>
            <w:tcBorders>
              <w:left w:val="single" w:sz="8" w:space="0" w:color="7F7F7F"/>
              <w:right w:val="single" w:sz="8" w:space="0" w:color="7F7F7F"/>
            </w:tcBorders>
            <w:vAlign w:val="center"/>
          </w:tcPr>
          <w:p w14:paraId="6DAC2601" w14:textId="77777777" w:rsidR="00B54966" w:rsidRPr="004D407A" w:rsidRDefault="00B54966" w:rsidP="00E21383">
            <w:pPr>
              <w:spacing w:after="0" w:line="240" w:lineRule="auto"/>
              <w:rPr>
                <w:rFonts w:ascii="Calibri" w:eastAsia="Times New Roman" w:hAnsi="Calibri" w:cs="Calibri"/>
                <w:bCs/>
                <w:sz w:val="18"/>
              </w:rPr>
            </w:pPr>
          </w:p>
        </w:tc>
      </w:tr>
      <w:tr w:rsidR="004D407A" w:rsidRPr="004D407A" w14:paraId="4A822EF1" w14:textId="77777777" w:rsidTr="00B54966">
        <w:trPr>
          <w:trHeight w:val="293"/>
        </w:trPr>
        <w:tc>
          <w:tcPr>
            <w:tcW w:w="465" w:type="pct"/>
            <w:tcBorders>
              <w:top w:val="single" w:sz="8" w:space="0" w:color="7F7F7F"/>
              <w:bottom w:val="single" w:sz="8" w:space="0" w:color="7F7F7F"/>
            </w:tcBorders>
            <w:shd w:val="clear" w:color="auto" w:fill="auto"/>
            <w:vAlign w:val="center"/>
            <w:hideMark/>
          </w:tcPr>
          <w:p w14:paraId="7154E9F4"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B2</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61A02E20"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Quality of existing Cold-chain equipment</w:t>
            </w:r>
          </w:p>
        </w:tc>
        <w:tc>
          <w:tcPr>
            <w:tcW w:w="1596" w:type="pct"/>
            <w:vMerge/>
            <w:tcBorders>
              <w:top w:val="single" w:sz="8" w:space="0" w:color="7F7F7F"/>
              <w:left w:val="single" w:sz="8" w:space="0" w:color="7F7F7F"/>
              <w:bottom w:val="single" w:sz="8" w:space="0" w:color="7F7F7F"/>
            </w:tcBorders>
            <w:vAlign w:val="center"/>
          </w:tcPr>
          <w:p w14:paraId="59166CD9"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4C5A97E6" w14:textId="77777777" w:rsidR="00B54966" w:rsidRPr="004D407A" w:rsidRDefault="00B54966" w:rsidP="00E21383">
            <w:pPr>
              <w:spacing w:after="0" w:line="240" w:lineRule="auto"/>
              <w:rPr>
                <w:rFonts w:ascii="Calibri" w:eastAsia="Times New Roman" w:hAnsi="Calibri" w:cs="Calibri"/>
                <w:sz w:val="18"/>
              </w:rPr>
            </w:pPr>
          </w:p>
        </w:tc>
      </w:tr>
      <w:tr w:rsidR="004D407A" w:rsidRPr="004D407A" w14:paraId="4DFA8738" w14:textId="77777777" w:rsidTr="00B54966">
        <w:trPr>
          <w:trHeight w:val="293"/>
        </w:trPr>
        <w:tc>
          <w:tcPr>
            <w:tcW w:w="465" w:type="pct"/>
            <w:tcBorders>
              <w:top w:val="single" w:sz="8" w:space="0" w:color="7F7F7F"/>
              <w:bottom w:val="single" w:sz="12" w:space="0" w:color="FF0000"/>
            </w:tcBorders>
            <w:shd w:val="clear" w:color="auto" w:fill="auto"/>
            <w:vAlign w:val="center"/>
            <w:hideMark/>
          </w:tcPr>
          <w:p w14:paraId="7F4FABF6"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B2.1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12" w:space="0" w:color="FF0000"/>
              <w:right w:val="single" w:sz="8" w:space="0" w:color="7F7F7F"/>
            </w:tcBorders>
            <w:shd w:val="clear" w:color="auto" w:fill="auto"/>
            <w:vAlign w:val="center"/>
            <w:hideMark/>
          </w:tcPr>
          <w:p w14:paraId="2E850975"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CCE maintenance and repairs capacity</w:t>
            </w:r>
          </w:p>
        </w:tc>
        <w:tc>
          <w:tcPr>
            <w:tcW w:w="1596" w:type="pct"/>
            <w:vMerge/>
            <w:tcBorders>
              <w:top w:val="single" w:sz="8" w:space="0" w:color="7F7F7F"/>
              <w:left w:val="single" w:sz="8" w:space="0" w:color="7F7F7F"/>
              <w:bottom w:val="single" w:sz="12" w:space="0" w:color="FF0000"/>
            </w:tcBorders>
            <w:vAlign w:val="center"/>
          </w:tcPr>
          <w:p w14:paraId="40C8A88B"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6CF6AA92" w14:textId="77777777" w:rsidR="00B54966" w:rsidRPr="004D407A" w:rsidRDefault="00B54966" w:rsidP="00E21383">
            <w:pPr>
              <w:spacing w:after="0" w:line="240" w:lineRule="auto"/>
              <w:rPr>
                <w:rFonts w:ascii="Calibri" w:eastAsia="Times New Roman" w:hAnsi="Calibri" w:cs="Calibri"/>
                <w:sz w:val="18"/>
              </w:rPr>
            </w:pPr>
          </w:p>
        </w:tc>
      </w:tr>
      <w:tr w:rsidR="004D407A" w:rsidRPr="004D407A" w14:paraId="1EF2AEA8" w14:textId="77777777" w:rsidTr="00B54966">
        <w:trPr>
          <w:trHeight w:val="293"/>
        </w:trPr>
        <w:tc>
          <w:tcPr>
            <w:tcW w:w="465" w:type="pct"/>
            <w:tcBorders>
              <w:top w:val="single" w:sz="12" w:space="0" w:color="FF0000"/>
              <w:bottom w:val="single" w:sz="8" w:space="0" w:color="7F7F7F"/>
            </w:tcBorders>
            <w:shd w:val="clear" w:color="auto" w:fill="auto"/>
            <w:vAlign w:val="center"/>
            <w:hideMark/>
          </w:tcPr>
          <w:p w14:paraId="1F2243A4"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B3</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12" w:space="0" w:color="FF0000"/>
              <w:bottom w:val="single" w:sz="8" w:space="0" w:color="7F7F7F"/>
              <w:right w:val="single" w:sz="8" w:space="0" w:color="7F7F7F"/>
            </w:tcBorders>
            <w:shd w:val="clear" w:color="auto" w:fill="auto"/>
            <w:vAlign w:val="center"/>
            <w:hideMark/>
          </w:tcPr>
          <w:p w14:paraId="0089AB52"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rPr>
              <w:t>Immunization waste management</w:t>
            </w:r>
          </w:p>
        </w:tc>
        <w:tc>
          <w:tcPr>
            <w:tcW w:w="1596" w:type="pct"/>
            <w:vMerge w:val="restart"/>
            <w:tcBorders>
              <w:top w:val="single" w:sz="12" w:space="0" w:color="FF0000"/>
              <w:left w:val="single" w:sz="8" w:space="0" w:color="7F7F7F"/>
            </w:tcBorders>
            <w:vAlign w:val="center"/>
          </w:tcPr>
          <w:p w14:paraId="3C7E19DE"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 xml:space="preserve">1.1: Strengthen governance and management capacity of EPI through appropriate immunization policy that also includes. Integration of immunization with other Primary health care services, vaccination beyond current age, private vaccination, catch-up </w:t>
            </w:r>
            <w:proofErr w:type="gramStart"/>
            <w:r w:rsidRPr="004D407A">
              <w:rPr>
                <w:rFonts w:ascii="Calibri" w:eastAsia="Times New Roman" w:hAnsi="Calibri" w:cs="Calibri"/>
                <w:sz w:val="18"/>
              </w:rPr>
              <w:t>vaccination</w:t>
            </w:r>
            <w:proofErr w:type="gramEnd"/>
            <w:r w:rsidRPr="004D407A">
              <w:rPr>
                <w:rFonts w:ascii="Calibri" w:eastAsia="Times New Roman" w:hAnsi="Calibri" w:cs="Calibri"/>
                <w:sz w:val="18"/>
              </w:rPr>
              <w:t xml:space="preserve"> and booster doses) at all levels</w:t>
            </w:r>
          </w:p>
          <w:p w14:paraId="4CB33284" w14:textId="77777777" w:rsidR="00B54966" w:rsidRPr="004D407A" w:rsidRDefault="00B54966" w:rsidP="00E21383">
            <w:pPr>
              <w:spacing w:after="0" w:line="240" w:lineRule="auto"/>
              <w:rPr>
                <w:rFonts w:ascii="Calibri" w:eastAsia="Times New Roman" w:hAnsi="Calibri" w:cs="Calibri"/>
                <w:b/>
                <w:bCs/>
                <w:sz w:val="18"/>
              </w:rPr>
            </w:pPr>
            <w:r w:rsidRPr="004D407A">
              <w:rPr>
                <w:rFonts w:ascii="Calibri" w:eastAsia="Times New Roman" w:hAnsi="Calibri" w:cs="Calibri"/>
                <w:sz w:val="18"/>
              </w:rPr>
              <w:t>1.7: Ensure adequate and effective human resource capacity at all levels of all districts, municipality and city-corporations through development and implementation of HR strategy and building capacity of existing HR</w:t>
            </w:r>
          </w:p>
        </w:tc>
        <w:tc>
          <w:tcPr>
            <w:tcW w:w="1596" w:type="pct"/>
            <w:vMerge/>
            <w:tcBorders>
              <w:left w:val="single" w:sz="8" w:space="0" w:color="7F7F7F"/>
              <w:right w:val="single" w:sz="8" w:space="0" w:color="7F7F7F"/>
            </w:tcBorders>
            <w:vAlign w:val="center"/>
          </w:tcPr>
          <w:p w14:paraId="11A5C13B" w14:textId="77777777" w:rsidR="00B54966" w:rsidRPr="004D407A" w:rsidRDefault="00B54966" w:rsidP="00E21383">
            <w:pPr>
              <w:spacing w:after="0" w:line="240" w:lineRule="auto"/>
              <w:rPr>
                <w:rFonts w:ascii="Calibri" w:eastAsia="Times New Roman" w:hAnsi="Calibri" w:cs="Calibri"/>
                <w:b/>
                <w:bCs/>
                <w:sz w:val="18"/>
              </w:rPr>
            </w:pPr>
          </w:p>
        </w:tc>
      </w:tr>
      <w:tr w:rsidR="004D407A" w:rsidRPr="004D407A" w14:paraId="74A2095D" w14:textId="77777777" w:rsidTr="00B54966">
        <w:trPr>
          <w:trHeight w:val="293"/>
        </w:trPr>
        <w:tc>
          <w:tcPr>
            <w:tcW w:w="465" w:type="pct"/>
            <w:tcBorders>
              <w:top w:val="single" w:sz="8" w:space="0" w:color="7F7F7F"/>
              <w:bottom w:val="single" w:sz="8" w:space="0" w:color="7F7F7F"/>
            </w:tcBorders>
            <w:shd w:val="clear" w:color="auto" w:fill="auto"/>
            <w:vAlign w:val="center"/>
            <w:hideMark/>
          </w:tcPr>
          <w:p w14:paraId="5F231BAD"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B3.1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60E9A1F9"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Policy/Regulations for medical/immunization waste management</w:t>
            </w:r>
          </w:p>
        </w:tc>
        <w:tc>
          <w:tcPr>
            <w:tcW w:w="1596" w:type="pct"/>
            <w:vMerge/>
            <w:tcBorders>
              <w:left w:val="single" w:sz="8" w:space="0" w:color="7F7F7F"/>
            </w:tcBorders>
            <w:vAlign w:val="center"/>
          </w:tcPr>
          <w:p w14:paraId="7DF7BD65"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2429DA22" w14:textId="77777777" w:rsidR="00B54966" w:rsidRPr="004D407A" w:rsidRDefault="00B54966" w:rsidP="00E21383">
            <w:pPr>
              <w:spacing w:after="0" w:line="240" w:lineRule="auto"/>
              <w:rPr>
                <w:rFonts w:ascii="Calibri" w:eastAsia="Times New Roman" w:hAnsi="Calibri" w:cs="Calibri"/>
                <w:sz w:val="18"/>
              </w:rPr>
            </w:pPr>
          </w:p>
        </w:tc>
      </w:tr>
      <w:tr w:rsidR="004D407A" w:rsidRPr="004D407A" w14:paraId="3557E1DD" w14:textId="77777777" w:rsidTr="00B54966">
        <w:trPr>
          <w:trHeight w:val="293"/>
        </w:trPr>
        <w:tc>
          <w:tcPr>
            <w:tcW w:w="465" w:type="pct"/>
            <w:tcBorders>
              <w:top w:val="single" w:sz="8" w:space="0" w:color="7F7F7F"/>
              <w:bottom w:val="single" w:sz="12" w:space="0" w:color="FF0000"/>
            </w:tcBorders>
            <w:shd w:val="clear" w:color="auto" w:fill="auto"/>
            <w:vAlign w:val="center"/>
            <w:hideMark/>
          </w:tcPr>
          <w:p w14:paraId="074E2BC6"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B3.2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12" w:space="0" w:color="FF0000"/>
              <w:right w:val="single" w:sz="8" w:space="0" w:color="7F7F7F"/>
            </w:tcBorders>
            <w:shd w:val="clear" w:color="auto" w:fill="auto"/>
            <w:vAlign w:val="center"/>
            <w:hideMark/>
          </w:tcPr>
          <w:p w14:paraId="5CF20F7D"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Staff capacity for implement immunization waste management policy</w:t>
            </w:r>
          </w:p>
        </w:tc>
        <w:tc>
          <w:tcPr>
            <w:tcW w:w="1596" w:type="pct"/>
            <w:vMerge/>
            <w:tcBorders>
              <w:left w:val="single" w:sz="8" w:space="0" w:color="7F7F7F"/>
              <w:bottom w:val="single" w:sz="12" w:space="0" w:color="FF0000"/>
            </w:tcBorders>
            <w:vAlign w:val="center"/>
          </w:tcPr>
          <w:p w14:paraId="4D490FF7"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06F6639B" w14:textId="77777777" w:rsidR="00B54966" w:rsidRPr="004D407A" w:rsidRDefault="00B54966" w:rsidP="00E21383">
            <w:pPr>
              <w:spacing w:after="0" w:line="240" w:lineRule="auto"/>
              <w:rPr>
                <w:rFonts w:ascii="Calibri" w:eastAsia="Times New Roman" w:hAnsi="Calibri" w:cs="Calibri"/>
                <w:sz w:val="18"/>
              </w:rPr>
            </w:pPr>
          </w:p>
        </w:tc>
      </w:tr>
      <w:tr w:rsidR="004D407A" w:rsidRPr="004D407A" w14:paraId="4DCB0D9B" w14:textId="77777777" w:rsidTr="00B54966">
        <w:trPr>
          <w:trHeight w:val="293"/>
        </w:trPr>
        <w:tc>
          <w:tcPr>
            <w:tcW w:w="465" w:type="pct"/>
            <w:tcBorders>
              <w:top w:val="single" w:sz="12" w:space="0" w:color="FF0000"/>
              <w:bottom w:val="single" w:sz="8" w:space="0" w:color="7F7F7F"/>
            </w:tcBorders>
            <w:shd w:val="clear" w:color="auto" w:fill="auto"/>
            <w:vAlign w:val="center"/>
            <w:hideMark/>
          </w:tcPr>
          <w:p w14:paraId="0780A9BD"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Block C</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12" w:space="0" w:color="FF0000"/>
              <w:bottom w:val="single" w:sz="8" w:space="0" w:color="7F7F7F"/>
              <w:right w:val="single" w:sz="8" w:space="0" w:color="7F7F7F"/>
            </w:tcBorders>
            <w:shd w:val="clear" w:color="auto" w:fill="auto"/>
            <w:vAlign w:val="center"/>
            <w:hideMark/>
          </w:tcPr>
          <w:p w14:paraId="6DFC71F4"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rPr>
              <w:t>INADEQUATE OUTBREAK PREVENTION MECHANISMS</w:t>
            </w:r>
          </w:p>
        </w:tc>
        <w:tc>
          <w:tcPr>
            <w:tcW w:w="1596" w:type="pct"/>
            <w:vMerge w:val="restart"/>
            <w:tcBorders>
              <w:top w:val="single" w:sz="12" w:space="0" w:color="FF0000"/>
              <w:left w:val="single" w:sz="8" w:space="0" w:color="7F7F7F"/>
              <w:bottom w:val="single" w:sz="8" w:space="0" w:color="7F7F7F"/>
            </w:tcBorders>
            <w:vAlign w:val="center"/>
          </w:tcPr>
          <w:p w14:paraId="08AC839F" w14:textId="77777777" w:rsidR="00B54966" w:rsidRPr="004D407A" w:rsidRDefault="00B54966" w:rsidP="00E21383">
            <w:pPr>
              <w:spacing w:after="0" w:line="240" w:lineRule="auto"/>
              <w:rPr>
                <w:rFonts w:ascii="Calibri" w:eastAsia="Times New Roman" w:hAnsi="Calibri" w:cs="Calibri"/>
                <w:sz w:val="18"/>
              </w:rPr>
            </w:pPr>
            <w:r w:rsidRPr="004D407A">
              <w:rPr>
                <w:rFonts w:ascii="Calibri" w:eastAsia="Times New Roman" w:hAnsi="Calibri" w:cs="Calibri"/>
                <w:sz w:val="18"/>
              </w:rPr>
              <w:t xml:space="preserve">1.9: Strengthening the outbreak preparedness and response mechanisms during emergencies, </w:t>
            </w:r>
            <w:proofErr w:type="gramStart"/>
            <w:r w:rsidRPr="004D407A">
              <w:rPr>
                <w:rFonts w:ascii="Calibri" w:eastAsia="Times New Roman" w:hAnsi="Calibri" w:cs="Calibri"/>
                <w:sz w:val="18"/>
              </w:rPr>
              <w:t>disaster</w:t>
            </w:r>
            <w:proofErr w:type="gramEnd"/>
            <w:r w:rsidRPr="004D407A">
              <w:rPr>
                <w:rFonts w:ascii="Calibri" w:eastAsia="Times New Roman" w:hAnsi="Calibri" w:cs="Calibri"/>
                <w:sz w:val="18"/>
              </w:rPr>
              <w:t xml:space="preserve"> and humanitarian crisis.  Strengthen and expand high quality VPD surveillance as a component of public health surveillance supported by laboratory</w:t>
            </w:r>
          </w:p>
        </w:tc>
        <w:tc>
          <w:tcPr>
            <w:tcW w:w="1596" w:type="pct"/>
            <w:vMerge/>
            <w:tcBorders>
              <w:left w:val="single" w:sz="8" w:space="0" w:color="7F7F7F"/>
              <w:right w:val="single" w:sz="8" w:space="0" w:color="7F7F7F"/>
            </w:tcBorders>
            <w:vAlign w:val="center"/>
          </w:tcPr>
          <w:p w14:paraId="5D42267A" w14:textId="77777777" w:rsidR="00B54966" w:rsidRPr="004D407A" w:rsidRDefault="00B54966" w:rsidP="00E21383">
            <w:pPr>
              <w:spacing w:after="0" w:line="240" w:lineRule="auto"/>
              <w:rPr>
                <w:rFonts w:ascii="Calibri" w:eastAsia="Times New Roman" w:hAnsi="Calibri" w:cs="Calibri"/>
                <w:sz w:val="18"/>
              </w:rPr>
            </w:pPr>
          </w:p>
        </w:tc>
      </w:tr>
      <w:tr w:rsidR="004D407A" w:rsidRPr="004D407A" w14:paraId="37E7677C" w14:textId="77777777" w:rsidTr="00B54966">
        <w:trPr>
          <w:trHeight w:val="293"/>
        </w:trPr>
        <w:tc>
          <w:tcPr>
            <w:tcW w:w="465" w:type="pct"/>
            <w:tcBorders>
              <w:top w:val="single" w:sz="8" w:space="0" w:color="7F7F7F"/>
              <w:bottom w:val="single" w:sz="8" w:space="0" w:color="7F7F7F"/>
            </w:tcBorders>
            <w:shd w:val="clear" w:color="auto" w:fill="auto"/>
            <w:vAlign w:val="center"/>
            <w:hideMark/>
          </w:tcPr>
          <w:p w14:paraId="01D5D3BF"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C1</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0328F11A"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mallCaps/>
                <w:sz w:val="18"/>
              </w:rPr>
              <w:t>Insufficient management of prevention mechanisms</w:t>
            </w:r>
          </w:p>
        </w:tc>
        <w:tc>
          <w:tcPr>
            <w:tcW w:w="1596" w:type="pct"/>
            <w:vMerge/>
            <w:tcBorders>
              <w:top w:val="single" w:sz="8" w:space="0" w:color="7F7F7F"/>
              <w:left w:val="single" w:sz="8" w:space="0" w:color="7F7F7F"/>
              <w:bottom w:val="single" w:sz="8" w:space="0" w:color="7F7F7F"/>
            </w:tcBorders>
            <w:vAlign w:val="center"/>
          </w:tcPr>
          <w:p w14:paraId="54B61417" w14:textId="77777777" w:rsidR="00B54966" w:rsidRPr="004D407A" w:rsidRDefault="00B54966" w:rsidP="00E21383">
            <w:pPr>
              <w:spacing w:after="0" w:line="240" w:lineRule="auto"/>
              <w:rPr>
                <w:rFonts w:ascii="Calibri" w:eastAsia="Times New Roman" w:hAnsi="Calibri" w:cs="Calibri"/>
                <w:b/>
                <w:bCs/>
                <w:smallCaps/>
                <w:sz w:val="18"/>
              </w:rPr>
            </w:pPr>
          </w:p>
        </w:tc>
        <w:tc>
          <w:tcPr>
            <w:tcW w:w="1596" w:type="pct"/>
            <w:vMerge/>
            <w:tcBorders>
              <w:left w:val="single" w:sz="8" w:space="0" w:color="7F7F7F"/>
              <w:right w:val="single" w:sz="8" w:space="0" w:color="7F7F7F"/>
            </w:tcBorders>
            <w:vAlign w:val="center"/>
          </w:tcPr>
          <w:p w14:paraId="682D962F" w14:textId="77777777" w:rsidR="00B54966" w:rsidRPr="004D407A" w:rsidRDefault="00B54966" w:rsidP="00E21383">
            <w:pPr>
              <w:spacing w:after="0" w:line="240" w:lineRule="auto"/>
              <w:rPr>
                <w:rFonts w:ascii="Calibri" w:eastAsia="Times New Roman" w:hAnsi="Calibri" w:cs="Calibri"/>
                <w:b/>
                <w:bCs/>
                <w:smallCaps/>
                <w:sz w:val="18"/>
              </w:rPr>
            </w:pPr>
          </w:p>
        </w:tc>
      </w:tr>
      <w:tr w:rsidR="004D407A" w:rsidRPr="004D407A" w14:paraId="70A050ED" w14:textId="77777777" w:rsidTr="00B54966">
        <w:trPr>
          <w:trHeight w:val="293"/>
        </w:trPr>
        <w:tc>
          <w:tcPr>
            <w:tcW w:w="465" w:type="pct"/>
            <w:tcBorders>
              <w:top w:val="single" w:sz="8" w:space="0" w:color="7F7F7F"/>
              <w:bottom w:val="single" w:sz="8" w:space="0" w:color="7F7F7F"/>
            </w:tcBorders>
            <w:shd w:val="clear" w:color="auto" w:fill="auto"/>
            <w:vAlign w:val="center"/>
            <w:hideMark/>
          </w:tcPr>
          <w:p w14:paraId="4379D4CA"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C2</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33E533EF"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mallCaps/>
                <w:sz w:val="18"/>
              </w:rPr>
              <w:t>Lack of outbreak prevention strategy and strategy implementation plan</w:t>
            </w:r>
          </w:p>
        </w:tc>
        <w:tc>
          <w:tcPr>
            <w:tcW w:w="1596" w:type="pct"/>
            <w:vMerge/>
            <w:tcBorders>
              <w:top w:val="single" w:sz="8" w:space="0" w:color="7F7F7F"/>
              <w:left w:val="single" w:sz="8" w:space="0" w:color="7F7F7F"/>
              <w:bottom w:val="single" w:sz="8" w:space="0" w:color="7F7F7F"/>
            </w:tcBorders>
            <w:vAlign w:val="center"/>
          </w:tcPr>
          <w:p w14:paraId="7B061689" w14:textId="77777777" w:rsidR="00B54966" w:rsidRPr="004D407A" w:rsidRDefault="00B54966" w:rsidP="00E21383">
            <w:pPr>
              <w:spacing w:after="0" w:line="240" w:lineRule="auto"/>
              <w:rPr>
                <w:rFonts w:ascii="Calibri" w:eastAsia="Times New Roman" w:hAnsi="Calibri" w:cs="Calibri"/>
                <w:b/>
                <w:bCs/>
                <w:smallCaps/>
                <w:sz w:val="18"/>
              </w:rPr>
            </w:pPr>
          </w:p>
        </w:tc>
        <w:tc>
          <w:tcPr>
            <w:tcW w:w="1596" w:type="pct"/>
            <w:vMerge/>
            <w:tcBorders>
              <w:left w:val="single" w:sz="8" w:space="0" w:color="7F7F7F"/>
              <w:right w:val="single" w:sz="8" w:space="0" w:color="7F7F7F"/>
            </w:tcBorders>
            <w:vAlign w:val="center"/>
          </w:tcPr>
          <w:p w14:paraId="339B873F" w14:textId="77777777" w:rsidR="00B54966" w:rsidRPr="004D407A" w:rsidRDefault="00B54966" w:rsidP="00E21383">
            <w:pPr>
              <w:spacing w:after="0" w:line="240" w:lineRule="auto"/>
              <w:rPr>
                <w:rFonts w:ascii="Calibri" w:eastAsia="Times New Roman" w:hAnsi="Calibri" w:cs="Calibri"/>
                <w:b/>
                <w:bCs/>
                <w:smallCaps/>
                <w:sz w:val="18"/>
              </w:rPr>
            </w:pPr>
          </w:p>
        </w:tc>
      </w:tr>
      <w:tr w:rsidR="004D407A" w:rsidRPr="004D407A" w14:paraId="4C33D098" w14:textId="77777777" w:rsidTr="00B54966">
        <w:trPr>
          <w:trHeight w:val="293"/>
        </w:trPr>
        <w:tc>
          <w:tcPr>
            <w:tcW w:w="465" w:type="pct"/>
            <w:tcBorders>
              <w:top w:val="single" w:sz="8" w:space="0" w:color="7F7F7F"/>
              <w:bottom w:val="single" w:sz="8" w:space="0" w:color="7F7F7F"/>
            </w:tcBorders>
            <w:shd w:val="clear" w:color="auto" w:fill="auto"/>
            <w:vAlign w:val="center"/>
            <w:hideMark/>
          </w:tcPr>
          <w:p w14:paraId="514D9A85"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C2.1</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292DB510"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Inadequate outbreak response capacity</w:t>
            </w:r>
          </w:p>
        </w:tc>
        <w:tc>
          <w:tcPr>
            <w:tcW w:w="1596" w:type="pct"/>
            <w:vMerge/>
            <w:tcBorders>
              <w:top w:val="single" w:sz="8" w:space="0" w:color="7F7F7F"/>
              <w:left w:val="single" w:sz="8" w:space="0" w:color="7F7F7F"/>
              <w:bottom w:val="single" w:sz="8" w:space="0" w:color="7F7F7F"/>
            </w:tcBorders>
            <w:vAlign w:val="center"/>
          </w:tcPr>
          <w:p w14:paraId="5987EAFF"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4E4F1DB7" w14:textId="77777777" w:rsidR="00B54966" w:rsidRPr="004D407A" w:rsidRDefault="00B54966" w:rsidP="00E21383">
            <w:pPr>
              <w:spacing w:after="0" w:line="240" w:lineRule="auto"/>
              <w:rPr>
                <w:rFonts w:ascii="Calibri" w:eastAsia="Times New Roman" w:hAnsi="Calibri" w:cs="Calibri"/>
                <w:sz w:val="18"/>
              </w:rPr>
            </w:pPr>
          </w:p>
        </w:tc>
      </w:tr>
      <w:tr w:rsidR="004D407A" w:rsidRPr="004D407A" w14:paraId="5CA6611C" w14:textId="77777777" w:rsidTr="00B54966">
        <w:trPr>
          <w:trHeight w:val="293"/>
        </w:trPr>
        <w:tc>
          <w:tcPr>
            <w:tcW w:w="465" w:type="pct"/>
            <w:tcBorders>
              <w:top w:val="single" w:sz="8" w:space="0" w:color="7F7F7F"/>
              <w:bottom w:val="single" w:sz="8" w:space="0" w:color="7F7F7F"/>
            </w:tcBorders>
            <w:shd w:val="clear" w:color="auto" w:fill="auto"/>
            <w:vAlign w:val="center"/>
            <w:hideMark/>
          </w:tcPr>
          <w:p w14:paraId="7AD62C42"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szCs w:val="18"/>
              </w:rPr>
              <w:t>C2.2</w:t>
            </w:r>
            <w:r w:rsidRPr="004D407A">
              <w:rPr>
                <w:rFonts w:ascii="Times New Roman" w:eastAsia="Times New Roman" w:hAnsi="Times New Roman" w:cs="Times New Roman"/>
                <w:sz w:val="14"/>
                <w:szCs w:val="14"/>
              </w:rPr>
              <w:t xml:space="preserve">         </w:t>
            </w:r>
            <w:r w:rsidRPr="004D407A">
              <w:rPr>
                <w:rFonts w:ascii="Calibri" w:eastAsia="Times New Roman" w:hAnsi="Calibri" w:cs="Calibri"/>
                <w:sz w:val="18"/>
                <w:szCs w:val="18"/>
              </w:rPr>
              <w:t> </w:t>
            </w:r>
          </w:p>
        </w:tc>
        <w:tc>
          <w:tcPr>
            <w:tcW w:w="1343" w:type="pct"/>
            <w:tcBorders>
              <w:top w:val="single" w:sz="8" w:space="0" w:color="7F7F7F"/>
              <w:bottom w:val="single" w:sz="8" w:space="0" w:color="7F7F7F"/>
              <w:right w:val="single" w:sz="8" w:space="0" w:color="7F7F7F"/>
            </w:tcBorders>
            <w:shd w:val="clear" w:color="auto" w:fill="auto"/>
            <w:vAlign w:val="center"/>
            <w:hideMark/>
          </w:tcPr>
          <w:p w14:paraId="056CE667" w14:textId="77777777" w:rsidR="00B54966" w:rsidRPr="004D407A" w:rsidRDefault="00B54966" w:rsidP="00E21383">
            <w:pPr>
              <w:spacing w:after="0" w:line="240" w:lineRule="auto"/>
              <w:rPr>
                <w:rFonts w:ascii="Calibri" w:eastAsia="Times New Roman" w:hAnsi="Calibri" w:cs="Calibri"/>
                <w:sz w:val="18"/>
                <w:szCs w:val="18"/>
              </w:rPr>
            </w:pPr>
            <w:r w:rsidRPr="004D407A">
              <w:rPr>
                <w:rFonts w:ascii="Calibri" w:eastAsia="Times New Roman" w:hAnsi="Calibri" w:cs="Calibri"/>
                <w:sz w:val="18"/>
              </w:rPr>
              <w:t>Inadequate resource and systems – commodities and logistics</w:t>
            </w:r>
          </w:p>
        </w:tc>
        <w:tc>
          <w:tcPr>
            <w:tcW w:w="1596" w:type="pct"/>
            <w:vMerge/>
            <w:tcBorders>
              <w:top w:val="single" w:sz="8" w:space="0" w:color="7F7F7F"/>
              <w:left w:val="single" w:sz="8" w:space="0" w:color="7F7F7F"/>
              <w:bottom w:val="single" w:sz="8" w:space="0" w:color="7F7F7F"/>
            </w:tcBorders>
            <w:vAlign w:val="center"/>
          </w:tcPr>
          <w:p w14:paraId="3DCFABCD" w14:textId="77777777" w:rsidR="00B54966" w:rsidRPr="004D407A" w:rsidRDefault="00B54966" w:rsidP="00E21383">
            <w:pPr>
              <w:spacing w:after="0" w:line="240" w:lineRule="auto"/>
              <w:rPr>
                <w:rFonts w:ascii="Calibri" w:eastAsia="Times New Roman" w:hAnsi="Calibri" w:cs="Calibri"/>
                <w:sz w:val="18"/>
              </w:rPr>
            </w:pPr>
          </w:p>
        </w:tc>
        <w:tc>
          <w:tcPr>
            <w:tcW w:w="1596" w:type="pct"/>
            <w:vMerge/>
            <w:tcBorders>
              <w:left w:val="single" w:sz="8" w:space="0" w:color="7F7F7F"/>
              <w:right w:val="single" w:sz="8" w:space="0" w:color="7F7F7F"/>
            </w:tcBorders>
            <w:vAlign w:val="center"/>
          </w:tcPr>
          <w:p w14:paraId="62FE9BA8" w14:textId="77777777" w:rsidR="00B54966" w:rsidRPr="004D407A" w:rsidRDefault="00B54966" w:rsidP="00E21383">
            <w:pPr>
              <w:spacing w:after="0" w:line="240" w:lineRule="auto"/>
              <w:rPr>
                <w:rFonts w:ascii="Calibri" w:eastAsia="Times New Roman" w:hAnsi="Calibri" w:cs="Calibri"/>
                <w:sz w:val="18"/>
              </w:rPr>
            </w:pPr>
          </w:p>
        </w:tc>
      </w:tr>
      <w:tr w:rsidR="00B54966" w:rsidRPr="004D407A" w14:paraId="212FB62F" w14:textId="77777777" w:rsidTr="00B54966">
        <w:trPr>
          <w:trHeight w:val="293"/>
        </w:trPr>
        <w:tc>
          <w:tcPr>
            <w:tcW w:w="465" w:type="pct"/>
            <w:tcBorders>
              <w:top w:val="single" w:sz="8" w:space="0" w:color="7F7F7F"/>
              <w:bottom w:val="single" w:sz="12" w:space="0" w:color="FF0000"/>
            </w:tcBorders>
            <w:shd w:val="clear" w:color="auto" w:fill="auto"/>
            <w:vAlign w:val="center"/>
            <w:hideMark/>
          </w:tcPr>
          <w:p w14:paraId="75E84A48"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z w:val="18"/>
                <w:szCs w:val="18"/>
              </w:rPr>
              <w:t>C3</w:t>
            </w:r>
            <w:r w:rsidRPr="004D407A">
              <w:rPr>
                <w:rFonts w:ascii="Times New Roman" w:eastAsia="Times New Roman" w:hAnsi="Times New Roman" w:cs="Times New Roman"/>
                <w:b/>
                <w:bCs/>
                <w:sz w:val="14"/>
                <w:szCs w:val="14"/>
              </w:rPr>
              <w:t xml:space="preserve">             </w:t>
            </w:r>
            <w:r w:rsidRPr="004D407A">
              <w:rPr>
                <w:rFonts w:ascii="Calibri" w:eastAsia="Times New Roman" w:hAnsi="Calibri" w:cs="Calibri"/>
                <w:b/>
                <w:bCs/>
                <w:sz w:val="18"/>
                <w:szCs w:val="18"/>
              </w:rPr>
              <w:t> </w:t>
            </w:r>
          </w:p>
        </w:tc>
        <w:tc>
          <w:tcPr>
            <w:tcW w:w="1343" w:type="pct"/>
            <w:tcBorders>
              <w:top w:val="single" w:sz="8" w:space="0" w:color="7F7F7F"/>
              <w:bottom w:val="single" w:sz="12" w:space="0" w:color="FF0000"/>
              <w:right w:val="single" w:sz="8" w:space="0" w:color="7F7F7F"/>
            </w:tcBorders>
            <w:shd w:val="clear" w:color="auto" w:fill="auto"/>
            <w:vAlign w:val="center"/>
            <w:hideMark/>
          </w:tcPr>
          <w:p w14:paraId="6B76A790" w14:textId="77777777" w:rsidR="00B54966" w:rsidRPr="004D407A" w:rsidRDefault="00B54966" w:rsidP="00E21383">
            <w:pPr>
              <w:spacing w:after="0" w:line="240" w:lineRule="auto"/>
              <w:rPr>
                <w:rFonts w:ascii="Calibri" w:eastAsia="Times New Roman" w:hAnsi="Calibri" w:cs="Calibri"/>
                <w:b/>
                <w:bCs/>
                <w:sz w:val="18"/>
                <w:szCs w:val="18"/>
              </w:rPr>
            </w:pPr>
            <w:r w:rsidRPr="004D407A">
              <w:rPr>
                <w:rFonts w:ascii="Calibri" w:eastAsia="Times New Roman" w:hAnsi="Calibri" w:cs="Calibri"/>
                <w:b/>
                <w:bCs/>
                <w:smallCaps/>
                <w:sz w:val="18"/>
              </w:rPr>
              <w:t>No strategic reserves of vaccines for rapid response</w:t>
            </w:r>
          </w:p>
        </w:tc>
        <w:tc>
          <w:tcPr>
            <w:tcW w:w="1596" w:type="pct"/>
            <w:vMerge/>
            <w:tcBorders>
              <w:top w:val="single" w:sz="8" w:space="0" w:color="7F7F7F"/>
              <w:left w:val="single" w:sz="8" w:space="0" w:color="7F7F7F"/>
              <w:bottom w:val="single" w:sz="12" w:space="0" w:color="FF0000"/>
            </w:tcBorders>
            <w:vAlign w:val="center"/>
          </w:tcPr>
          <w:p w14:paraId="42071F72" w14:textId="77777777" w:rsidR="00B54966" w:rsidRPr="004D407A" w:rsidRDefault="00B54966" w:rsidP="00E21383">
            <w:pPr>
              <w:spacing w:after="0" w:line="240" w:lineRule="auto"/>
              <w:rPr>
                <w:rFonts w:ascii="Calibri" w:eastAsia="Times New Roman" w:hAnsi="Calibri" w:cs="Calibri"/>
                <w:b/>
                <w:bCs/>
                <w:smallCaps/>
                <w:sz w:val="18"/>
              </w:rPr>
            </w:pPr>
          </w:p>
        </w:tc>
        <w:tc>
          <w:tcPr>
            <w:tcW w:w="1596" w:type="pct"/>
            <w:vMerge/>
            <w:tcBorders>
              <w:left w:val="single" w:sz="8" w:space="0" w:color="7F7F7F"/>
              <w:bottom w:val="single" w:sz="12" w:space="0" w:color="7F7F7F"/>
              <w:right w:val="single" w:sz="8" w:space="0" w:color="7F7F7F"/>
            </w:tcBorders>
            <w:vAlign w:val="center"/>
          </w:tcPr>
          <w:p w14:paraId="264E340E" w14:textId="77777777" w:rsidR="00B54966" w:rsidRPr="004D407A" w:rsidRDefault="00B54966" w:rsidP="00E21383">
            <w:pPr>
              <w:spacing w:after="0" w:line="240" w:lineRule="auto"/>
              <w:rPr>
                <w:rFonts w:ascii="Calibri" w:eastAsia="Times New Roman" w:hAnsi="Calibri" w:cs="Calibri"/>
                <w:b/>
                <w:bCs/>
                <w:smallCaps/>
                <w:sz w:val="18"/>
              </w:rPr>
            </w:pPr>
          </w:p>
        </w:tc>
      </w:tr>
    </w:tbl>
    <w:p w14:paraId="3C2F124B" w14:textId="77777777" w:rsidR="00B54966" w:rsidRPr="004D407A" w:rsidRDefault="00B54966" w:rsidP="00B54966"/>
    <w:p w14:paraId="086FB6CA" w14:textId="77777777" w:rsidR="001C236E" w:rsidRPr="004D407A" w:rsidRDefault="001C236E" w:rsidP="001C236E"/>
    <w:p w14:paraId="2F230BB2" w14:textId="77777777" w:rsidR="001C236E" w:rsidRPr="004D407A" w:rsidRDefault="001C236E" w:rsidP="00BC7B0B">
      <w:pPr>
        <w:pStyle w:val="Caption"/>
        <w:rPr>
          <w:color w:val="auto"/>
        </w:rPr>
      </w:pPr>
    </w:p>
    <w:p w14:paraId="45BB708A" w14:textId="3A8C5023" w:rsidR="00465B19" w:rsidRPr="004D407A" w:rsidRDefault="00BC7B0B" w:rsidP="00BC7B0B">
      <w:pPr>
        <w:pStyle w:val="Caption"/>
        <w:rPr>
          <w:color w:val="auto"/>
        </w:rPr>
      </w:pPr>
      <w:bookmarkStart w:id="378" w:name="_Toc111912779"/>
      <w:r w:rsidRPr="004D407A">
        <w:rPr>
          <w:color w:val="auto"/>
        </w:rPr>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40</w:t>
      </w:r>
      <w:r w:rsidR="00E21383" w:rsidRPr="004D407A">
        <w:rPr>
          <w:noProof/>
          <w:color w:val="auto"/>
        </w:rPr>
        <w:fldChar w:fldCharType="end"/>
      </w:r>
      <w:r w:rsidRPr="004D407A">
        <w:rPr>
          <w:color w:val="auto"/>
        </w:rPr>
        <w:t>: 4</w:t>
      </w:r>
      <w:r w:rsidRPr="004D407A">
        <w:rPr>
          <w:color w:val="auto"/>
          <w:vertAlign w:val="superscript"/>
        </w:rPr>
        <w:t>th</w:t>
      </w:r>
      <w:r w:rsidRPr="004D407A">
        <w:rPr>
          <w:color w:val="auto"/>
        </w:rPr>
        <w:t xml:space="preserve"> HPNSP Results Framework</w:t>
      </w:r>
      <w:bookmarkEnd w:id="378"/>
    </w:p>
    <w:tbl>
      <w:tblPr>
        <w:tblStyle w:val="GridTable1Light-Accent511"/>
        <w:tblW w:w="5000" w:type="pct"/>
        <w:tblLook w:val="0420" w:firstRow="1" w:lastRow="0" w:firstColumn="0" w:lastColumn="0" w:noHBand="0" w:noVBand="1"/>
      </w:tblPr>
      <w:tblGrid>
        <w:gridCol w:w="4732"/>
        <w:gridCol w:w="3962"/>
        <w:gridCol w:w="2209"/>
        <w:gridCol w:w="1402"/>
        <w:gridCol w:w="2209"/>
      </w:tblGrid>
      <w:tr w:rsidR="004D407A" w:rsidRPr="004D407A" w14:paraId="64441E47" w14:textId="77777777" w:rsidTr="00BC7B0B">
        <w:trPr>
          <w:cnfStyle w:val="100000000000" w:firstRow="1" w:lastRow="0" w:firstColumn="0" w:lastColumn="0" w:oddVBand="0" w:evenVBand="0" w:oddHBand="0" w:evenHBand="0" w:firstRowFirstColumn="0" w:firstRowLastColumn="0" w:lastRowFirstColumn="0" w:lastRowLastColumn="0"/>
          <w:cantSplit/>
          <w:tblHeader/>
        </w:trPr>
        <w:tc>
          <w:tcPr>
            <w:tcW w:w="1630" w:type="pct"/>
          </w:tcPr>
          <w:p w14:paraId="23DD80CC" w14:textId="77777777" w:rsidR="00BC7B0B" w:rsidRPr="004D407A" w:rsidRDefault="00BC7B0B" w:rsidP="00687A41">
            <w:pPr>
              <w:pStyle w:val="BodyTextT"/>
            </w:pPr>
            <w:r w:rsidRPr="004D407A">
              <w:t>Results</w:t>
            </w:r>
          </w:p>
        </w:tc>
        <w:tc>
          <w:tcPr>
            <w:tcW w:w="1365" w:type="pct"/>
          </w:tcPr>
          <w:p w14:paraId="03A2E343" w14:textId="77777777" w:rsidR="00BC7B0B" w:rsidRPr="004D407A" w:rsidRDefault="00BC7B0B" w:rsidP="00687A41">
            <w:pPr>
              <w:pStyle w:val="BodyTextT"/>
            </w:pPr>
            <w:r w:rsidRPr="004D407A">
              <w:t>Indicators</w:t>
            </w:r>
          </w:p>
        </w:tc>
        <w:tc>
          <w:tcPr>
            <w:tcW w:w="761" w:type="pct"/>
          </w:tcPr>
          <w:p w14:paraId="1AF529F4" w14:textId="77777777" w:rsidR="00BC7B0B" w:rsidRPr="004D407A" w:rsidRDefault="00BC7B0B" w:rsidP="00687A41">
            <w:pPr>
              <w:pStyle w:val="BodyTextT"/>
            </w:pPr>
            <w:r w:rsidRPr="004D407A">
              <w:t>Baseline value</w:t>
            </w:r>
          </w:p>
        </w:tc>
        <w:tc>
          <w:tcPr>
            <w:tcW w:w="483" w:type="pct"/>
          </w:tcPr>
          <w:p w14:paraId="4A573A59" w14:textId="77777777" w:rsidR="00BC7B0B" w:rsidRPr="004D407A" w:rsidRDefault="00BC7B0B" w:rsidP="00687A41">
            <w:pPr>
              <w:pStyle w:val="BodyTextT"/>
            </w:pPr>
            <w:r w:rsidRPr="004D407A">
              <w:t>Source, Year</w:t>
            </w:r>
          </w:p>
        </w:tc>
        <w:tc>
          <w:tcPr>
            <w:tcW w:w="761" w:type="pct"/>
          </w:tcPr>
          <w:p w14:paraId="0F6657D4" w14:textId="77777777" w:rsidR="00BC7B0B" w:rsidRPr="004D407A" w:rsidRDefault="00BC7B0B" w:rsidP="00687A41">
            <w:pPr>
              <w:pStyle w:val="BodyTextT"/>
            </w:pPr>
            <w:r w:rsidRPr="004D407A">
              <w:t>Target, 2022</w:t>
            </w:r>
          </w:p>
        </w:tc>
      </w:tr>
      <w:tr w:rsidR="004D407A" w:rsidRPr="004D407A" w14:paraId="5A49710F" w14:textId="77777777" w:rsidTr="00BC7B0B">
        <w:trPr>
          <w:cantSplit/>
        </w:trPr>
        <w:tc>
          <w:tcPr>
            <w:tcW w:w="5000" w:type="pct"/>
            <w:gridSpan w:val="5"/>
            <w:shd w:val="clear" w:color="auto" w:fill="E2EFD9" w:themeFill="accent6" w:themeFillTint="33"/>
          </w:tcPr>
          <w:p w14:paraId="244A87D3" w14:textId="77777777" w:rsidR="00BC7B0B" w:rsidRPr="004D407A" w:rsidRDefault="00BC7B0B" w:rsidP="00526CCA">
            <w:pPr>
              <w:pStyle w:val="BodyTextT"/>
              <w:numPr>
                <w:ilvl w:val="0"/>
                <w:numId w:val="14"/>
              </w:numPr>
              <w:rPr>
                <w:b/>
              </w:rPr>
            </w:pPr>
            <w:r w:rsidRPr="004D407A">
              <w:rPr>
                <w:b/>
              </w:rPr>
              <w:t>MOHFW's governance and stewardship roles strengthened</w:t>
            </w:r>
          </w:p>
        </w:tc>
      </w:tr>
      <w:tr w:rsidR="004D407A" w:rsidRPr="004D407A" w14:paraId="2A5C998E" w14:textId="77777777" w:rsidTr="00BC7B0B">
        <w:trPr>
          <w:cantSplit/>
        </w:trPr>
        <w:tc>
          <w:tcPr>
            <w:tcW w:w="1630" w:type="pct"/>
          </w:tcPr>
          <w:p w14:paraId="4E832A42" w14:textId="77777777" w:rsidR="00BC7B0B" w:rsidRPr="004D407A" w:rsidRDefault="00BC7B0B" w:rsidP="00526CCA">
            <w:pPr>
              <w:pStyle w:val="BodyTextT"/>
              <w:numPr>
                <w:ilvl w:val="1"/>
                <w:numId w:val="13"/>
              </w:numPr>
            </w:pPr>
            <w:r w:rsidRPr="004D407A">
              <w:t xml:space="preserve">Legal and operational framework on governance and stewardship in place </w:t>
            </w:r>
          </w:p>
        </w:tc>
        <w:tc>
          <w:tcPr>
            <w:tcW w:w="1365" w:type="pct"/>
          </w:tcPr>
          <w:p w14:paraId="18F90FB4" w14:textId="77777777" w:rsidR="00BC7B0B" w:rsidRPr="004D407A" w:rsidRDefault="00BC7B0B" w:rsidP="00526CCA">
            <w:pPr>
              <w:pStyle w:val="BodyTextT"/>
              <w:numPr>
                <w:ilvl w:val="2"/>
                <w:numId w:val="13"/>
              </w:numPr>
            </w:pPr>
            <w:r w:rsidRPr="004D407A">
              <w:t>Governance and stewardship action implemented in line with the milestones</w:t>
            </w:r>
          </w:p>
        </w:tc>
        <w:tc>
          <w:tcPr>
            <w:tcW w:w="761" w:type="pct"/>
          </w:tcPr>
          <w:p w14:paraId="25DC2B2F" w14:textId="77777777" w:rsidR="00BC7B0B" w:rsidRPr="004D407A" w:rsidRDefault="00BC7B0B" w:rsidP="00687A41">
            <w:pPr>
              <w:pStyle w:val="BodyTextT"/>
            </w:pPr>
            <w:r w:rsidRPr="004D407A">
              <w:t>GSAP developed and approved</w:t>
            </w:r>
          </w:p>
        </w:tc>
        <w:tc>
          <w:tcPr>
            <w:tcW w:w="483" w:type="pct"/>
          </w:tcPr>
          <w:p w14:paraId="0A7165CC" w14:textId="77777777" w:rsidR="00BC7B0B" w:rsidRPr="004D407A" w:rsidRDefault="00BC7B0B" w:rsidP="00687A41">
            <w:pPr>
              <w:pStyle w:val="BodyTextT"/>
            </w:pPr>
            <w:r w:rsidRPr="004D407A">
              <w:t>Planning Wing 2016</w:t>
            </w:r>
          </w:p>
        </w:tc>
        <w:tc>
          <w:tcPr>
            <w:tcW w:w="761" w:type="pct"/>
          </w:tcPr>
          <w:p w14:paraId="3B5AEDAB" w14:textId="77777777" w:rsidR="00BC7B0B" w:rsidRPr="004D407A" w:rsidRDefault="00BC7B0B" w:rsidP="00687A41">
            <w:pPr>
              <w:pStyle w:val="BodyTextT"/>
            </w:pPr>
          </w:p>
        </w:tc>
      </w:tr>
      <w:tr w:rsidR="004D407A" w:rsidRPr="004D407A" w14:paraId="37354FDD" w14:textId="77777777" w:rsidTr="00BC7B0B">
        <w:trPr>
          <w:cantSplit/>
        </w:trPr>
        <w:tc>
          <w:tcPr>
            <w:tcW w:w="1630" w:type="pct"/>
            <w:vMerge w:val="restart"/>
          </w:tcPr>
          <w:p w14:paraId="3D7BADA9" w14:textId="77777777" w:rsidR="00BC7B0B" w:rsidRPr="004D407A" w:rsidRDefault="00BC7B0B" w:rsidP="00526CCA">
            <w:pPr>
              <w:pStyle w:val="BodyTextT"/>
              <w:numPr>
                <w:ilvl w:val="1"/>
                <w:numId w:val="13"/>
              </w:numPr>
            </w:pPr>
            <w:r w:rsidRPr="004D407A">
              <w:t>Overall sector governance improved</w:t>
            </w:r>
          </w:p>
        </w:tc>
        <w:tc>
          <w:tcPr>
            <w:tcW w:w="1365" w:type="pct"/>
          </w:tcPr>
          <w:p w14:paraId="4CC1F466" w14:textId="77777777" w:rsidR="00BC7B0B" w:rsidRPr="004D407A" w:rsidRDefault="00BC7B0B" w:rsidP="00526CCA">
            <w:pPr>
              <w:pStyle w:val="BodyTextT"/>
              <w:numPr>
                <w:ilvl w:val="2"/>
                <w:numId w:val="13"/>
              </w:numPr>
            </w:pPr>
            <w:r w:rsidRPr="004D407A">
              <w:t>Number of public and non-public facilities accredited</w:t>
            </w:r>
          </w:p>
        </w:tc>
        <w:tc>
          <w:tcPr>
            <w:tcW w:w="761" w:type="pct"/>
          </w:tcPr>
          <w:p w14:paraId="47C9DC40" w14:textId="77777777" w:rsidR="00BC7B0B" w:rsidRPr="004D407A" w:rsidRDefault="00BC7B0B" w:rsidP="00687A41">
            <w:pPr>
              <w:pStyle w:val="BodyTextT"/>
            </w:pPr>
            <w:r w:rsidRPr="004D407A">
              <w:t>Process initiated</w:t>
            </w:r>
          </w:p>
        </w:tc>
        <w:tc>
          <w:tcPr>
            <w:tcW w:w="483" w:type="pct"/>
          </w:tcPr>
          <w:p w14:paraId="26134C02" w14:textId="77777777" w:rsidR="00BC7B0B" w:rsidRPr="004D407A" w:rsidRDefault="00BC7B0B" w:rsidP="00687A41">
            <w:pPr>
              <w:pStyle w:val="BodyTextT"/>
            </w:pPr>
            <w:r w:rsidRPr="004D407A">
              <w:t>Planning Wing 2016</w:t>
            </w:r>
          </w:p>
        </w:tc>
        <w:tc>
          <w:tcPr>
            <w:tcW w:w="761" w:type="pct"/>
          </w:tcPr>
          <w:p w14:paraId="4D57AA83" w14:textId="77777777" w:rsidR="00BC7B0B" w:rsidRPr="004D407A" w:rsidRDefault="00BC7B0B" w:rsidP="00687A41">
            <w:pPr>
              <w:pStyle w:val="BodyTextT"/>
            </w:pPr>
          </w:p>
        </w:tc>
      </w:tr>
      <w:tr w:rsidR="004D407A" w:rsidRPr="004D407A" w14:paraId="0695C1A4" w14:textId="77777777" w:rsidTr="00BC7B0B">
        <w:trPr>
          <w:cantSplit/>
        </w:trPr>
        <w:tc>
          <w:tcPr>
            <w:tcW w:w="1630" w:type="pct"/>
            <w:vMerge/>
          </w:tcPr>
          <w:p w14:paraId="134596D2" w14:textId="77777777" w:rsidR="00BC7B0B" w:rsidRPr="004D407A" w:rsidRDefault="00BC7B0B" w:rsidP="00687A41">
            <w:pPr>
              <w:pStyle w:val="BodyTextT"/>
            </w:pPr>
          </w:p>
        </w:tc>
        <w:tc>
          <w:tcPr>
            <w:tcW w:w="1365" w:type="pct"/>
          </w:tcPr>
          <w:p w14:paraId="6FB7BF57" w14:textId="77777777" w:rsidR="00BC7B0B" w:rsidRPr="004D407A" w:rsidRDefault="00BC7B0B" w:rsidP="00526CCA">
            <w:pPr>
              <w:pStyle w:val="BodyTextT"/>
              <w:numPr>
                <w:ilvl w:val="2"/>
                <w:numId w:val="13"/>
              </w:numPr>
            </w:pPr>
            <w:r w:rsidRPr="004D407A">
              <w:t xml:space="preserve">% </w:t>
            </w:r>
            <w:proofErr w:type="gramStart"/>
            <w:r w:rsidRPr="004D407A">
              <w:t>of</w:t>
            </w:r>
            <w:proofErr w:type="gramEnd"/>
            <w:r w:rsidRPr="004D407A">
              <w:t xml:space="preserve"> DPs submitting annual performance reports   on off budget activities</w:t>
            </w:r>
          </w:p>
        </w:tc>
        <w:tc>
          <w:tcPr>
            <w:tcW w:w="761" w:type="pct"/>
          </w:tcPr>
          <w:p w14:paraId="773470A0" w14:textId="77777777" w:rsidR="00BC7B0B" w:rsidRPr="004D407A" w:rsidRDefault="00BC7B0B" w:rsidP="00687A41">
            <w:pPr>
              <w:pStyle w:val="BodyTextT"/>
            </w:pPr>
            <w:r w:rsidRPr="004D407A">
              <w:t xml:space="preserve">54% </w:t>
            </w:r>
          </w:p>
        </w:tc>
        <w:tc>
          <w:tcPr>
            <w:tcW w:w="483" w:type="pct"/>
          </w:tcPr>
          <w:p w14:paraId="31D1AC6D" w14:textId="77777777" w:rsidR="00BC7B0B" w:rsidRPr="004D407A" w:rsidRDefault="00BC7B0B" w:rsidP="00687A41">
            <w:pPr>
              <w:pStyle w:val="BodyTextT"/>
            </w:pPr>
            <w:r w:rsidRPr="004D407A">
              <w:t>MPIR 2014</w:t>
            </w:r>
          </w:p>
        </w:tc>
        <w:tc>
          <w:tcPr>
            <w:tcW w:w="761" w:type="pct"/>
          </w:tcPr>
          <w:p w14:paraId="53D0A6A4" w14:textId="77777777" w:rsidR="00BC7B0B" w:rsidRPr="004D407A" w:rsidRDefault="00BC7B0B" w:rsidP="00687A41">
            <w:pPr>
              <w:pStyle w:val="BodyTextT"/>
            </w:pPr>
            <w:r w:rsidRPr="004D407A">
              <w:t>100%</w:t>
            </w:r>
          </w:p>
        </w:tc>
      </w:tr>
      <w:tr w:rsidR="004D407A" w:rsidRPr="004D407A" w14:paraId="030A9E05" w14:textId="77777777" w:rsidTr="00BC7B0B">
        <w:trPr>
          <w:cantSplit/>
        </w:trPr>
        <w:tc>
          <w:tcPr>
            <w:tcW w:w="1630" w:type="pct"/>
            <w:vMerge/>
          </w:tcPr>
          <w:p w14:paraId="3A325ECF" w14:textId="77777777" w:rsidR="00BC7B0B" w:rsidRPr="004D407A" w:rsidRDefault="00BC7B0B" w:rsidP="00687A41">
            <w:pPr>
              <w:pStyle w:val="BodyTextT"/>
            </w:pPr>
          </w:p>
        </w:tc>
        <w:tc>
          <w:tcPr>
            <w:tcW w:w="1365" w:type="pct"/>
          </w:tcPr>
          <w:p w14:paraId="396C07D0" w14:textId="77777777" w:rsidR="00BC7B0B" w:rsidRPr="004D407A" w:rsidRDefault="00BC7B0B" w:rsidP="00526CCA">
            <w:pPr>
              <w:pStyle w:val="BodyTextT"/>
              <w:numPr>
                <w:ilvl w:val="2"/>
                <w:numId w:val="13"/>
              </w:numPr>
            </w:pPr>
            <w:r w:rsidRPr="004D407A">
              <w:t>Incremental budget for MOHHFW ensured</w:t>
            </w:r>
          </w:p>
        </w:tc>
        <w:tc>
          <w:tcPr>
            <w:tcW w:w="761" w:type="pct"/>
          </w:tcPr>
          <w:p w14:paraId="00747D86" w14:textId="77777777" w:rsidR="00BC7B0B" w:rsidRPr="004D407A" w:rsidRDefault="00BC7B0B" w:rsidP="00687A41">
            <w:pPr>
              <w:pStyle w:val="BodyTextT"/>
            </w:pPr>
            <w:r w:rsidRPr="004D407A">
              <w:t>14% increase of MOHPW budget</w:t>
            </w:r>
          </w:p>
        </w:tc>
        <w:tc>
          <w:tcPr>
            <w:tcW w:w="483" w:type="pct"/>
          </w:tcPr>
          <w:p w14:paraId="100031AF" w14:textId="77777777" w:rsidR="00BC7B0B" w:rsidRPr="004D407A" w:rsidRDefault="00BC7B0B" w:rsidP="00687A41">
            <w:pPr>
              <w:pStyle w:val="BodyTextT"/>
            </w:pPr>
            <w:r w:rsidRPr="004D407A">
              <w:t>MOF, FY 15-16</w:t>
            </w:r>
          </w:p>
        </w:tc>
        <w:tc>
          <w:tcPr>
            <w:tcW w:w="761" w:type="pct"/>
          </w:tcPr>
          <w:p w14:paraId="727EBC4C" w14:textId="77777777" w:rsidR="00BC7B0B" w:rsidRPr="004D407A" w:rsidRDefault="00BC7B0B" w:rsidP="00687A41">
            <w:pPr>
              <w:pStyle w:val="BodyTextT"/>
            </w:pPr>
            <w:r w:rsidRPr="004D407A">
              <w:t>Annual increment of MOHFW budget &gt;15%</w:t>
            </w:r>
          </w:p>
        </w:tc>
      </w:tr>
      <w:tr w:rsidR="004D407A" w:rsidRPr="004D407A" w14:paraId="0AE35A18" w14:textId="77777777" w:rsidTr="00BC7B0B">
        <w:trPr>
          <w:cantSplit/>
        </w:trPr>
        <w:tc>
          <w:tcPr>
            <w:tcW w:w="5000" w:type="pct"/>
            <w:gridSpan w:val="5"/>
            <w:shd w:val="clear" w:color="auto" w:fill="E2EFD9" w:themeFill="accent6" w:themeFillTint="33"/>
          </w:tcPr>
          <w:p w14:paraId="495CDEFD" w14:textId="77777777" w:rsidR="00BC7B0B" w:rsidRPr="004D407A" w:rsidRDefault="00BC7B0B" w:rsidP="00526CCA">
            <w:pPr>
              <w:pStyle w:val="BodyTextT"/>
              <w:keepNext/>
              <w:numPr>
                <w:ilvl w:val="0"/>
                <w:numId w:val="14"/>
              </w:numPr>
              <w:rPr>
                <w:b/>
              </w:rPr>
            </w:pPr>
            <w:r w:rsidRPr="004D407A">
              <w:rPr>
                <w:b/>
              </w:rPr>
              <w:t>Health systems strengthened to increased performance and efficiency</w:t>
            </w:r>
          </w:p>
        </w:tc>
      </w:tr>
      <w:tr w:rsidR="004D407A" w:rsidRPr="004D407A" w14:paraId="4F4B5A06" w14:textId="77777777" w:rsidTr="00BC7B0B">
        <w:trPr>
          <w:cantSplit/>
        </w:trPr>
        <w:tc>
          <w:tcPr>
            <w:tcW w:w="1630" w:type="pct"/>
          </w:tcPr>
          <w:p w14:paraId="4F040E74" w14:textId="77777777" w:rsidR="00BC7B0B" w:rsidRPr="004D407A" w:rsidRDefault="00BC7B0B" w:rsidP="00526CCA">
            <w:pPr>
              <w:pStyle w:val="BodyTextT"/>
              <w:numPr>
                <w:ilvl w:val="1"/>
                <w:numId w:val="14"/>
              </w:numPr>
            </w:pPr>
            <w:r w:rsidRPr="004D407A">
              <w:t>Quality workforce made available in health sector</w:t>
            </w:r>
          </w:p>
        </w:tc>
        <w:tc>
          <w:tcPr>
            <w:tcW w:w="1365" w:type="pct"/>
          </w:tcPr>
          <w:p w14:paraId="69AB59C5" w14:textId="712CC31E" w:rsidR="00BC7B0B" w:rsidRPr="004D407A" w:rsidRDefault="00BC7B0B" w:rsidP="00526CCA">
            <w:pPr>
              <w:pStyle w:val="BodyTextT"/>
              <w:numPr>
                <w:ilvl w:val="2"/>
                <w:numId w:val="14"/>
              </w:numPr>
            </w:pPr>
            <w:r w:rsidRPr="004D407A">
              <w:t xml:space="preserve">% </w:t>
            </w:r>
            <w:proofErr w:type="gramStart"/>
            <w:r w:rsidRPr="004D407A">
              <w:t>of</w:t>
            </w:r>
            <w:proofErr w:type="gramEnd"/>
            <w:r w:rsidRPr="004D407A">
              <w:t xml:space="preserve"> service provider positions functionally vacant in district and </w:t>
            </w:r>
            <w:proofErr w:type="spellStart"/>
            <w:r w:rsidRPr="004D407A">
              <w:t>upazila</w:t>
            </w:r>
            <w:proofErr w:type="spellEnd"/>
            <w:r w:rsidRPr="004D407A">
              <w:t xml:space="preserve">-level public facilities, by category </w:t>
            </w:r>
            <w:r w:rsidR="00885C74" w:rsidRPr="004D407A">
              <w:t>(physician</w:t>
            </w:r>
            <w:r w:rsidRPr="004D407A">
              <w:t>, nurse /midwife)</w:t>
            </w:r>
          </w:p>
        </w:tc>
        <w:tc>
          <w:tcPr>
            <w:tcW w:w="761" w:type="pct"/>
          </w:tcPr>
          <w:p w14:paraId="6D9FCE67" w14:textId="77777777" w:rsidR="00BC7B0B" w:rsidRPr="004D407A" w:rsidRDefault="00BC7B0B" w:rsidP="00687A41">
            <w:pPr>
              <w:pStyle w:val="BodyTextT"/>
            </w:pPr>
            <w:r w:rsidRPr="004D407A">
              <w:t>Physicians: 37.8%</w:t>
            </w:r>
          </w:p>
          <w:p w14:paraId="26BE3E94" w14:textId="77777777" w:rsidR="00BC7B0B" w:rsidRPr="004D407A" w:rsidRDefault="00BC7B0B" w:rsidP="00687A41">
            <w:pPr>
              <w:pStyle w:val="BodyTextT"/>
            </w:pPr>
            <w:r w:rsidRPr="004D407A">
              <w:t>Nurse/Midwife: 19.3%</w:t>
            </w:r>
          </w:p>
        </w:tc>
        <w:tc>
          <w:tcPr>
            <w:tcW w:w="483" w:type="pct"/>
          </w:tcPr>
          <w:p w14:paraId="6B7382AA" w14:textId="77777777" w:rsidR="00BC7B0B" w:rsidRPr="004D407A" w:rsidRDefault="00BC7B0B" w:rsidP="00687A41">
            <w:pPr>
              <w:pStyle w:val="BodyTextT"/>
            </w:pPr>
          </w:p>
        </w:tc>
        <w:tc>
          <w:tcPr>
            <w:tcW w:w="761" w:type="pct"/>
          </w:tcPr>
          <w:p w14:paraId="496897DD" w14:textId="77777777" w:rsidR="00BC7B0B" w:rsidRPr="004D407A" w:rsidRDefault="00BC7B0B" w:rsidP="00687A41">
            <w:pPr>
              <w:pStyle w:val="BodyTextT"/>
            </w:pPr>
            <w:r w:rsidRPr="004D407A">
              <w:t>Physicians: 19%</w:t>
            </w:r>
          </w:p>
          <w:p w14:paraId="4C96C689" w14:textId="77777777" w:rsidR="00BC7B0B" w:rsidRPr="004D407A" w:rsidRDefault="00BC7B0B" w:rsidP="00687A41">
            <w:pPr>
              <w:pStyle w:val="BodyTextT"/>
            </w:pPr>
            <w:r w:rsidRPr="004D407A">
              <w:t>Nurse/Midwife: 10%</w:t>
            </w:r>
          </w:p>
        </w:tc>
      </w:tr>
      <w:tr w:rsidR="004D407A" w:rsidRPr="004D407A" w14:paraId="1B32A3B2" w14:textId="77777777" w:rsidTr="00BC7B0B">
        <w:trPr>
          <w:cantSplit/>
        </w:trPr>
        <w:tc>
          <w:tcPr>
            <w:tcW w:w="1630" w:type="pct"/>
            <w:vMerge w:val="restart"/>
          </w:tcPr>
          <w:p w14:paraId="18C9735F" w14:textId="77777777" w:rsidR="00BC7B0B" w:rsidRPr="004D407A" w:rsidRDefault="00BC7B0B" w:rsidP="00526CCA">
            <w:pPr>
              <w:pStyle w:val="BodyTextT"/>
              <w:numPr>
                <w:ilvl w:val="1"/>
                <w:numId w:val="14"/>
              </w:numPr>
            </w:pPr>
            <w:r w:rsidRPr="004D407A">
              <w:t>Core systems (FM, infrastructure, procurement) strengthened</w:t>
            </w:r>
          </w:p>
        </w:tc>
        <w:tc>
          <w:tcPr>
            <w:tcW w:w="1365" w:type="pct"/>
          </w:tcPr>
          <w:p w14:paraId="035BB92A" w14:textId="77777777" w:rsidR="00BC7B0B" w:rsidRPr="004D407A" w:rsidRDefault="00BC7B0B" w:rsidP="00526CCA">
            <w:pPr>
              <w:pStyle w:val="BodyTextT"/>
              <w:numPr>
                <w:ilvl w:val="2"/>
                <w:numId w:val="14"/>
              </w:numPr>
            </w:pPr>
            <w:r w:rsidRPr="004D407A">
              <w:t>Increase in the number of Operational Plans (OPs) with annual budget execution over 80%</w:t>
            </w:r>
          </w:p>
        </w:tc>
        <w:tc>
          <w:tcPr>
            <w:tcW w:w="761" w:type="pct"/>
          </w:tcPr>
          <w:p w14:paraId="70DB35D4" w14:textId="77777777" w:rsidR="00BC7B0B" w:rsidRPr="004D407A" w:rsidRDefault="00BC7B0B" w:rsidP="00687A41">
            <w:pPr>
              <w:pStyle w:val="BodyTextT"/>
            </w:pPr>
            <w:r w:rsidRPr="004D407A">
              <w:t>13</w:t>
            </w:r>
          </w:p>
        </w:tc>
        <w:tc>
          <w:tcPr>
            <w:tcW w:w="483" w:type="pct"/>
          </w:tcPr>
          <w:p w14:paraId="24AD0159" w14:textId="77777777" w:rsidR="00BC7B0B" w:rsidRPr="004D407A" w:rsidRDefault="00BC7B0B" w:rsidP="00687A41">
            <w:pPr>
              <w:pStyle w:val="BodyTextT"/>
            </w:pPr>
            <w:r w:rsidRPr="004D407A">
              <w:t>APIR 2015</w:t>
            </w:r>
          </w:p>
        </w:tc>
        <w:tc>
          <w:tcPr>
            <w:tcW w:w="761" w:type="pct"/>
          </w:tcPr>
          <w:p w14:paraId="1C198C93" w14:textId="77777777" w:rsidR="00BC7B0B" w:rsidRPr="004D407A" w:rsidRDefault="00BC7B0B" w:rsidP="00687A41">
            <w:pPr>
              <w:pStyle w:val="BodyTextT"/>
            </w:pPr>
            <w:r w:rsidRPr="004D407A">
              <w:t>19</w:t>
            </w:r>
          </w:p>
        </w:tc>
      </w:tr>
      <w:tr w:rsidR="004D407A" w:rsidRPr="004D407A" w14:paraId="7355DCC8" w14:textId="77777777" w:rsidTr="00BC7B0B">
        <w:trPr>
          <w:cantSplit/>
        </w:trPr>
        <w:tc>
          <w:tcPr>
            <w:tcW w:w="1630" w:type="pct"/>
            <w:vMerge/>
          </w:tcPr>
          <w:p w14:paraId="00BE914D" w14:textId="77777777" w:rsidR="00BC7B0B" w:rsidRPr="004D407A" w:rsidRDefault="00BC7B0B" w:rsidP="00526CCA">
            <w:pPr>
              <w:pStyle w:val="BodyTextT"/>
              <w:numPr>
                <w:ilvl w:val="1"/>
                <w:numId w:val="14"/>
              </w:numPr>
            </w:pPr>
          </w:p>
        </w:tc>
        <w:tc>
          <w:tcPr>
            <w:tcW w:w="1365" w:type="pct"/>
          </w:tcPr>
          <w:p w14:paraId="29D8DBD7" w14:textId="77777777" w:rsidR="00BC7B0B" w:rsidRPr="004D407A" w:rsidRDefault="00BC7B0B" w:rsidP="00526CCA">
            <w:pPr>
              <w:pStyle w:val="BodyTextT"/>
              <w:numPr>
                <w:ilvl w:val="2"/>
                <w:numId w:val="14"/>
              </w:numPr>
            </w:pPr>
            <w:r w:rsidRPr="004D407A">
              <w:t>Procurement lead time reduce fore packages tracked through SCMP</w:t>
            </w:r>
          </w:p>
        </w:tc>
        <w:tc>
          <w:tcPr>
            <w:tcW w:w="761" w:type="pct"/>
          </w:tcPr>
          <w:p w14:paraId="7F7688AA" w14:textId="77777777" w:rsidR="00BC7B0B" w:rsidRPr="004D407A" w:rsidRDefault="00BC7B0B" w:rsidP="00687A41">
            <w:pPr>
              <w:pStyle w:val="BodyTextT"/>
            </w:pPr>
            <w:r w:rsidRPr="004D407A">
              <w:t>573 weeks</w:t>
            </w:r>
          </w:p>
        </w:tc>
        <w:tc>
          <w:tcPr>
            <w:tcW w:w="483" w:type="pct"/>
          </w:tcPr>
          <w:p w14:paraId="0165EAFE" w14:textId="77777777" w:rsidR="00BC7B0B" w:rsidRPr="004D407A" w:rsidRDefault="00BC7B0B" w:rsidP="00687A41">
            <w:pPr>
              <w:pStyle w:val="BodyTextT"/>
            </w:pPr>
            <w:r w:rsidRPr="004D407A">
              <w:t>SCMP 2014-15</w:t>
            </w:r>
          </w:p>
        </w:tc>
        <w:tc>
          <w:tcPr>
            <w:tcW w:w="761" w:type="pct"/>
          </w:tcPr>
          <w:p w14:paraId="3DF4CC7E" w14:textId="77777777" w:rsidR="00BC7B0B" w:rsidRPr="004D407A" w:rsidRDefault="00BC7B0B" w:rsidP="00687A41">
            <w:pPr>
              <w:pStyle w:val="BodyTextT"/>
            </w:pPr>
            <w:r w:rsidRPr="004D407A">
              <w:t>40 weeks</w:t>
            </w:r>
          </w:p>
        </w:tc>
      </w:tr>
      <w:tr w:rsidR="004D407A" w:rsidRPr="004D407A" w14:paraId="1D3841B4" w14:textId="77777777" w:rsidTr="00BC7B0B">
        <w:trPr>
          <w:cantSplit/>
        </w:trPr>
        <w:tc>
          <w:tcPr>
            <w:tcW w:w="1630" w:type="pct"/>
            <w:vMerge w:val="restart"/>
          </w:tcPr>
          <w:p w14:paraId="4003D63F" w14:textId="77777777" w:rsidR="00BC7B0B" w:rsidRPr="004D407A" w:rsidRDefault="00BC7B0B" w:rsidP="00526CCA">
            <w:pPr>
              <w:pStyle w:val="BodyTextT"/>
              <w:numPr>
                <w:ilvl w:val="1"/>
                <w:numId w:val="14"/>
              </w:numPr>
            </w:pPr>
            <w:r w:rsidRPr="004D407A">
              <w:t>Strengthened performance monitoring to promote evidence-based decision making</w:t>
            </w:r>
          </w:p>
        </w:tc>
        <w:tc>
          <w:tcPr>
            <w:tcW w:w="1365" w:type="pct"/>
          </w:tcPr>
          <w:p w14:paraId="6E3F16CF" w14:textId="77777777" w:rsidR="00BC7B0B" w:rsidRPr="004D407A" w:rsidRDefault="00BC7B0B" w:rsidP="00526CCA">
            <w:pPr>
              <w:pStyle w:val="BodyTextT"/>
              <w:numPr>
                <w:ilvl w:val="2"/>
                <w:numId w:val="14"/>
              </w:numPr>
            </w:pPr>
            <w:r w:rsidRPr="004D407A">
              <w:t>Number of performance monitoring reports prepared and disseminated annually</w:t>
            </w:r>
          </w:p>
        </w:tc>
        <w:tc>
          <w:tcPr>
            <w:tcW w:w="761" w:type="pct"/>
          </w:tcPr>
          <w:p w14:paraId="055B00EF" w14:textId="77777777" w:rsidR="00BC7B0B" w:rsidRPr="004D407A" w:rsidRDefault="00BC7B0B" w:rsidP="00687A41">
            <w:pPr>
              <w:pStyle w:val="BodyTextT"/>
            </w:pPr>
            <w:r w:rsidRPr="004D407A">
              <w:t xml:space="preserve">3 (HB, APRI, </w:t>
            </w:r>
            <w:proofErr w:type="spellStart"/>
            <w:r w:rsidRPr="004D407A">
              <w:t>SmPR</w:t>
            </w:r>
            <w:proofErr w:type="spellEnd"/>
            <w:r w:rsidRPr="004D407A">
              <w:t>)</w:t>
            </w:r>
          </w:p>
        </w:tc>
        <w:tc>
          <w:tcPr>
            <w:tcW w:w="483" w:type="pct"/>
          </w:tcPr>
          <w:p w14:paraId="0F3F7C83" w14:textId="77777777" w:rsidR="00BC7B0B" w:rsidRPr="004D407A" w:rsidRDefault="00BC7B0B" w:rsidP="00687A41">
            <w:pPr>
              <w:pStyle w:val="BodyTextT"/>
            </w:pPr>
            <w:r w:rsidRPr="004D407A">
              <w:t>APIR 2015</w:t>
            </w:r>
          </w:p>
        </w:tc>
        <w:tc>
          <w:tcPr>
            <w:tcW w:w="761" w:type="pct"/>
          </w:tcPr>
          <w:p w14:paraId="11985D19" w14:textId="77777777" w:rsidR="00BC7B0B" w:rsidRPr="004D407A" w:rsidRDefault="00BC7B0B" w:rsidP="00687A41">
            <w:pPr>
              <w:pStyle w:val="BodyTextT"/>
            </w:pPr>
            <w:r w:rsidRPr="004D407A">
              <w:t xml:space="preserve">08 (APIR, </w:t>
            </w:r>
            <w:proofErr w:type="spellStart"/>
            <w:r w:rsidRPr="004D407A">
              <w:t>SmPR</w:t>
            </w:r>
            <w:proofErr w:type="spellEnd"/>
            <w:r w:rsidRPr="004D407A">
              <w:t>, MISs, NIPORT, DGDA, DGNM, HEU)</w:t>
            </w:r>
          </w:p>
        </w:tc>
      </w:tr>
      <w:tr w:rsidR="004D407A" w:rsidRPr="004D407A" w14:paraId="08A595E1" w14:textId="77777777" w:rsidTr="00BC7B0B">
        <w:trPr>
          <w:cantSplit/>
        </w:trPr>
        <w:tc>
          <w:tcPr>
            <w:tcW w:w="1630" w:type="pct"/>
            <w:vMerge/>
          </w:tcPr>
          <w:p w14:paraId="123D6405" w14:textId="77777777" w:rsidR="00BC7B0B" w:rsidRPr="004D407A" w:rsidRDefault="00BC7B0B" w:rsidP="00687A41">
            <w:pPr>
              <w:pStyle w:val="BodyTextT"/>
            </w:pPr>
          </w:p>
        </w:tc>
        <w:tc>
          <w:tcPr>
            <w:tcW w:w="1365" w:type="pct"/>
          </w:tcPr>
          <w:p w14:paraId="5832CE2F" w14:textId="77777777" w:rsidR="00BC7B0B" w:rsidRPr="004D407A" w:rsidRDefault="00BC7B0B" w:rsidP="00526CCA">
            <w:pPr>
              <w:pStyle w:val="BodyTextT"/>
              <w:numPr>
                <w:ilvl w:val="2"/>
                <w:numId w:val="14"/>
              </w:numPr>
            </w:pPr>
            <w:r w:rsidRPr="004D407A">
              <w:t>Number of UHFWCs under e-MIS scale up</w:t>
            </w:r>
          </w:p>
        </w:tc>
        <w:tc>
          <w:tcPr>
            <w:tcW w:w="761" w:type="pct"/>
          </w:tcPr>
          <w:p w14:paraId="301CCE05" w14:textId="77777777" w:rsidR="00BC7B0B" w:rsidRPr="004D407A" w:rsidRDefault="00BC7B0B" w:rsidP="00687A41">
            <w:pPr>
              <w:pStyle w:val="BodyTextT"/>
            </w:pPr>
            <w:r w:rsidRPr="004D407A">
              <w:t>30</w:t>
            </w:r>
          </w:p>
        </w:tc>
        <w:tc>
          <w:tcPr>
            <w:tcW w:w="483" w:type="pct"/>
          </w:tcPr>
          <w:p w14:paraId="5C1873B3" w14:textId="77777777" w:rsidR="00BC7B0B" w:rsidRPr="004D407A" w:rsidRDefault="00BC7B0B" w:rsidP="00687A41">
            <w:pPr>
              <w:pStyle w:val="BodyTextT"/>
            </w:pPr>
            <w:r w:rsidRPr="004D407A">
              <w:t>2016, E-MIS / DGFP</w:t>
            </w:r>
          </w:p>
        </w:tc>
        <w:tc>
          <w:tcPr>
            <w:tcW w:w="761" w:type="pct"/>
          </w:tcPr>
          <w:p w14:paraId="311B8AB9" w14:textId="77777777" w:rsidR="00BC7B0B" w:rsidRPr="004D407A" w:rsidRDefault="00BC7B0B" w:rsidP="00687A41">
            <w:pPr>
              <w:pStyle w:val="BodyTextT"/>
            </w:pPr>
            <w:r w:rsidRPr="004D407A">
              <w:t>1,500</w:t>
            </w:r>
          </w:p>
        </w:tc>
      </w:tr>
      <w:tr w:rsidR="004D407A" w:rsidRPr="004D407A" w14:paraId="449F362A" w14:textId="77777777" w:rsidTr="00BC7B0B">
        <w:trPr>
          <w:cantSplit/>
        </w:trPr>
        <w:tc>
          <w:tcPr>
            <w:tcW w:w="1630" w:type="pct"/>
            <w:vMerge/>
          </w:tcPr>
          <w:p w14:paraId="537394D4" w14:textId="77777777" w:rsidR="00BC7B0B" w:rsidRPr="004D407A" w:rsidRDefault="00BC7B0B" w:rsidP="00687A41">
            <w:pPr>
              <w:pStyle w:val="BodyTextT"/>
            </w:pPr>
          </w:p>
        </w:tc>
        <w:tc>
          <w:tcPr>
            <w:tcW w:w="1365" w:type="pct"/>
          </w:tcPr>
          <w:p w14:paraId="14217CC8" w14:textId="77777777" w:rsidR="00BC7B0B" w:rsidRPr="004D407A" w:rsidRDefault="00BC7B0B" w:rsidP="00526CCA">
            <w:pPr>
              <w:pStyle w:val="BodyTextT"/>
              <w:numPr>
                <w:ilvl w:val="2"/>
                <w:numId w:val="14"/>
              </w:numPr>
            </w:pPr>
            <w:r w:rsidRPr="004D407A">
              <w:t>Number of districts implementing comprehensive maternal and newborn death review</w:t>
            </w:r>
          </w:p>
        </w:tc>
        <w:tc>
          <w:tcPr>
            <w:tcW w:w="761" w:type="pct"/>
          </w:tcPr>
          <w:p w14:paraId="63BCD07B" w14:textId="77777777" w:rsidR="00BC7B0B" w:rsidRPr="004D407A" w:rsidRDefault="00BC7B0B" w:rsidP="00687A41">
            <w:pPr>
              <w:pStyle w:val="BodyTextT"/>
            </w:pPr>
            <w:r w:rsidRPr="004D407A">
              <w:t>10</w:t>
            </w:r>
          </w:p>
        </w:tc>
        <w:tc>
          <w:tcPr>
            <w:tcW w:w="483" w:type="pct"/>
          </w:tcPr>
          <w:p w14:paraId="5D96F7FE" w14:textId="77777777" w:rsidR="00BC7B0B" w:rsidRPr="004D407A" w:rsidRDefault="00BC7B0B" w:rsidP="00687A41">
            <w:pPr>
              <w:pStyle w:val="BodyTextT"/>
            </w:pPr>
            <w:r w:rsidRPr="004D407A">
              <w:t>CIPRB / DGHS 2014</w:t>
            </w:r>
          </w:p>
        </w:tc>
        <w:tc>
          <w:tcPr>
            <w:tcW w:w="761" w:type="pct"/>
          </w:tcPr>
          <w:p w14:paraId="03B4A80A" w14:textId="77777777" w:rsidR="00BC7B0B" w:rsidRPr="004D407A" w:rsidRDefault="00BC7B0B" w:rsidP="00687A41">
            <w:pPr>
              <w:pStyle w:val="BodyTextT"/>
            </w:pPr>
            <w:r w:rsidRPr="004D407A">
              <w:t>64</w:t>
            </w:r>
          </w:p>
        </w:tc>
      </w:tr>
      <w:tr w:rsidR="004D407A" w:rsidRPr="004D407A" w14:paraId="7D3A5512" w14:textId="77777777" w:rsidTr="00BC7B0B">
        <w:trPr>
          <w:cantSplit/>
        </w:trPr>
        <w:tc>
          <w:tcPr>
            <w:tcW w:w="5000" w:type="pct"/>
            <w:gridSpan w:val="5"/>
            <w:shd w:val="clear" w:color="auto" w:fill="E2EFD9" w:themeFill="accent6" w:themeFillTint="33"/>
          </w:tcPr>
          <w:p w14:paraId="2AEDBB61" w14:textId="77777777" w:rsidR="00BC7B0B" w:rsidRPr="004D407A" w:rsidRDefault="00BC7B0B" w:rsidP="00526CCA">
            <w:pPr>
              <w:pStyle w:val="BodyTextT"/>
              <w:keepNext/>
              <w:numPr>
                <w:ilvl w:val="0"/>
                <w:numId w:val="14"/>
              </w:numPr>
              <w:rPr>
                <w:b/>
              </w:rPr>
            </w:pPr>
            <w:r w:rsidRPr="004D407A">
              <w:rPr>
                <w:b/>
              </w:rPr>
              <w:t>Quality basic services reach the disadvantaged population to progress towards UHC</w:t>
            </w:r>
          </w:p>
        </w:tc>
      </w:tr>
      <w:tr w:rsidR="004D407A" w:rsidRPr="004D407A" w14:paraId="261BE0FD" w14:textId="77777777" w:rsidTr="00BC7B0B">
        <w:trPr>
          <w:cantSplit/>
        </w:trPr>
        <w:tc>
          <w:tcPr>
            <w:tcW w:w="1630" w:type="pct"/>
            <w:vMerge w:val="restart"/>
          </w:tcPr>
          <w:p w14:paraId="41DE95C4" w14:textId="77777777" w:rsidR="00BC7B0B" w:rsidRPr="004D407A" w:rsidRDefault="00BC7B0B" w:rsidP="00526CCA">
            <w:pPr>
              <w:pStyle w:val="BodyTextT"/>
              <w:numPr>
                <w:ilvl w:val="1"/>
                <w:numId w:val="14"/>
              </w:numPr>
            </w:pPr>
            <w:r w:rsidRPr="004D407A">
              <w:t>Public health services strengthened to promote healthy behavior</w:t>
            </w:r>
          </w:p>
        </w:tc>
        <w:tc>
          <w:tcPr>
            <w:tcW w:w="1365" w:type="pct"/>
          </w:tcPr>
          <w:p w14:paraId="13244E5B" w14:textId="77777777" w:rsidR="00BC7B0B" w:rsidRPr="004D407A" w:rsidRDefault="00BC7B0B" w:rsidP="00526CCA">
            <w:pPr>
              <w:pStyle w:val="BodyTextT"/>
              <w:numPr>
                <w:ilvl w:val="2"/>
                <w:numId w:val="14"/>
              </w:numPr>
            </w:pPr>
            <w:r w:rsidRPr="004D407A">
              <w:t xml:space="preserve">% </w:t>
            </w:r>
            <w:proofErr w:type="gramStart"/>
            <w:r w:rsidRPr="004D407A">
              <w:t>of</w:t>
            </w:r>
            <w:proofErr w:type="gramEnd"/>
            <w:r w:rsidRPr="004D407A">
              <w:t xml:space="preserve"> newborn received essential newborn care (ENC)</w:t>
            </w:r>
          </w:p>
        </w:tc>
        <w:tc>
          <w:tcPr>
            <w:tcW w:w="761" w:type="pct"/>
          </w:tcPr>
          <w:p w14:paraId="72DEBDD7" w14:textId="77777777" w:rsidR="00BC7B0B" w:rsidRPr="004D407A" w:rsidRDefault="00BC7B0B" w:rsidP="00687A41">
            <w:pPr>
              <w:pStyle w:val="BodyTextT"/>
            </w:pPr>
            <w:r w:rsidRPr="004D407A">
              <w:t>6.1%</w:t>
            </w:r>
          </w:p>
        </w:tc>
        <w:tc>
          <w:tcPr>
            <w:tcW w:w="483" w:type="pct"/>
          </w:tcPr>
          <w:p w14:paraId="6625D791" w14:textId="77777777" w:rsidR="00BC7B0B" w:rsidRPr="004D407A" w:rsidRDefault="00BC7B0B" w:rsidP="00687A41">
            <w:pPr>
              <w:pStyle w:val="BodyTextT"/>
            </w:pPr>
            <w:r w:rsidRPr="004D407A">
              <w:t>BDHS 2014</w:t>
            </w:r>
          </w:p>
        </w:tc>
        <w:tc>
          <w:tcPr>
            <w:tcW w:w="761" w:type="pct"/>
          </w:tcPr>
          <w:p w14:paraId="54CBB642" w14:textId="77777777" w:rsidR="00BC7B0B" w:rsidRPr="004D407A" w:rsidRDefault="00BC7B0B" w:rsidP="00687A41">
            <w:pPr>
              <w:pStyle w:val="BodyTextT"/>
            </w:pPr>
            <w:r w:rsidRPr="004D407A">
              <w:t>25%</w:t>
            </w:r>
          </w:p>
        </w:tc>
      </w:tr>
      <w:tr w:rsidR="004D407A" w:rsidRPr="004D407A" w14:paraId="73521A4F" w14:textId="77777777" w:rsidTr="00BC7B0B">
        <w:trPr>
          <w:cantSplit/>
        </w:trPr>
        <w:tc>
          <w:tcPr>
            <w:tcW w:w="1630" w:type="pct"/>
            <w:vMerge/>
          </w:tcPr>
          <w:p w14:paraId="169309AD" w14:textId="77777777" w:rsidR="00BC7B0B" w:rsidRPr="004D407A" w:rsidRDefault="00BC7B0B" w:rsidP="00687A41">
            <w:pPr>
              <w:pStyle w:val="BodyTextT"/>
            </w:pPr>
          </w:p>
        </w:tc>
        <w:tc>
          <w:tcPr>
            <w:tcW w:w="1365" w:type="pct"/>
          </w:tcPr>
          <w:p w14:paraId="21E6FB6E" w14:textId="77777777" w:rsidR="00BC7B0B" w:rsidRPr="004D407A" w:rsidRDefault="00BC7B0B" w:rsidP="00526CCA">
            <w:pPr>
              <w:pStyle w:val="BodyTextT"/>
              <w:numPr>
                <w:ilvl w:val="2"/>
                <w:numId w:val="14"/>
              </w:numPr>
            </w:pPr>
            <w:r w:rsidRPr="004D407A">
              <w:t xml:space="preserve">% </w:t>
            </w:r>
            <w:proofErr w:type="gramStart"/>
            <w:r w:rsidRPr="004D407A">
              <w:t>of</w:t>
            </w:r>
            <w:proofErr w:type="gramEnd"/>
            <w:r w:rsidRPr="004D407A">
              <w:t xml:space="preserve"> infants age 6-23 month are fed with minimum acceptable diet</w:t>
            </w:r>
          </w:p>
        </w:tc>
        <w:tc>
          <w:tcPr>
            <w:tcW w:w="761" w:type="pct"/>
          </w:tcPr>
          <w:p w14:paraId="35486CAD" w14:textId="77777777" w:rsidR="00BC7B0B" w:rsidRPr="004D407A" w:rsidRDefault="00BC7B0B" w:rsidP="00687A41">
            <w:pPr>
              <w:pStyle w:val="BodyTextT"/>
            </w:pPr>
            <w:r w:rsidRPr="004D407A">
              <w:t>22%</w:t>
            </w:r>
          </w:p>
        </w:tc>
        <w:tc>
          <w:tcPr>
            <w:tcW w:w="483" w:type="pct"/>
          </w:tcPr>
          <w:p w14:paraId="367DE7CA" w14:textId="77777777" w:rsidR="00BC7B0B" w:rsidRPr="004D407A" w:rsidRDefault="00BC7B0B" w:rsidP="00687A41">
            <w:pPr>
              <w:pStyle w:val="BodyTextT"/>
            </w:pPr>
            <w:r w:rsidRPr="004D407A">
              <w:t>BDHS 2014</w:t>
            </w:r>
          </w:p>
        </w:tc>
        <w:tc>
          <w:tcPr>
            <w:tcW w:w="761" w:type="pct"/>
          </w:tcPr>
          <w:p w14:paraId="1731FA0A" w14:textId="77777777" w:rsidR="00BC7B0B" w:rsidRPr="004D407A" w:rsidRDefault="00BC7B0B" w:rsidP="00687A41">
            <w:pPr>
              <w:pStyle w:val="BodyTextT"/>
            </w:pPr>
            <w:r w:rsidRPr="004D407A">
              <w:t>4%</w:t>
            </w:r>
          </w:p>
        </w:tc>
      </w:tr>
      <w:tr w:rsidR="004D407A" w:rsidRPr="004D407A" w14:paraId="21198B10" w14:textId="77777777" w:rsidTr="00BC7B0B">
        <w:trPr>
          <w:cantSplit/>
        </w:trPr>
        <w:tc>
          <w:tcPr>
            <w:tcW w:w="1630" w:type="pct"/>
            <w:vMerge/>
          </w:tcPr>
          <w:p w14:paraId="2FC8503F" w14:textId="77777777" w:rsidR="00BC7B0B" w:rsidRPr="004D407A" w:rsidRDefault="00BC7B0B" w:rsidP="00687A41">
            <w:pPr>
              <w:pStyle w:val="BodyTextT"/>
            </w:pPr>
          </w:p>
        </w:tc>
        <w:tc>
          <w:tcPr>
            <w:tcW w:w="1365" w:type="pct"/>
          </w:tcPr>
          <w:p w14:paraId="32BB4AFE" w14:textId="77777777" w:rsidR="00BC7B0B" w:rsidRPr="004D407A" w:rsidRDefault="00BC7B0B" w:rsidP="00526CCA">
            <w:pPr>
              <w:pStyle w:val="BodyTextT"/>
              <w:numPr>
                <w:ilvl w:val="2"/>
                <w:numId w:val="14"/>
              </w:numPr>
            </w:pPr>
            <w:r w:rsidRPr="004D407A">
              <w:t xml:space="preserve">% </w:t>
            </w:r>
            <w:proofErr w:type="gramStart"/>
            <w:r w:rsidRPr="004D407A">
              <w:t>of</w:t>
            </w:r>
            <w:proofErr w:type="gramEnd"/>
            <w:r w:rsidRPr="004D407A">
              <w:t xml:space="preserve"> women age 15-19 who have begun childbearing</w:t>
            </w:r>
          </w:p>
        </w:tc>
        <w:tc>
          <w:tcPr>
            <w:tcW w:w="761" w:type="pct"/>
          </w:tcPr>
          <w:p w14:paraId="5638BE66" w14:textId="77777777" w:rsidR="00BC7B0B" w:rsidRPr="004D407A" w:rsidRDefault="00BC7B0B" w:rsidP="00687A41">
            <w:pPr>
              <w:pStyle w:val="BodyTextT"/>
            </w:pPr>
            <w:r w:rsidRPr="004D407A">
              <w:t>30.8%</w:t>
            </w:r>
          </w:p>
        </w:tc>
        <w:tc>
          <w:tcPr>
            <w:tcW w:w="483" w:type="pct"/>
          </w:tcPr>
          <w:p w14:paraId="59ED3DDF" w14:textId="77777777" w:rsidR="00BC7B0B" w:rsidRPr="004D407A" w:rsidRDefault="00BC7B0B" w:rsidP="00687A41">
            <w:pPr>
              <w:pStyle w:val="BodyTextT"/>
            </w:pPr>
            <w:r w:rsidRPr="004D407A">
              <w:t>BDHS 2014</w:t>
            </w:r>
          </w:p>
        </w:tc>
        <w:tc>
          <w:tcPr>
            <w:tcW w:w="761" w:type="pct"/>
          </w:tcPr>
          <w:p w14:paraId="7D6B86A6" w14:textId="77777777" w:rsidR="00BC7B0B" w:rsidRPr="004D407A" w:rsidRDefault="00BC7B0B" w:rsidP="00687A41">
            <w:pPr>
              <w:pStyle w:val="BodyTextT"/>
            </w:pPr>
            <w:r w:rsidRPr="004D407A">
              <w:t>25%</w:t>
            </w:r>
          </w:p>
        </w:tc>
      </w:tr>
      <w:tr w:rsidR="004D407A" w:rsidRPr="004D407A" w14:paraId="77514EBE" w14:textId="77777777" w:rsidTr="00BC7B0B">
        <w:trPr>
          <w:cantSplit/>
        </w:trPr>
        <w:tc>
          <w:tcPr>
            <w:tcW w:w="1630" w:type="pct"/>
            <w:vMerge/>
          </w:tcPr>
          <w:p w14:paraId="6BF8A8EC" w14:textId="77777777" w:rsidR="00BC7B0B" w:rsidRPr="004D407A" w:rsidRDefault="00BC7B0B" w:rsidP="00687A41">
            <w:pPr>
              <w:pStyle w:val="BodyTextT"/>
            </w:pPr>
          </w:p>
        </w:tc>
        <w:tc>
          <w:tcPr>
            <w:tcW w:w="1365" w:type="pct"/>
          </w:tcPr>
          <w:p w14:paraId="3D7543D8" w14:textId="77777777" w:rsidR="00BC7B0B" w:rsidRPr="004D407A" w:rsidRDefault="00BC7B0B" w:rsidP="00526CCA">
            <w:pPr>
              <w:pStyle w:val="BodyTextT"/>
              <w:numPr>
                <w:ilvl w:val="2"/>
                <w:numId w:val="14"/>
              </w:numPr>
            </w:pPr>
            <w:r w:rsidRPr="004D407A">
              <w:t xml:space="preserve">% </w:t>
            </w:r>
            <w:proofErr w:type="gramStart"/>
            <w:r w:rsidRPr="004D407A">
              <w:t>of</w:t>
            </w:r>
            <w:proofErr w:type="gramEnd"/>
            <w:r w:rsidRPr="004D407A">
              <w:t xml:space="preserve"> population of age 35 years or above use tobacco</w:t>
            </w:r>
          </w:p>
        </w:tc>
        <w:tc>
          <w:tcPr>
            <w:tcW w:w="761" w:type="pct"/>
          </w:tcPr>
          <w:p w14:paraId="56B894B4" w14:textId="77777777" w:rsidR="00BC7B0B" w:rsidRPr="004D407A" w:rsidRDefault="00BC7B0B" w:rsidP="00687A41">
            <w:pPr>
              <w:pStyle w:val="BodyTextT"/>
            </w:pPr>
            <w:r w:rsidRPr="004D407A">
              <w:t>51%</w:t>
            </w:r>
          </w:p>
        </w:tc>
        <w:tc>
          <w:tcPr>
            <w:tcW w:w="483" w:type="pct"/>
          </w:tcPr>
          <w:p w14:paraId="022D9210" w14:textId="77777777" w:rsidR="00BC7B0B" w:rsidRPr="004D407A" w:rsidRDefault="00BC7B0B" w:rsidP="00687A41">
            <w:pPr>
              <w:pStyle w:val="BodyTextT"/>
            </w:pPr>
            <w:r w:rsidRPr="004D407A">
              <w:t>NCD-RF</w:t>
            </w:r>
          </w:p>
        </w:tc>
        <w:tc>
          <w:tcPr>
            <w:tcW w:w="761" w:type="pct"/>
          </w:tcPr>
          <w:p w14:paraId="29492D08" w14:textId="77777777" w:rsidR="00BC7B0B" w:rsidRPr="004D407A" w:rsidRDefault="00BC7B0B" w:rsidP="00687A41">
            <w:pPr>
              <w:pStyle w:val="BodyTextT"/>
            </w:pPr>
            <w:r w:rsidRPr="004D407A">
              <w:t>45%</w:t>
            </w:r>
          </w:p>
        </w:tc>
      </w:tr>
      <w:tr w:rsidR="004D407A" w:rsidRPr="004D407A" w14:paraId="4BADA37F" w14:textId="77777777" w:rsidTr="00BC7B0B">
        <w:trPr>
          <w:cantSplit/>
        </w:trPr>
        <w:tc>
          <w:tcPr>
            <w:tcW w:w="1630" w:type="pct"/>
            <w:vMerge w:val="restart"/>
          </w:tcPr>
          <w:p w14:paraId="0546C0C5" w14:textId="77777777" w:rsidR="00BC7B0B" w:rsidRPr="004D407A" w:rsidRDefault="00BC7B0B" w:rsidP="00526CCA">
            <w:pPr>
              <w:pStyle w:val="BodyTextT"/>
              <w:numPr>
                <w:ilvl w:val="1"/>
                <w:numId w:val="14"/>
              </w:numPr>
            </w:pPr>
            <w:r w:rsidRPr="004D407A">
              <w:t>Equitable coverage of ESP ensured</w:t>
            </w:r>
          </w:p>
        </w:tc>
        <w:tc>
          <w:tcPr>
            <w:tcW w:w="1365" w:type="pct"/>
          </w:tcPr>
          <w:p w14:paraId="065DEEDB" w14:textId="77777777" w:rsidR="00BC7B0B" w:rsidRPr="004D407A" w:rsidRDefault="00BC7B0B" w:rsidP="00526CCA">
            <w:pPr>
              <w:pStyle w:val="BodyTextT"/>
              <w:numPr>
                <w:ilvl w:val="2"/>
                <w:numId w:val="14"/>
              </w:numPr>
            </w:pPr>
            <w:r w:rsidRPr="004D407A">
              <w:t>Contraceptive prevalence rate (CPR)</w:t>
            </w:r>
          </w:p>
        </w:tc>
        <w:tc>
          <w:tcPr>
            <w:tcW w:w="761" w:type="pct"/>
          </w:tcPr>
          <w:p w14:paraId="5CA0FE41" w14:textId="77777777" w:rsidR="00BC7B0B" w:rsidRPr="004D407A" w:rsidRDefault="00BC7B0B" w:rsidP="00687A41">
            <w:pPr>
              <w:pStyle w:val="BodyTextT"/>
            </w:pPr>
            <w:r w:rsidRPr="004D407A">
              <w:t>62.4%</w:t>
            </w:r>
          </w:p>
        </w:tc>
        <w:tc>
          <w:tcPr>
            <w:tcW w:w="483" w:type="pct"/>
          </w:tcPr>
          <w:p w14:paraId="2746F462" w14:textId="77777777" w:rsidR="00BC7B0B" w:rsidRPr="004D407A" w:rsidRDefault="00BC7B0B" w:rsidP="00687A41">
            <w:pPr>
              <w:pStyle w:val="BodyTextT"/>
            </w:pPr>
            <w:r w:rsidRPr="004D407A">
              <w:t>BDHS 2014</w:t>
            </w:r>
          </w:p>
        </w:tc>
        <w:tc>
          <w:tcPr>
            <w:tcW w:w="761" w:type="pct"/>
          </w:tcPr>
          <w:p w14:paraId="681A153D" w14:textId="77777777" w:rsidR="00BC7B0B" w:rsidRPr="004D407A" w:rsidRDefault="00BC7B0B" w:rsidP="00687A41">
            <w:pPr>
              <w:pStyle w:val="BodyTextT"/>
            </w:pPr>
            <w:r w:rsidRPr="004D407A">
              <w:t>75%</w:t>
            </w:r>
          </w:p>
        </w:tc>
      </w:tr>
      <w:tr w:rsidR="004D407A" w:rsidRPr="004D407A" w14:paraId="14D49884" w14:textId="77777777" w:rsidTr="00BC7B0B">
        <w:trPr>
          <w:cantSplit/>
        </w:trPr>
        <w:tc>
          <w:tcPr>
            <w:tcW w:w="1630" w:type="pct"/>
            <w:vMerge/>
          </w:tcPr>
          <w:p w14:paraId="5F660CE9" w14:textId="77777777" w:rsidR="00BC7B0B" w:rsidRPr="004D407A" w:rsidRDefault="00BC7B0B" w:rsidP="00687A41">
            <w:pPr>
              <w:pStyle w:val="BodyTextT"/>
            </w:pPr>
          </w:p>
        </w:tc>
        <w:tc>
          <w:tcPr>
            <w:tcW w:w="1365" w:type="pct"/>
          </w:tcPr>
          <w:p w14:paraId="690A3550" w14:textId="77777777" w:rsidR="00BC7B0B" w:rsidRPr="004D407A" w:rsidRDefault="00BC7B0B" w:rsidP="00526CCA">
            <w:pPr>
              <w:pStyle w:val="BodyTextT"/>
              <w:numPr>
                <w:ilvl w:val="2"/>
                <w:numId w:val="14"/>
              </w:numPr>
            </w:pPr>
            <w:r w:rsidRPr="004D407A">
              <w:t>CPR (modern methods) in lagging regions</w:t>
            </w:r>
          </w:p>
        </w:tc>
        <w:tc>
          <w:tcPr>
            <w:tcW w:w="761" w:type="pct"/>
          </w:tcPr>
          <w:p w14:paraId="47AC22C4" w14:textId="77777777" w:rsidR="00BC7B0B" w:rsidRPr="004D407A" w:rsidRDefault="00BC7B0B" w:rsidP="00687A41">
            <w:pPr>
              <w:pStyle w:val="BodyTextT"/>
            </w:pPr>
            <w:r w:rsidRPr="004D407A">
              <w:t xml:space="preserve">Syl: 49.9%, </w:t>
            </w:r>
            <w:proofErr w:type="spellStart"/>
            <w:r w:rsidRPr="004D407A">
              <w:t>Ctg</w:t>
            </w:r>
            <w:proofErr w:type="spellEnd"/>
            <w:r w:rsidRPr="004D407A">
              <w:t xml:space="preserve"> 47.2%</w:t>
            </w:r>
          </w:p>
        </w:tc>
        <w:tc>
          <w:tcPr>
            <w:tcW w:w="483" w:type="pct"/>
          </w:tcPr>
          <w:p w14:paraId="31BE97D7" w14:textId="77777777" w:rsidR="00BC7B0B" w:rsidRPr="004D407A" w:rsidRDefault="00BC7B0B" w:rsidP="00687A41">
            <w:pPr>
              <w:pStyle w:val="BodyTextT"/>
            </w:pPr>
            <w:r w:rsidRPr="004D407A">
              <w:t>BDHS 2014</w:t>
            </w:r>
          </w:p>
        </w:tc>
        <w:tc>
          <w:tcPr>
            <w:tcW w:w="761" w:type="pct"/>
          </w:tcPr>
          <w:p w14:paraId="77D3D663" w14:textId="77777777" w:rsidR="00BC7B0B" w:rsidRPr="004D407A" w:rsidRDefault="00BC7B0B" w:rsidP="00687A41">
            <w:pPr>
              <w:pStyle w:val="BodyTextT"/>
            </w:pPr>
            <w:r w:rsidRPr="004D407A">
              <w:t>60%</w:t>
            </w:r>
          </w:p>
        </w:tc>
      </w:tr>
      <w:tr w:rsidR="004D407A" w:rsidRPr="004D407A" w14:paraId="5822787F" w14:textId="77777777" w:rsidTr="00BC7B0B">
        <w:trPr>
          <w:cantSplit/>
        </w:trPr>
        <w:tc>
          <w:tcPr>
            <w:tcW w:w="1630" w:type="pct"/>
            <w:vMerge/>
          </w:tcPr>
          <w:p w14:paraId="3AEBBFDE" w14:textId="77777777" w:rsidR="00BC7B0B" w:rsidRPr="004D407A" w:rsidRDefault="00BC7B0B" w:rsidP="00687A41">
            <w:pPr>
              <w:pStyle w:val="BodyTextT"/>
            </w:pPr>
          </w:p>
        </w:tc>
        <w:tc>
          <w:tcPr>
            <w:tcW w:w="1365" w:type="pct"/>
          </w:tcPr>
          <w:p w14:paraId="012C7F2B" w14:textId="77777777" w:rsidR="00BC7B0B" w:rsidRPr="004D407A" w:rsidRDefault="00BC7B0B" w:rsidP="00526CCA">
            <w:pPr>
              <w:pStyle w:val="BodyTextT"/>
              <w:numPr>
                <w:ilvl w:val="2"/>
                <w:numId w:val="14"/>
              </w:numPr>
            </w:pPr>
            <w:r w:rsidRPr="004D407A">
              <w:t>Antenatal care coverage (at least 4 visits)</w:t>
            </w:r>
          </w:p>
        </w:tc>
        <w:tc>
          <w:tcPr>
            <w:tcW w:w="761" w:type="pct"/>
          </w:tcPr>
          <w:p w14:paraId="23174E18" w14:textId="77777777" w:rsidR="00BC7B0B" w:rsidRPr="004D407A" w:rsidRDefault="00BC7B0B" w:rsidP="00687A41">
            <w:pPr>
              <w:pStyle w:val="BodyTextT"/>
            </w:pPr>
            <w:r w:rsidRPr="004D407A">
              <w:t>31.2%</w:t>
            </w:r>
          </w:p>
        </w:tc>
        <w:tc>
          <w:tcPr>
            <w:tcW w:w="483" w:type="pct"/>
          </w:tcPr>
          <w:p w14:paraId="501BAE69" w14:textId="77777777" w:rsidR="00BC7B0B" w:rsidRPr="004D407A" w:rsidRDefault="00BC7B0B" w:rsidP="00687A41">
            <w:pPr>
              <w:pStyle w:val="BodyTextT"/>
            </w:pPr>
            <w:r w:rsidRPr="004D407A">
              <w:t>BDHS 2014</w:t>
            </w:r>
          </w:p>
        </w:tc>
        <w:tc>
          <w:tcPr>
            <w:tcW w:w="761" w:type="pct"/>
          </w:tcPr>
          <w:p w14:paraId="50FEC042" w14:textId="77777777" w:rsidR="00BC7B0B" w:rsidRPr="004D407A" w:rsidRDefault="00BC7B0B" w:rsidP="00687A41">
            <w:pPr>
              <w:pStyle w:val="BodyTextT"/>
            </w:pPr>
            <w:r w:rsidRPr="004D407A">
              <w:t>50%</w:t>
            </w:r>
          </w:p>
        </w:tc>
      </w:tr>
      <w:tr w:rsidR="004D407A" w:rsidRPr="004D407A" w14:paraId="143ED6B1" w14:textId="77777777" w:rsidTr="00BC7B0B">
        <w:trPr>
          <w:cantSplit/>
        </w:trPr>
        <w:tc>
          <w:tcPr>
            <w:tcW w:w="1630" w:type="pct"/>
            <w:vMerge/>
          </w:tcPr>
          <w:p w14:paraId="3D7575C8" w14:textId="77777777" w:rsidR="00BC7B0B" w:rsidRPr="004D407A" w:rsidRDefault="00BC7B0B" w:rsidP="00687A41">
            <w:pPr>
              <w:pStyle w:val="BodyTextT"/>
            </w:pPr>
          </w:p>
        </w:tc>
        <w:tc>
          <w:tcPr>
            <w:tcW w:w="1365" w:type="pct"/>
          </w:tcPr>
          <w:p w14:paraId="5E3444BC" w14:textId="77777777" w:rsidR="00BC7B0B" w:rsidRPr="004D407A" w:rsidRDefault="00BC7B0B" w:rsidP="00526CCA">
            <w:pPr>
              <w:pStyle w:val="BodyTextT"/>
              <w:numPr>
                <w:ilvl w:val="2"/>
                <w:numId w:val="14"/>
              </w:numPr>
            </w:pPr>
            <w:r w:rsidRPr="004D407A">
              <w:t xml:space="preserve">% </w:t>
            </w:r>
            <w:proofErr w:type="gramStart"/>
            <w:r w:rsidRPr="004D407A">
              <w:t>of</w:t>
            </w:r>
            <w:proofErr w:type="gramEnd"/>
            <w:r w:rsidRPr="004D407A">
              <w:t xml:space="preserve"> delivery attended by skilled birth attendant (SBA)</w:t>
            </w:r>
          </w:p>
        </w:tc>
        <w:tc>
          <w:tcPr>
            <w:tcW w:w="761" w:type="pct"/>
          </w:tcPr>
          <w:p w14:paraId="163DBA4A" w14:textId="77777777" w:rsidR="00BC7B0B" w:rsidRPr="004D407A" w:rsidRDefault="00BC7B0B" w:rsidP="00687A41">
            <w:pPr>
              <w:pStyle w:val="BodyTextT"/>
            </w:pPr>
            <w:r w:rsidRPr="004D407A">
              <w:t>42.1%</w:t>
            </w:r>
          </w:p>
        </w:tc>
        <w:tc>
          <w:tcPr>
            <w:tcW w:w="483" w:type="pct"/>
          </w:tcPr>
          <w:p w14:paraId="59206220" w14:textId="77777777" w:rsidR="00BC7B0B" w:rsidRPr="004D407A" w:rsidRDefault="00BC7B0B" w:rsidP="00687A41">
            <w:pPr>
              <w:pStyle w:val="BodyTextT"/>
            </w:pPr>
            <w:r w:rsidRPr="004D407A">
              <w:t>BDHS 2014</w:t>
            </w:r>
          </w:p>
        </w:tc>
        <w:tc>
          <w:tcPr>
            <w:tcW w:w="761" w:type="pct"/>
          </w:tcPr>
          <w:p w14:paraId="4A615D23" w14:textId="77777777" w:rsidR="00BC7B0B" w:rsidRPr="004D407A" w:rsidRDefault="00BC7B0B" w:rsidP="00687A41">
            <w:pPr>
              <w:pStyle w:val="BodyTextT"/>
            </w:pPr>
            <w:r w:rsidRPr="004D407A">
              <w:t>65%</w:t>
            </w:r>
          </w:p>
        </w:tc>
      </w:tr>
      <w:tr w:rsidR="004D407A" w:rsidRPr="004D407A" w14:paraId="5D3F98CA" w14:textId="77777777" w:rsidTr="00BC7B0B">
        <w:trPr>
          <w:cantSplit/>
        </w:trPr>
        <w:tc>
          <w:tcPr>
            <w:tcW w:w="1630" w:type="pct"/>
            <w:vMerge/>
          </w:tcPr>
          <w:p w14:paraId="49BF0902" w14:textId="77777777" w:rsidR="00BC7B0B" w:rsidRPr="004D407A" w:rsidRDefault="00BC7B0B" w:rsidP="00687A41">
            <w:pPr>
              <w:pStyle w:val="BodyTextT"/>
            </w:pPr>
          </w:p>
        </w:tc>
        <w:tc>
          <w:tcPr>
            <w:tcW w:w="1365" w:type="pct"/>
          </w:tcPr>
          <w:p w14:paraId="40C98138" w14:textId="77777777" w:rsidR="00BC7B0B" w:rsidRPr="004D407A" w:rsidRDefault="00BC7B0B" w:rsidP="00526CCA">
            <w:pPr>
              <w:pStyle w:val="BodyTextT"/>
              <w:numPr>
                <w:ilvl w:val="2"/>
                <w:numId w:val="14"/>
              </w:numPr>
            </w:pPr>
            <w:r w:rsidRPr="004D407A">
              <w:t xml:space="preserve">% </w:t>
            </w:r>
            <w:proofErr w:type="gramStart"/>
            <w:r w:rsidRPr="004D407A">
              <w:t>mothers</w:t>
            </w:r>
            <w:proofErr w:type="gramEnd"/>
            <w:r w:rsidRPr="004D407A">
              <w:t xml:space="preserve"> with non-institutional deliveries receiving postnatal care from a medical trained provider within 2 days of delivery</w:t>
            </w:r>
          </w:p>
        </w:tc>
        <w:tc>
          <w:tcPr>
            <w:tcW w:w="761" w:type="pct"/>
          </w:tcPr>
          <w:p w14:paraId="0D6F25FA" w14:textId="77777777" w:rsidR="00BC7B0B" w:rsidRPr="004D407A" w:rsidRDefault="00BC7B0B" w:rsidP="00687A41">
            <w:pPr>
              <w:pStyle w:val="BodyTextT"/>
            </w:pPr>
            <w:r w:rsidRPr="004D407A">
              <w:t>5.4%</w:t>
            </w:r>
          </w:p>
        </w:tc>
        <w:tc>
          <w:tcPr>
            <w:tcW w:w="483" w:type="pct"/>
          </w:tcPr>
          <w:p w14:paraId="7C10991F" w14:textId="77777777" w:rsidR="00BC7B0B" w:rsidRPr="004D407A" w:rsidRDefault="00BC7B0B" w:rsidP="00687A41">
            <w:pPr>
              <w:pStyle w:val="BodyTextT"/>
            </w:pPr>
            <w:r w:rsidRPr="004D407A">
              <w:t>BDHS 2014</w:t>
            </w:r>
          </w:p>
        </w:tc>
        <w:tc>
          <w:tcPr>
            <w:tcW w:w="761" w:type="pct"/>
          </w:tcPr>
          <w:p w14:paraId="23CF2809" w14:textId="77777777" w:rsidR="00BC7B0B" w:rsidRPr="004D407A" w:rsidRDefault="00BC7B0B" w:rsidP="00687A41">
            <w:pPr>
              <w:pStyle w:val="BodyTextT"/>
            </w:pPr>
            <w:r w:rsidRPr="004D407A">
              <w:t>100%</w:t>
            </w:r>
          </w:p>
        </w:tc>
      </w:tr>
      <w:tr w:rsidR="004D407A" w:rsidRPr="004D407A" w14:paraId="53120155" w14:textId="77777777" w:rsidTr="00BC7B0B">
        <w:trPr>
          <w:cantSplit/>
        </w:trPr>
        <w:tc>
          <w:tcPr>
            <w:tcW w:w="1630" w:type="pct"/>
            <w:vMerge/>
          </w:tcPr>
          <w:p w14:paraId="6BD56E13" w14:textId="77777777" w:rsidR="00BC7B0B" w:rsidRPr="004D407A" w:rsidRDefault="00BC7B0B" w:rsidP="00687A41">
            <w:pPr>
              <w:pStyle w:val="BodyTextT"/>
            </w:pPr>
          </w:p>
        </w:tc>
        <w:tc>
          <w:tcPr>
            <w:tcW w:w="1365" w:type="pct"/>
          </w:tcPr>
          <w:p w14:paraId="75ECAFEE" w14:textId="21DE4316" w:rsidR="00BC7B0B" w:rsidRPr="004D407A" w:rsidRDefault="00BC7B0B" w:rsidP="00526CCA">
            <w:pPr>
              <w:pStyle w:val="BodyTextT"/>
              <w:numPr>
                <w:ilvl w:val="2"/>
                <w:numId w:val="14"/>
              </w:numPr>
            </w:pPr>
            <w:r w:rsidRPr="004D407A">
              <w:t>Ratio of birth in health facilities of the rich wealth quintile to the poorest quintile (Q1-Q5)</w:t>
            </w:r>
          </w:p>
        </w:tc>
        <w:tc>
          <w:tcPr>
            <w:tcW w:w="761" w:type="pct"/>
          </w:tcPr>
          <w:p w14:paraId="1426465C" w14:textId="77777777" w:rsidR="00BC7B0B" w:rsidRPr="004D407A" w:rsidRDefault="00BC7B0B" w:rsidP="00687A41">
            <w:pPr>
              <w:pStyle w:val="BodyTextT"/>
            </w:pPr>
            <w:r w:rsidRPr="004D407A">
              <w:t>14.9</w:t>
            </w:r>
            <w:proofErr w:type="gramStart"/>
            <w:r w:rsidRPr="004D407A">
              <w:t>% :</w:t>
            </w:r>
            <w:proofErr w:type="gramEnd"/>
            <w:r w:rsidRPr="004D407A">
              <w:t xml:space="preserve"> 70.2% = 1: 4.7</w:t>
            </w:r>
          </w:p>
        </w:tc>
        <w:tc>
          <w:tcPr>
            <w:tcW w:w="483" w:type="pct"/>
          </w:tcPr>
          <w:p w14:paraId="1B65E581" w14:textId="77777777" w:rsidR="00BC7B0B" w:rsidRPr="004D407A" w:rsidRDefault="00BC7B0B" w:rsidP="00687A41">
            <w:pPr>
              <w:pStyle w:val="BodyTextT"/>
            </w:pPr>
            <w:r w:rsidRPr="004D407A">
              <w:t>BDHS 2014</w:t>
            </w:r>
          </w:p>
        </w:tc>
        <w:tc>
          <w:tcPr>
            <w:tcW w:w="761" w:type="pct"/>
          </w:tcPr>
          <w:p w14:paraId="2F22548A" w14:textId="77777777" w:rsidR="00BC7B0B" w:rsidRPr="004D407A" w:rsidRDefault="00BC7B0B" w:rsidP="00687A41">
            <w:pPr>
              <w:pStyle w:val="BodyTextT"/>
            </w:pPr>
            <w:proofErr w:type="gramStart"/>
            <w:r w:rsidRPr="004D407A">
              <w:t>1 :</w:t>
            </w:r>
            <w:proofErr w:type="gramEnd"/>
            <w:r w:rsidRPr="004D407A">
              <w:t xml:space="preserve"> 3.5</w:t>
            </w:r>
          </w:p>
        </w:tc>
      </w:tr>
      <w:tr w:rsidR="004D407A" w:rsidRPr="004D407A" w14:paraId="57E9B621" w14:textId="77777777" w:rsidTr="00BC7B0B">
        <w:trPr>
          <w:cantSplit/>
        </w:trPr>
        <w:tc>
          <w:tcPr>
            <w:tcW w:w="1630" w:type="pct"/>
            <w:vMerge/>
          </w:tcPr>
          <w:p w14:paraId="74C9F37E" w14:textId="77777777" w:rsidR="00BC7B0B" w:rsidRPr="004D407A" w:rsidRDefault="00BC7B0B" w:rsidP="00687A41">
            <w:pPr>
              <w:pStyle w:val="BodyTextT"/>
            </w:pPr>
          </w:p>
        </w:tc>
        <w:tc>
          <w:tcPr>
            <w:tcW w:w="1365" w:type="pct"/>
          </w:tcPr>
          <w:p w14:paraId="028F0BE8" w14:textId="77777777" w:rsidR="00BC7B0B" w:rsidRPr="004D407A" w:rsidRDefault="00BC7B0B" w:rsidP="00526CCA">
            <w:pPr>
              <w:pStyle w:val="BodyTextT"/>
              <w:numPr>
                <w:ilvl w:val="2"/>
                <w:numId w:val="14"/>
              </w:numPr>
            </w:pPr>
            <w:r w:rsidRPr="004D407A">
              <w:t xml:space="preserve">% </w:t>
            </w:r>
            <w:proofErr w:type="gramStart"/>
            <w:r w:rsidRPr="004D407A">
              <w:t>of</w:t>
            </w:r>
            <w:proofErr w:type="gramEnd"/>
            <w:r w:rsidRPr="004D407A">
              <w:t xml:space="preserve"> public health facilities/public service delivery points without stock-out of essential medicines/FP supplies</w:t>
            </w:r>
          </w:p>
        </w:tc>
        <w:tc>
          <w:tcPr>
            <w:tcW w:w="761" w:type="pct"/>
          </w:tcPr>
          <w:p w14:paraId="44C882BF" w14:textId="77777777" w:rsidR="00BC7B0B" w:rsidRPr="004D407A" w:rsidRDefault="00BC7B0B" w:rsidP="00687A41">
            <w:pPr>
              <w:pStyle w:val="BodyTextT"/>
            </w:pPr>
            <w:r w:rsidRPr="004D407A">
              <w:t>Drugs: 66%, FP Methods: &gt;98%</w:t>
            </w:r>
          </w:p>
        </w:tc>
        <w:tc>
          <w:tcPr>
            <w:tcW w:w="483" w:type="pct"/>
          </w:tcPr>
          <w:p w14:paraId="5B4CAD75" w14:textId="77777777" w:rsidR="00BC7B0B" w:rsidRPr="004D407A" w:rsidRDefault="00BC7B0B" w:rsidP="00687A41">
            <w:pPr>
              <w:pStyle w:val="BodyTextT"/>
            </w:pPr>
            <w:r w:rsidRPr="004D407A">
              <w:t>BHFS 2014</w:t>
            </w:r>
          </w:p>
        </w:tc>
        <w:tc>
          <w:tcPr>
            <w:tcW w:w="761" w:type="pct"/>
          </w:tcPr>
          <w:p w14:paraId="27A74AB4" w14:textId="77777777" w:rsidR="00BC7B0B" w:rsidRPr="004D407A" w:rsidRDefault="00BC7B0B" w:rsidP="00687A41">
            <w:pPr>
              <w:pStyle w:val="BodyTextT"/>
            </w:pPr>
            <w:r w:rsidRPr="004D407A">
              <w:t>Drugs: 75%, FP methods &gt;98%</w:t>
            </w:r>
          </w:p>
        </w:tc>
      </w:tr>
      <w:tr w:rsidR="004D407A" w:rsidRPr="004D407A" w14:paraId="15888CBC" w14:textId="77777777" w:rsidTr="00BC7B0B">
        <w:trPr>
          <w:cantSplit/>
        </w:trPr>
        <w:tc>
          <w:tcPr>
            <w:tcW w:w="1630" w:type="pct"/>
            <w:vMerge/>
          </w:tcPr>
          <w:p w14:paraId="3BFCE88E" w14:textId="77777777" w:rsidR="00BC7B0B" w:rsidRPr="004D407A" w:rsidRDefault="00BC7B0B" w:rsidP="00687A41">
            <w:pPr>
              <w:pStyle w:val="BodyTextT"/>
            </w:pPr>
          </w:p>
        </w:tc>
        <w:tc>
          <w:tcPr>
            <w:tcW w:w="1365" w:type="pct"/>
          </w:tcPr>
          <w:p w14:paraId="70725DE2" w14:textId="77777777" w:rsidR="00BC7B0B" w:rsidRPr="004D407A" w:rsidRDefault="00BC7B0B" w:rsidP="00526CCA">
            <w:pPr>
              <w:pStyle w:val="BodyTextT"/>
              <w:numPr>
                <w:ilvl w:val="2"/>
                <w:numId w:val="14"/>
              </w:numPr>
            </w:pPr>
            <w:r w:rsidRPr="004D407A">
              <w:t>Tuberculosis case detection rate</w:t>
            </w:r>
          </w:p>
        </w:tc>
        <w:tc>
          <w:tcPr>
            <w:tcW w:w="761" w:type="pct"/>
          </w:tcPr>
          <w:p w14:paraId="6E88A02F" w14:textId="77777777" w:rsidR="00BC7B0B" w:rsidRPr="004D407A" w:rsidRDefault="00BC7B0B" w:rsidP="00687A41">
            <w:pPr>
              <w:pStyle w:val="BodyTextT"/>
            </w:pPr>
            <w:r w:rsidRPr="004D407A">
              <w:t>53%</w:t>
            </w:r>
          </w:p>
        </w:tc>
        <w:tc>
          <w:tcPr>
            <w:tcW w:w="483" w:type="pct"/>
          </w:tcPr>
          <w:p w14:paraId="0A76194C" w14:textId="77777777" w:rsidR="00BC7B0B" w:rsidRPr="004D407A" w:rsidRDefault="00BC7B0B" w:rsidP="00687A41">
            <w:pPr>
              <w:pStyle w:val="BodyTextT"/>
            </w:pPr>
            <w:r w:rsidRPr="004D407A">
              <w:t>GTBR</w:t>
            </w:r>
          </w:p>
        </w:tc>
        <w:tc>
          <w:tcPr>
            <w:tcW w:w="761" w:type="pct"/>
          </w:tcPr>
          <w:p w14:paraId="6FB53393" w14:textId="77777777" w:rsidR="00BC7B0B" w:rsidRPr="004D407A" w:rsidRDefault="00BC7B0B" w:rsidP="00687A41">
            <w:pPr>
              <w:pStyle w:val="BodyTextT"/>
            </w:pPr>
            <w:r w:rsidRPr="004D407A">
              <w:t>75%</w:t>
            </w:r>
          </w:p>
        </w:tc>
      </w:tr>
      <w:tr w:rsidR="004D407A" w:rsidRPr="004D407A" w14:paraId="6053A755" w14:textId="77777777" w:rsidTr="00BC7B0B">
        <w:trPr>
          <w:cantSplit/>
        </w:trPr>
        <w:tc>
          <w:tcPr>
            <w:tcW w:w="1630" w:type="pct"/>
            <w:vMerge/>
          </w:tcPr>
          <w:p w14:paraId="328BC55D" w14:textId="77777777" w:rsidR="00BC7B0B" w:rsidRPr="004D407A" w:rsidRDefault="00BC7B0B" w:rsidP="00687A41">
            <w:pPr>
              <w:pStyle w:val="BodyTextT"/>
            </w:pPr>
          </w:p>
        </w:tc>
        <w:tc>
          <w:tcPr>
            <w:tcW w:w="1365" w:type="pct"/>
            <w:shd w:val="clear" w:color="auto" w:fill="FBE4D5" w:themeFill="accent2" w:themeFillTint="33"/>
          </w:tcPr>
          <w:p w14:paraId="371F5C0C" w14:textId="77777777" w:rsidR="00BC7B0B" w:rsidRPr="004D407A" w:rsidRDefault="00BC7B0B" w:rsidP="00526CCA">
            <w:pPr>
              <w:pStyle w:val="BodyTextT"/>
              <w:numPr>
                <w:ilvl w:val="2"/>
                <w:numId w:val="14"/>
              </w:numPr>
            </w:pPr>
            <w:r w:rsidRPr="004D407A">
              <w:t>Measles-Rubella (MR) immunization coverage among children under 12 months</w:t>
            </w:r>
          </w:p>
        </w:tc>
        <w:tc>
          <w:tcPr>
            <w:tcW w:w="761" w:type="pct"/>
            <w:shd w:val="clear" w:color="auto" w:fill="FBE4D5" w:themeFill="accent2" w:themeFillTint="33"/>
          </w:tcPr>
          <w:p w14:paraId="491B1B57" w14:textId="77777777" w:rsidR="00BC7B0B" w:rsidRPr="004D407A" w:rsidRDefault="00BC7B0B" w:rsidP="00687A41">
            <w:pPr>
              <w:pStyle w:val="BodyTextT"/>
            </w:pPr>
            <w:r w:rsidRPr="004D407A">
              <w:t>86.6%</w:t>
            </w:r>
          </w:p>
        </w:tc>
        <w:tc>
          <w:tcPr>
            <w:tcW w:w="483" w:type="pct"/>
            <w:shd w:val="clear" w:color="auto" w:fill="FBE4D5" w:themeFill="accent2" w:themeFillTint="33"/>
          </w:tcPr>
          <w:p w14:paraId="2FF4B06C" w14:textId="77777777" w:rsidR="00BC7B0B" w:rsidRPr="004D407A" w:rsidRDefault="00BC7B0B" w:rsidP="00687A41">
            <w:pPr>
              <w:pStyle w:val="BodyTextT"/>
            </w:pPr>
            <w:r w:rsidRPr="004D407A">
              <w:t>CES 2014</w:t>
            </w:r>
          </w:p>
        </w:tc>
        <w:tc>
          <w:tcPr>
            <w:tcW w:w="761" w:type="pct"/>
            <w:shd w:val="clear" w:color="auto" w:fill="FBE4D5" w:themeFill="accent2" w:themeFillTint="33"/>
          </w:tcPr>
          <w:p w14:paraId="5920F494" w14:textId="77777777" w:rsidR="00BC7B0B" w:rsidRPr="004D407A" w:rsidRDefault="00BC7B0B" w:rsidP="00687A41">
            <w:pPr>
              <w:pStyle w:val="BodyTextT"/>
            </w:pPr>
            <w:r w:rsidRPr="004D407A">
              <w:t>90%</w:t>
            </w:r>
          </w:p>
        </w:tc>
      </w:tr>
      <w:tr w:rsidR="004D407A" w:rsidRPr="004D407A" w14:paraId="5354F194" w14:textId="77777777" w:rsidTr="00BC7B0B">
        <w:trPr>
          <w:cantSplit/>
        </w:trPr>
        <w:tc>
          <w:tcPr>
            <w:tcW w:w="1630" w:type="pct"/>
          </w:tcPr>
          <w:p w14:paraId="0447525B" w14:textId="77777777" w:rsidR="00BC7B0B" w:rsidRPr="004D407A" w:rsidRDefault="00BC7B0B" w:rsidP="00526CCA">
            <w:pPr>
              <w:pStyle w:val="BodyTextT"/>
              <w:numPr>
                <w:ilvl w:val="1"/>
                <w:numId w:val="14"/>
              </w:numPr>
            </w:pPr>
            <w:r w:rsidRPr="004D407A">
              <w:t>Quality of care improved</w:t>
            </w:r>
          </w:p>
        </w:tc>
        <w:tc>
          <w:tcPr>
            <w:tcW w:w="1365" w:type="pct"/>
          </w:tcPr>
          <w:p w14:paraId="3F2F24CE" w14:textId="6C64C99A" w:rsidR="00BC7B0B" w:rsidRPr="004D407A" w:rsidRDefault="00BC7B0B" w:rsidP="00526CCA">
            <w:pPr>
              <w:pStyle w:val="BodyTextT"/>
              <w:numPr>
                <w:ilvl w:val="2"/>
                <w:numId w:val="14"/>
              </w:numPr>
            </w:pPr>
            <w:r w:rsidRPr="004D407A">
              <w:t xml:space="preserve">% </w:t>
            </w:r>
            <w:proofErr w:type="gramStart"/>
            <w:r w:rsidRPr="004D407A">
              <w:t>of</w:t>
            </w:r>
            <w:proofErr w:type="gramEnd"/>
            <w:r w:rsidRPr="004D407A">
              <w:t xml:space="preserve"> public health facilities with at least one staff trained in pregnancy and </w:t>
            </w:r>
            <w:r w:rsidR="00885C74" w:rsidRPr="004D407A">
              <w:t>childbirth</w:t>
            </w:r>
          </w:p>
        </w:tc>
        <w:tc>
          <w:tcPr>
            <w:tcW w:w="761" w:type="pct"/>
          </w:tcPr>
          <w:p w14:paraId="0EA3D213" w14:textId="77777777" w:rsidR="00BC7B0B" w:rsidRPr="004D407A" w:rsidRDefault="00BC7B0B" w:rsidP="00687A41">
            <w:pPr>
              <w:pStyle w:val="BodyTextT"/>
            </w:pPr>
            <w:r w:rsidRPr="004D407A">
              <w:t>9.9%</w:t>
            </w:r>
          </w:p>
        </w:tc>
        <w:tc>
          <w:tcPr>
            <w:tcW w:w="483" w:type="pct"/>
          </w:tcPr>
          <w:p w14:paraId="3DBED135" w14:textId="77777777" w:rsidR="00BC7B0B" w:rsidRPr="004D407A" w:rsidRDefault="00BC7B0B" w:rsidP="00687A41">
            <w:pPr>
              <w:pStyle w:val="BodyTextT"/>
            </w:pPr>
            <w:r w:rsidRPr="004D407A">
              <w:t>BHFS</w:t>
            </w:r>
          </w:p>
        </w:tc>
        <w:tc>
          <w:tcPr>
            <w:tcW w:w="761" w:type="pct"/>
          </w:tcPr>
          <w:p w14:paraId="5C6CC1D5" w14:textId="77777777" w:rsidR="00BC7B0B" w:rsidRPr="004D407A" w:rsidRDefault="00BC7B0B" w:rsidP="00687A41">
            <w:pPr>
              <w:pStyle w:val="BodyTextT"/>
            </w:pPr>
            <w:r w:rsidRPr="004D407A">
              <w:t>50%</w:t>
            </w:r>
          </w:p>
        </w:tc>
      </w:tr>
    </w:tbl>
    <w:p w14:paraId="3E5C1EAB" w14:textId="4416140A" w:rsidR="00040851" w:rsidRPr="004D407A" w:rsidRDefault="00040851" w:rsidP="00BC7B0B"/>
    <w:p w14:paraId="1E0BAC16" w14:textId="77777777" w:rsidR="00040851" w:rsidRPr="004D407A" w:rsidRDefault="00040851">
      <w:r w:rsidRPr="004D407A">
        <w:br w:type="page"/>
      </w:r>
    </w:p>
    <w:p w14:paraId="2EB3D599" w14:textId="313EE132" w:rsidR="00BC7B0B" w:rsidRPr="004D407A" w:rsidRDefault="00040851" w:rsidP="00040851">
      <w:pPr>
        <w:pStyle w:val="Caption"/>
        <w:rPr>
          <w:color w:val="auto"/>
        </w:rPr>
      </w:pPr>
      <w:bookmarkStart w:id="379" w:name="_Ref104480395"/>
      <w:bookmarkStart w:id="380" w:name="_Ref104480399"/>
      <w:bookmarkStart w:id="381" w:name="_Toc111912780"/>
      <w:r w:rsidRPr="004D407A">
        <w:rPr>
          <w:color w:val="auto"/>
        </w:rPr>
        <w:lastRenderedPageBreak/>
        <w:t xml:space="preserve">Figure </w:t>
      </w:r>
      <w:r w:rsidR="00E21383" w:rsidRPr="004D407A">
        <w:rPr>
          <w:noProof/>
          <w:color w:val="auto"/>
        </w:rPr>
        <w:fldChar w:fldCharType="begin"/>
      </w:r>
      <w:r w:rsidR="00E21383" w:rsidRPr="004D407A">
        <w:rPr>
          <w:noProof/>
          <w:color w:val="auto"/>
        </w:rPr>
        <w:instrText xml:space="preserve"> SEQ Figure \* ARABIC </w:instrText>
      </w:r>
      <w:r w:rsidR="00E21383" w:rsidRPr="004D407A">
        <w:rPr>
          <w:noProof/>
          <w:color w:val="auto"/>
        </w:rPr>
        <w:fldChar w:fldCharType="separate"/>
      </w:r>
      <w:r w:rsidR="00D80429" w:rsidRPr="004D407A">
        <w:rPr>
          <w:noProof/>
          <w:color w:val="auto"/>
        </w:rPr>
        <w:t>41</w:t>
      </w:r>
      <w:r w:rsidR="00E21383" w:rsidRPr="004D407A">
        <w:rPr>
          <w:noProof/>
          <w:color w:val="auto"/>
        </w:rPr>
        <w:fldChar w:fldCharType="end"/>
      </w:r>
      <w:bookmarkEnd w:id="379"/>
      <w:r w:rsidRPr="004D407A">
        <w:rPr>
          <w:color w:val="auto"/>
        </w:rPr>
        <w:t xml:space="preserve">: </w:t>
      </w:r>
      <w:r w:rsidR="00E6203B" w:rsidRPr="004D407A">
        <w:rPr>
          <w:color w:val="auto"/>
        </w:rPr>
        <w:t xml:space="preserve">Detail </w:t>
      </w:r>
      <w:r w:rsidR="00321400" w:rsidRPr="004D407A">
        <w:rPr>
          <w:color w:val="auto"/>
        </w:rPr>
        <w:t>Budget, Total available Funding, Total Funding Gap, Funding Sources and Secured Resources for NIS implementation</w:t>
      </w:r>
      <w:bookmarkEnd w:id="380"/>
      <w:bookmarkEnd w:id="381"/>
    </w:p>
    <w:tbl>
      <w:tblPr>
        <w:tblW w:w="5000" w:type="pct"/>
        <w:tblLook w:val="04A0" w:firstRow="1" w:lastRow="0" w:firstColumn="1" w:lastColumn="0" w:noHBand="0" w:noVBand="1"/>
      </w:tblPr>
      <w:tblGrid>
        <w:gridCol w:w="4256"/>
        <w:gridCol w:w="1809"/>
        <w:gridCol w:w="1655"/>
        <w:gridCol w:w="1655"/>
        <w:gridCol w:w="1655"/>
        <w:gridCol w:w="1655"/>
        <w:gridCol w:w="1809"/>
      </w:tblGrid>
      <w:tr w:rsidR="004D407A" w:rsidRPr="004D407A" w14:paraId="2EF84771" w14:textId="77777777" w:rsidTr="00434FF2">
        <w:trPr>
          <w:trHeight w:val="293"/>
        </w:trPr>
        <w:tc>
          <w:tcPr>
            <w:tcW w:w="1468" w:type="pct"/>
            <w:tcBorders>
              <w:top w:val="single" w:sz="12" w:space="0" w:color="auto"/>
              <w:left w:val="single" w:sz="12" w:space="0" w:color="auto"/>
              <w:bottom w:val="single" w:sz="4" w:space="0" w:color="auto"/>
              <w:right w:val="single" w:sz="8" w:space="0" w:color="auto"/>
            </w:tcBorders>
            <w:shd w:val="clear" w:color="auto" w:fill="auto"/>
            <w:vAlign w:val="center"/>
            <w:hideMark/>
          </w:tcPr>
          <w:p w14:paraId="6651D78B" w14:textId="50551919" w:rsidR="00434FF2" w:rsidRPr="004D407A" w:rsidRDefault="00434FF2" w:rsidP="00434FF2">
            <w:pPr>
              <w:spacing w:after="0" w:line="240" w:lineRule="auto"/>
              <w:jc w:val="center"/>
              <w:rPr>
                <w:rFonts w:ascii="Helvetica Neue" w:eastAsia="Times New Roman" w:hAnsi="Helvetica Neue" w:cs="Calibri"/>
                <w:b/>
                <w:bCs/>
                <w:sz w:val="16"/>
                <w:szCs w:val="20"/>
              </w:rPr>
            </w:pPr>
            <w:r w:rsidRPr="004D407A">
              <w:rPr>
                <w:rFonts w:ascii="Helvetica Neue" w:eastAsia="Times New Roman" w:hAnsi="Helvetica Neue" w:cs="Calibri"/>
                <w:b/>
                <w:bCs/>
                <w:sz w:val="16"/>
                <w:szCs w:val="20"/>
              </w:rPr>
              <w:t xml:space="preserve">EPI </w:t>
            </w:r>
            <w:r w:rsidR="00885C74" w:rsidRPr="004D407A">
              <w:rPr>
                <w:rFonts w:ascii="Helvetica Neue" w:eastAsia="Times New Roman" w:hAnsi="Helvetica Neue" w:cs="Calibri"/>
                <w:b/>
                <w:bCs/>
                <w:sz w:val="16"/>
                <w:szCs w:val="20"/>
              </w:rPr>
              <w:t>Components</w:t>
            </w:r>
          </w:p>
        </w:tc>
        <w:tc>
          <w:tcPr>
            <w:tcW w:w="624" w:type="pct"/>
            <w:tcBorders>
              <w:top w:val="single" w:sz="12" w:space="0" w:color="auto"/>
              <w:left w:val="nil"/>
              <w:bottom w:val="single" w:sz="4" w:space="0" w:color="auto"/>
              <w:right w:val="single" w:sz="8" w:space="0" w:color="auto"/>
            </w:tcBorders>
            <w:shd w:val="clear" w:color="000000" w:fill="EFEFEF"/>
            <w:vAlign w:val="center"/>
            <w:hideMark/>
          </w:tcPr>
          <w:p w14:paraId="6CC6E7AE" w14:textId="77777777" w:rsidR="00434FF2" w:rsidRPr="004D407A" w:rsidRDefault="00434FF2" w:rsidP="00434FF2">
            <w:pPr>
              <w:spacing w:after="0" w:line="240" w:lineRule="auto"/>
              <w:jc w:val="center"/>
              <w:rPr>
                <w:rFonts w:ascii="Helvetica Neue" w:eastAsia="Times New Roman" w:hAnsi="Helvetica Neue" w:cs="Calibri"/>
                <w:b/>
                <w:bCs/>
                <w:sz w:val="16"/>
                <w:szCs w:val="20"/>
              </w:rPr>
            </w:pPr>
            <w:r w:rsidRPr="004D407A">
              <w:rPr>
                <w:rFonts w:ascii="Helvetica Neue" w:eastAsia="Times New Roman" w:hAnsi="Helvetica Neue" w:cs="Calibri"/>
                <w:b/>
                <w:bCs/>
                <w:sz w:val="16"/>
                <w:szCs w:val="20"/>
              </w:rPr>
              <w:t>Year 1</w:t>
            </w:r>
          </w:p>
        </w:tc>
        <w:tc>
          <w:tcPr>
            <w:tcW w:w="571" w:type="pct"/>
            <w:tcBorders>
              <w:top w:val="single" w:sz="12" w:space="0" w:color="auto"/>
              <w:left w:val="nil"/>
              <w:bottom w:val="single" w:sz="4" w:space="0" w:color="auto"/>
              <w:right w:val="single" w:sz="8" w:space="0" w:color="auto"/>
            </w:tcBorders>
            <w:shd w:val="clear" w:color="auto" w:fill="auto"/>
            <w:vAlign w:val="center"/>
            <w:hideMark/>
          </w:tcPr>
          <w:p w14:paraId="25B2E58A" w14:textId="77777777" w:rsidR="00434FF2" w:rsidRPr="004D407A" w:rsidRDefault="00434FF2" w:rsidP="00434FF2">
            <w:pPr>
              <w:spacing w:after="0" w:line="240" w:lineRule="auto"/>
              <w:jc w:val="center"/>
              <w:rPr>
                <w:rFonts w:ascii="Helvetica Neue" w:eastAsia="Times New Roman" w:hAnsi="Helvetica Neue" w:cs="Calibri"/>
                <w:b/>
                <w:bCs/>
                <w:sz w:val="16"/>
                <w:szCs w:val="20"/>
              </w:rPr>
            </w:pPr>
            <w:r w:rsidRPr="004D407A">
              <w:rPr>
                <w:rFonts w:ascii="Helvetica Neue" w:eastAsia="Times New Roman" w:hAnsi="Helvetica Neue" w:cs="Calibri"/>
                <w:b/>
                <w:bCs/>
                <w:sz w:val="16"/>
                <w:szCs w:val="20"/>
              </w:rPr>
              <w:t>Year 2</w:t>
            </w:r>
          </w:p>
        </w:tc>
        <w:tc>
          <w:tcPr>
            <w:tcW w:w="571" w:type="pct"/>
            <w:tcBorders>
              <w:top w:val="single" w:sz="12" w:space="0" w:color="auto"/>
              <w:left w:val="nil"/>
              <w:bottom w:val="single" w:sz="4" w:space="0" w:color="auto"/>
              <w:right w:val="single" w:sz="8" w:space="0" w:color="auto"/>
            </w:tcBorders>
            <w:shd w:val="clear" w:color="000000" w:fill="EFEFEF"/>
            <w:vAlign w:val="center"/>
            <w:hideMark/>
          </w:tcPr>
          <w:p w14:paraId="5B1CA530" w14:textId="77777777" w:rsidR="00434FF2" w:rsidRPr="004D407A" w:rsidRDefault="00434FF2" w:rsidP="00434FF2">
            <w:pPr>
              <w:spacing w:after="0" w:line="240" w:lineRule="auto"/>
              <w:jc w:val="center"/>
              <w:rPr>
                <w:rFonts w:ascii="Helvetica Neue" w:eastAsia="Times New Roman" w:hAnsi="Helvetica Neue" w:cs="Calibri"/>
                <w:b/>
                <w:bCs/>
                <w:sz w:val="16"/>
                <w:szCs w:val="20"/>
              </w:rPr>
            </w:pPr>
            <w:r w:rsidRPr="004D407A">
              <w:rPr>
                <w:rFonts w:ascii="Helvetica Neue" w:eastAsia="Times New Roman" w:hAnsi="Helvetica Neue" w:cs="Calibri"/>
                <w:b/>
                <w:bCs/>
                <w:sz w:val="16"/>
                <w:szCs w:val="20"/>
              </w:rPr>
              <w:t>Year 3</w:t>
            </w:r>
          </w:p>
        </w:tc>
        <w:tc>
          <w:tcPr>
            <w:tcW w:w="571" w:type="pct"/>
            <w:tcBorders>
              <w:top w:val="single" w:sz="12" w:space="0" w:color="auto"/>
              <w:left w:val="nil"/>
              <w:bottom w:val="single" w:sz="4" w:space="0" w:color="auto"/>
              <w:right w:val="single" w:sz="8" w:space="0" w:color="auto"/>
            </w:tcBorders>
            <w:shd w:val="clear" w:color="auto" w:fill="auto"/>
            <w:vAlign w:val="center"/>
            <w:hideMark/>
          </w:tcPr>
          <w:p w14:paraId="74FA1C45" w14:textId="77777777" w:rsidR="00434FF2" w:rsidRPr="004D407A" w:rsidRDefault="00434FF2" w:rsidP="00434FF2">
            <w:pPr>
              <w:spacing w:after="0" w:line="240" w:lineRule="auto"/>
              <w:jc w:val="center"/>
              <w:rPr>
                <w:rFonts w:ascii="Helvetica Neue" w:eastAsia="Times New Roman" w:hAnsi="Helvetica Neue" w:cs="Calibri"/>
                <w:b/>
                <w:bCs/>
                <w:sz w:val="16"/>
                <w:szCs w:val="20"/>
              </w:rPr>
            </w:pPr>
            <w:r w:rsidRPr="004D407A">
              <w:rPr>
                <w:rFonts w:ascii="Helvetica Neue" w:eastAsia="Times New Roman" w:hAnsi="Helvetica Neue" w:cs="Calibri"/>
                <w:b/>
                <w:bCs/>
                <w:sz w:val="16"/>
                <w:szCs w:val="20"/>
              </w:rPr>
              <w:t>Year 4</w:t>
            </w:r>
          </w:p>
        </w:tc>
        <w:tc>
          <w:tcPr>
            <w:tcW w:w="571" w:type="pct"/>
            <w:tcBorders>
              <w:top w:val="single" w:sz="12" w:space="0" w:color="auto"/>
              <w:left w:val="nil"/>
              <w:bottom w:val="single" w:sz="4" w:space="0" w:color="auto"/>
              <w:right w:val="single" w:sz="8" w:space="0" w:color="auto"/>
            </w:tcBorders>
            <w:shd w:val="clear" w:color="000000" w:fill="EFEFEF"/>
            <w:vAlign w:val="center"/>
            <w:hideMark/>
          </w:tcPr>
          <w:p w14:paraId="3A1B6A3E" w14:textId="77777777" w:rsidR="00434FF2" w:rsidRPr="004D407A" w:rsidRDefault="00434FF2" w:rsidP="00434FF2">
            <w:pPr>
              <w:spacing w:after="0" w:line="240" w:lineRule="auto"/>
              <w:jc w:val="center"/>
              <w:rPr>
                <w:rFonts w:ascii="Helvetica Neue" w:eastAsia="Times New Roman" w:hAnsi="Helvetica Neue" w:cs="Calibri"/>
                <w:b/>
                <w:bCs/>
                <w:sz w:val="16"/>
                <w:szCs w:val="20"/>
              </w:rPr>
            </w:pPr>
            <w:r w:rsidRPr="004D407A">
              <w:rPr>
                <w:rFonts w:ascii="Helvetica Neue" w:eastAsia="Times New Roman" w:hAnsi="Helvetica Neue" w:cs="Calibri"/>
                <w:b/>
                <w:bCs/>
                <w:sz w:val="16"/>
                <w:szCs w:val="20"/>
              </w:rPr>
              <w:t>Year 5</w:t>
            </w:r>
          </w:p>
        </w:tc>
        <w:tc>
          <w:tcPr>
            <w:tcW w:w="624" w:type="pct"/>
            <w:tcBorders>
              <w:top w:val="single" w:sz="12" w:space="0" w:color="auto"/>
              <w:left w:val="nil"/>
              <w:bottom w:val="single" w:sz="4" w:space="0" w:color="auto"/>
              <w:right w:val="single" w:sz="12" w:space="0" w:color="auto"/>
            </w:tcBorders>
            <w:shd w:val="clear" w:color="auto" w:fill="auto"/>
            <w:vAlign w:val="center"/>
            <w:hideMark/>
          </w:tcPr>
          <w:p w14:paraId="48C7AB02" w14:textId="77777777" w:rsidR="00434FF2" w:rsidRPr="004D407A" w:rsidRDefault="00434FF2" w:rsidP="00434FF2">
            <w:pPr>
              <w:spacing w:after="0" w:line="240" w:lineRule="auto"/>
              <w:jc w:val="center"/>
              <w:rPr>
                <w:rFonts w:ascii="Helvetica Neue" w:eastAsia="Times New Roman" w:hAnsi="Helvetica Neue" w:cs="Calibri"/>
                <w:b/>
                <w:bCs/>
                <w:sz w:val="16"/>
                <w:szCs w:val="20"/>
              </w:rPr>
            </w:pPr>
            <w:r w:rsidRPr="004D407A">
              <w:rPr>
                <w:rFonts w:ascii="Helvetica Neue" w:eastAsia="Times New Roman" w:hAnsi="Helvetica Neue" w:cs="Calibri"/>
                <w:b/>
                <w:bCs/>
                <w:sz w:val="16"/>
                <w:szCs w:val="20"/>
              </w:rPr>
              <w:t>Total</w:t>
            </w:r>
          </w:p>
        </w:tc>
      </w:tr>
      <w:tr w:rsidR="004D407A" w:rsidRPr="004D407A" w14:paraId="06E07BD1" w14:textId="77777777" w:rsidTr="00434FF2">
        <w:trPr>
          <w:trHeight w:val="308"/>
        </w:trPr>
        <w:tc>
          <w:tcPr>
            <w:tcW w:w="1468" w:type="pct"/>
            <w:tcBorders>
              <w:top w:val="nil"/>
              <w:left w:val="single" w:sz="12" w:space="0" w:color="auto"/>
              <w:bottom w:val="single" w:sz="4" w:space="0" w:color="auto"/>
              <w:right w:val="single" w:sz="8" w:space="0" w:color="auto"/>
            </w:tcBorders>
            <w:shd w:val="clear" w:color="auto" w:fill="auto"/>
            <w:vAlign w:val="bottom"/>
            <w:hideMark/>
          </w:tcPr>
          <w:p w14:paraId="05D97A1E" w14:textId="77777777" w:rsidR="00434FF2" w:rsidRPr="004D407A" w:rsidRDefault="00434FF2" w:rsidP="00434FF2">
            <w:pPr>
              <w:spacing w:after="0" w:line="240" w:lineRule="auto"/>
              <w:rPr>
                <w:rFonts w:ascii="Helvetica Neue" w:eastAsia="Times New Roman" w:hAnsi="Helvetica Neue" w:cs="Calibri"/>
                <w:b/>
                <w:bCs/>
                <w:sz w:val="16"/>
                <w:szCs w:val="24"/>
              </w:rPr>
            </w:pPr>
            <w:r w:rsidRPr="004D407A">
              <w:rPr>
                <w:rFonts w:ascii="Helvetica Neue" w:eastAsia="Times New Roman" w:hAnsi="Helvetica Neue" w:cs="Calibri"/>
                <w:b/>
                <w:bCs/>
                <w:sz w:val="16"/>
                <w:szCs w:val="24"/>
              </w:rPr>
              <w:t>Grand Total</w:t>
            </w:r>
          </w:p>
        </w:tc>
        <w:tc>
          <w:tcPr>
            <w:tcW w:w="624" w:type="pct"/>
            <w:tcBorders>
              <w:top w:val="nil"/>
              <w:left w:val="nil"/>
              <w:bottom w:val="single" w:sz="4" w:space="0" w:color="auto"/>
              <w:right w:val="single" w:sz="8" w:space="0" w:color="auto"/>
            </w:tcBorders>
            <w:shd w:val="clear" w:color="000000" w:fill="EFEFEF"/>
            <w:vAlign w:val="bottom"/>
            <w:hideMark/>
          </w:tcPr>
          <w:p w14:paraId="032E8FFE" w14:textId="77777777" w:rsidR="00434FF2" w:rsidRPr="004D407A" w:rsidRDefault="00434FF2" w:rsidP="00434FF2">
            <w:pPr>
              <w:spacing w:after="0" w:line="240" w:lineRule="auto"/>
              <w:jc w:val="right"/>
              <w:rPr>
                <w:rFonts w:ascii="Helvetica Neue" w:eastAsia="Times New Roman" w:hAnsi="Helvetica Neue" w:cs="Calibri"/>
                <w:b/>
                <w:bCs/>
                <w:sz w:val="16"/>
                <w:szCs w:val="24"/>
              </w:rPr>
            </w:pPr>
            <w:r w:rsidRPr="004D407A">
              <w:rPr>
                <w:rFonts w:ascii="Helvetica Neue" w:eastAsia="Times New Roman" w:hAnsi="Helvetica Neue" w:cs="Calibri"/>
                <w:b/>
                <w:bCs/>
                <w:sz w:val="16"/>
                <w:szCs w:val="24"/>
              </w:rPr>
              <w:t>107,349,270</w:t>
            </w:r>
          </w:p>
        </w:tc>
        <w:tc>
          <w:tcPr>
            <w:tcW w:w="571" w:type="pct"/>
            <w:tcBorders>
              <w:top w:val="nil"/>
              <w:left w:val="nil"/>
              <w:bottom w:val="single" w:sz="4" w:space="0" w:color="auto"/>
              <w:right w:val="single" w:sz="8" w:space="0" w:color="auto"/>
            </w:tcBorders>
            <w:shd w:val="clear" w:color="auto" w:fill="auto"/>
            <w:vAlign w:val="bottom"/>
            <w:hideMark/>
          </w:tcPr>
          <w:p w14:paraId="2C56B481" w14:textId="77777777" w:rsidR="00434FF2" w:rsidRPr="004D407A" w:rsidRDefault="00434FF2" w:rsidP="00434FF2">
            <w:pPr>
              <w:spacing w:after="0" w:line="240" w:lineRule="auto"/>
              <w:jc w:val="right"/>
              <w:rPr>
                <w:rFonts w:ascii="Helvetica Neue" w:eastAsia="Times New Roman" w:hAnsi="Helvetica Neue" w:cs="Calibri"/>
                <w:b/>
                <w:bCs/>
                <w:sz w:val="16"/>
                <w:szCs w:val="24"/>
              </w:rPr>
            </w:pPr>
            <w:r w:rsidRPr="004D407A">
              <w:rPr>
                <w:rFonts w:ascii="Helvetica Neue" w:eastAsia="Times New Roman" w:hAnsi="Helvetica Neue" w:cs="Calibri"/>
                <w:b/>
                <w:bCs/>
                <w:sz w:val="16"/>
                <w:szCs w:val="24"/>
              </w:rPr>
              <w:t>98,159,723</w:t>
            </w:r>
          </w:p>
        </w:tc>
        <w:tc>
          <w:tcPr>
            <w:tcW w:w="571" w:type="pct"/>
            <w:tcBorders>
              <w:top w:val="nil"/>
              <w:left w:val="nil"/>
              <w:bottom w:val="single" w:sz="4" w:space="0" w:color="auto"/>
              <w:right w:val="single" w:sz="8" w:space="0" w:color="auto"/>
            </w:tcBorders>
            <w:shd w:val="clear" w:color="000000" w:fill="EFEFEF"/>
            <w:vAlign w:val="bottom"/>
            <w:hideMark/>
          </w:tcPr>
          <w:p w14:paraId="1557794F" w14:textId="77777777" w:rsidR="00434FF2" w:rsidRPr="004D407A" w:rsidRDefault="00434FF2" w:rsidP="00434FF2">
            <w:pPr>
              <w:spacing w:after="0" w:line="240" w:lineRule="auto"/>
              <w:jc w:val="right"/>
              <w:rPr>
                <w:rFonts w:ascii="Helvetica Neue" w:eastAsia="Times New Roman" w:hAnsi="Helvetica Neue" w:cs="Calibri"/>
                <w:b/>
                <w:bCs/>
                <w:sz w:val="16"/>
                <w:szCs w:val="24"/>
              </w:rPr>
            </w:pPr>
            <w:r w:rsidRPr="004D407A">
              <w:rPr>
                <w:rFonts w:ascii="Helvetica Neue" w:eastAsia="Times New Roman" w:hAnsi="Helvetica Neue" w:cs="Calibri"/>
                <w:b/>
                <w:bCs/>
                <w:sz w:val="16"/>
                <w:szCs w:val="24"/>
              </w:rPr>
              <w:t>96,919,289</w:t>
            </w:r>
          </w:p>
        </w:tc>
        <w:tc>
          <w:tcPr>
            <w:tcW w:w="571" w:type="pct"/>
            <w:tcBorders>
              <w:top w:val="nil"/>
              <w:left w:val="nil"/>
              <w:bottom w:val="single" w:sz="4" w:space="0" w:color="auto"/>
              <w:right w:val="single" w:sz="8" w:space="0" w:color="auto"/>
            </w:tcBorders>
            <w:shd w:val="clear" w:color="auto" w:fill="auto"/>
            <w:vAlign w:val="bottom"/>
            <w:hideMark/>
          </w:tcPr>
          <w:p w14:paraId="57D577E8" w14:textId="77777777" w:rsidR="00434FF2" w:rsidRPr="004D407A" w:rsidRDefault="00434FF2" w:rsidP="00434FF2">
            <w:pPr>
              <w:spacing w:after="0" w:line="240" w:lineRule="auto"/>
              <w:jc w:val="right"/>
              <w:rPr>
                <w:rFonts w:ascii="Helvetica Neue" w:eastAsia="Times New Roman" w:hAnsi="Helvetica Neue" w:cs="Calibri"/>
                <w:b/>
                <w:bCs/>
                <w:sz w:val="16"/>
                <w:szCs w:val="24"/>
              </w:rPr>
            </w:pPr>
            <w:r w:rsidRPr="004D407A">
              <w:rPr>
                <w:rFonts w:ascii="Helvetica Neue" w:eastAsia="Times New Roman" w:hAnsi="Helvetica Neue" w:cs="Calibri"/>
                <w:b/>
                <w:bCs/>
                <w:sz w:val="16"/>
                <w:szCs w:val="24"/>
              </w:rPr>
              <w:t>92,272,025</w:t>
            </w:r>
          </w:p>
        </w:tc>
        <w:tc>
          <w:tcPr>
            <w:tcW w:w="571" w:type="pct"/>
            <w:tcBorders>
              <w:top w:val="nil"/>
              <w:left w:val="nil"/>
              <w:bottom w:val="single" w:sz="4" w:space="0" w:color="auto"/>
              <w:right w:val="single" w:sz="8" w:space="0" w:color="auto"/>
            </w:tcBorders>
            <w:shd w:val="clear" w:color="000000" w:fill="EFEFEF"/>
            <w:vAlign w:val="bottom"/>
            <w:hideMark/>
          </w:tcPr>
          <w:p w14:paraId="3365DF91" w14:textId="77777777" w:rsidR="00434FF2" w:rsidRPr="004D407A" w:rsidRDefault="00434FF2" w:rsidP="00434FF2">
            <w:pPr>
              <w:spacing w:after="0" w:line="240" w:lineRule="auto"/>
              <w:jc w:val="right"/>
              <w:rPr>
                <w:rFonts w:ascii="Helvetica Neue" w:eastAsia="Times New Roman" w:hAnsi="Helvetica Neue" w:cs="Calibri"/>
                <w:b/>
                <w:bCs/>
                <w:sz w:val="16"/>
                <w:szCs w:val="24"/>
              </w:rPr>
            </w:pPr>
            <w:r w:rsidRPr="004D407A">
              <w:rPr>
                <w:rFonts w:ascii="Helvetica Neue" w:eastAsia="Times New Roman" w:hAnsi="Helvetica Neue" w:cs="Calibri"/>
                <w:b/>
                <w:bCs/>
                <w:sz w:val="16"/>
                <w:szCs w:val="24"/>
              </w:rPr>
              <w:t>90,694,455</w:t>
            </w:r>
          </w:p>
        </w:tc>
        <w:tc>
          <w:tcPr>
            <w:tcW w:w="624" w:type="pct"/>
            <w:tcBorders>
              <w:top w:val="nil"/>
              <w:left w:val="nil"/>
              <w:bottom w:val="single" w:sz="4" w:space="0" w:color="auto"/>
              <w:right w:val="single" w:sz="12" w:space="0" w:color="auto"/>
            </w:tcBorders>
            <w:shd w:val="clear" w:color="auto" w:fill="auto"/>
            <w:vAlign w:val="bottom"/>
            <w:hideMark/>
          </w:tcPr>
          <w:p w14:paraId="663E80CF" w14:textId="77777777" w:rsidR="00434FF2" w:rsidRPr="004D407A" w:rsidRDefault="00434FF2" w:rsidP="00434FF2">
            <w:pPr>
              <w:spacing w:after="0" w:line="240" w:lineRule="auto"/>
              <w:jc w:val="right"/>
              <w:rPr>
                <w:rFonts w:ascii="Helvetica Neue" w:eastAsia="Times New Roman" w:hAnsi="Helvetica Neue" w:cs="Calibri"/>
                <w:b/>
                <w:bCs/>
                <w:sz w:val="16"/>
                <w:szCs w:val="24"/>
              </w:rPr>
            </w:pPr>
            <w:r w:rsidRPr="004D407A">
              <w:rPr>
                <w:rFonts w:ascii="Helvetica Neue" w:eastAsia="Times New Roman" w:hAnsi="Helvetica Neue" w:cs="Calibri"/>
                <w:b/>
                <w:bCs/>
                <w:sz w:val="16"/>
                <w:szCs w:val="24"/>
              </w:rPr>
              <w:t>485,394,762</w:t>
            </w:r>
          </w:p>
        </w:tc>
      </w:tr>
      <w:tr w:rsidR="004D407A" w:rsidRPr="004D407A" w14:paraId="6400EB6B" w14:textId="77777777" w:rsidTr="00434FF2">
        <w:trPr>
          <w:trHeight w:val="510"/>
        </w:trPr>
        <w:tc>
          <w:tcPr>
            <w:tcW w:w="1468" w:type="pct"/>
            <w:tcBorders>
              <w:top w:val="nil"/>
              <w:left w:val="single" w:sz="12" w:space="0" w:color="auto"/>
              <w:bottom w:val="single" w:sz="4" w:space="0" w:color="auto"/>
              <w:right w:val="single" w:sz="8" w:space="0" w:color="auto"/>
            </w:tcBorders>
            <w:shd w:val="clear" w:color="000000" w:fill="E44C0C"/>
            <w:hideMark/>
          </w:tcPr>
          <w:p w14:paraId="6CFAA2A4"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1. PROGRAMME MANAGEMENT &amp; FINANCING</w:t>
            </w:r>
          </w:p>
        </w:tc>
        <w:tc>
          <w:tcPr>
            <w:tcW w:w="624" w:type="pct"/>
            <w:tcBorders>
              <w:top w:val="nil"/>
              <w:left w:val="nil"/>
              <w:bottom w:val="single" w:sz="4" w:space="0" w:color="auto"/>
              <w:right w:val="single" w:sz="8" w:space="0" w:color="auto"/>
            </w:tcBorders>
            <w:shd w:val="clear" w:color="000000" w:fill="E44C0C"/>
            <w:hideMark/>
          </w:tcPr>
          <w:p w14:paraId="663E63B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1,687,146</w:t>
            </w:r>
          </w:p>
        </w:tc>
        <w:tc>
          <w:tcPr>
            <w:tcW w:w="571" w:type="pct"/>
            <w:tcBorders>
              <w:top w:val="nil"/>
              <w:left w:val="nil"/>
              <w:bottom w:val="single" w:sz="4" w:space="0" w:color="auto"/>
              <w:right w:val="single" w:sz="8" w:space="0" w:color="auto"/>
            </w:tcBorders>
            <w:shd w:val="clear" w:color="000000" w:fill="E44C0C"/>
            <w:hideMark/>
          </w:tcPr>
          <w:p w14:paraId="028534B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1,520,975</w:t>
            </w:r>
          </w:p>
        </w:tc>
        <w:tc>
          <w:tcPr>
            <w:tcW w:w="571" w:type="pct"/>
            <w:tcBorders>
              <w:top w:val="nil"/>
              <w:left w:val="nil"/>
              <w:bottom w:val="single" w:sz="4" w:space="0" w:color="auto"/>
              <w:right w:val="single" w:sz="8" w:space="0" w:color="auto"/>
            </w:tcBorders>
            <w:shd w:val="clear" w:color="000000" w:fill="E44C0C"/>
            <w:hideMark/>
          </w:tcPr>
          <w:p w14:paraId="4B44D96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1,517,375</w:t>
            </w:r>
          </w:p>
        </w:tc>
        <w:tc>
          <w:tcPr>
            <w:tcW w:w="571" w:type="pct"/>
            <w:tcBorders>
              <w:top w:val="nil"/>
              <w:left w:val="nil"/>
              <w:bottom w:val="single" w:sz="4" w:space="0" w:color="auto"/>
              <w:right w:val="single" w:sz="8" w:space="0" w:color="auto"/>
            </w:tcBorders>
            <w:shd w:val="clear" w:color="000000" w:fill="E44C0C"/>
            <w:hideMark/>
          </w:tcPr>
          <w:p w14:paraId="2B560F3B"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1,494,696</w:t>
            </w:r>
          </w:p>
        </w:tc>
        <w:tc>
          <w:tcPr>
            <w:tcW w:w="571" w:type="pct"/>
            <w:tcBorders>
              <w:top w:val="nil"/>
              <w:left w:val="nil"/>
              <w:bottom w:val="single" w:sz="4" w:space="0" w:color="auto"/>
              <w:right w:val="single" w:sz="8" w:space="0" w:color="auto"/>
            </w:tcBorders>
            <w:shd w:val="clear" w:color="000000" w:fill="E44C0C"/>
            <w:hideMark/>
          </w:tcPr>
          <w:p w14:paraId="1F9312B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1,486,296</w:t>
            </w:r>
          </w:p>
        </w:tc>
        <w:tc>
          <w:tcPr>
            <w:tcW w:w="624" w:type="pct"/>
            <w:tcBorders>
              <w:top w:val="nil"/>
              <w:left w:val="nil"/>
              <w:bottom w:val="single" w:sz="4" w:space="0" w:color="auto"/>
              <w:right w:val="single" w:sz="12" w:space="0" w:color="auto"/>
            </w:tcBorders>
            <w:shd w:val="clear" w:color="000000" w:fill="E44C0C"/>
            <w:hideMark/>
          </w:tcPr>
          <w:p w14:paraId="6842C15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7,706,489</w:t>
            </w:r>
          </w:p>
        </w:tc>
      </w:tr>
      <w:tr w:rsidR="004D407A" w:rsidRPr="004D407A" w14:paraId="169915E5" w14:textId="77777777" w:rsidTr="006409BE">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12545186"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A. Policy &amp; guidance</w:t>
            </w:r>
          </w:p>
        </w:tc>
        <w:tc>
          <w:tcPr>
            <w:tcW w:w="624" w:type="pct"/>
            <w:tcBorders>
              <w:top w:val="nil"/>
              <w:left w:val="nil"/>
              <w:bottom w:val="single" w:sz="4" w:space="0" w:color="auto"/>
              <w:right w:val="single" w:sz="8" w:space="0" w:color="auto"/>
            </w:tcBorders>
            <w:shd w:val="clear" w:color="000000" w:fill="EFEFEF"/>
            <w:hideMark/>
          </w:tcPr>
          <w:p w14:paraId="47C8398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71,850</w:t>
            </w:r>
          </w:p>
        </w:tc>
        <w:tc>
          <w:tcPr>
            <w:tcW w:w="571" w:type="pct"/>
            <w:tcBorders>
              <w:top w:val="nil"/>
              <w:left w:val="nil"/>
              <w:bottom w:val="single" w:sz="4" w:space="0" w:color="auto"/>
              <w:right w:val="single" w:sz="8" w:space="0" w:color="auto"/>
            </w:tcBorders>
            <w:shd w:val="clear" w:color="auto" w:fill="auto"/>
            <w:hideMark/>
          </w:tcPr>
          <w:p w14:paraId="6752C9B3"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16,679</w:t>
            </w:r>
          </w:p>
        </w:tc>
        <w:tc>
          <w:tcPr>
            <w:tcW w:w="571" w:type="pct"/>
            <w:tcBorders>
              <w:top w:val="nil"/>
              <w:left w:val="nil"/>
              <w:bottom w:val="single" w:sz="4" w:space="0" w:color="auto"/>
              <w:right w:val="single" w:sz="8" w:space="0" w:color="auto"/>
            </w:tcBorders>
            <w:shd w:val="clear" w:color="000000" w:fill="EFEFEF"/>
            <w:hideMark/>
          </w:tcPr>
          <w:p w14:paraId="6E10CEF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22,679</w:t>
            </w:r>
          </w:p>
        </w:tc>
        <w:tc>
          <w:tcPr>
            <w:tcW w:w="571" w:type="pct"/>
            <w:tcBorders>
              <w:top w:val="nil"/>
              <w:left w:val="nil"/>
              <w:bottom w:val="single" w:sz="4" w:space="0" w:color="auto"/>
              <w:right w:val="single" w:sz="8" w:space="0" w:color="auto"/>
            </w:tcBorders>
            <w:shd w:val="clear" w:color="auto" w:fill="auto"/>
          </w:tcPr>
          <w:p w14:paraId="15DFB125" w14:textId="30D989B6"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419B97E8" w14:textId="16F42FC6"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hideMark/>
          </w:tcPr>
          <w:p w14:paraId="091F735B"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111,209</w:t>
            </w:r>
          </w:p>
        </w:tc>
      </w:tr>
      <w:tr w:rsidR="004D407A" w:rsidRPr="004D407A" w14:paraId="7BDF6034"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09E9AFA3"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B. Governance &amp; accountability</w:t>
            </w:r>
          </w:p>
        </w:tc>
        <w:tc>
          <w:tcPr>
            <w:tcW w:w="624" w:type="pct"/>
            <w:tcBorders>
              <w:top w:val="nil"/>
              <w:left w:val="nil"/>
              <w:bottom w:val="single" w:sz="4" w:space="0" w:color="auto"/>
              <w:right w:val="single" w:sz="8" w:space="0" w:color="auto"/>
            </w:tcBorders>
            <w:shd w:val="clear" w:color="000000" w:fill="EFEFEF"/>
            <w:hideMark/>
          </w:tcPr>
          <w:p w14:paraId="6503B19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38,052</w:t>
            </w:r>
          </w:p>
        </w:tc>
        <w:tc>
          <w:tcPr>
            <w:tcW w:w="571" w:type="pct"/>
            <w:tcBorders>
              <w:top w:val="nil"/>
              <w:left w:val="nil"/>
              <w:bottom w:val="single" w:sz="4" w:space="0" w:color="auto"/>
              <w:right w:val="single" w:sz="8" w:space="0" w:color="auto"/>
            </w:tcBorders>
            <w:shd w:val="clear" w:color="auto" w:fill="auto"/>
            <w:hideMark/>
          </w:tcPr>
          <w:p w14:paraId="59C0E298"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14,052</w:t>
            </w:r>
          </w:p>
        </w:tc>
        <w:tc>
          <w:tcPr>
            <w:tcW w:w="571" w:type="pct"/>
            <w:tcBorders>
              <w:top w:val="nil"/>
              <w:left w:val="nil"/>
              <w:bottom w:val="single" w:sz="4" w:space="0" w:color="auto"/>
              <w:right w:val="single" w:sz="8" w:space="0" w:color="auto"/>
            </w:tcBorders>
            <w:shd w:val="clear" w:color="000000" w:fill="EFEFEF"/>
            <w:hideMark/>
          </w:tcPr>
          <w:p w14:paraId="57C1BAE8"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22,452</w:t>
            </w:r>
          </w:p>
        </w:tc>
        <w:tc>
          <w:tcPr>
            <w:tcW w:w="571" w:type="pct"/>
            <w:tcBorders>
              <w:top w:val="nil"/>
              <w:left w:val="nil"/>
              <w:bottom w:val="single" w:sz="4" w:space="0" w:color="auto"/>
              <w:right w:val="single" w:sz="8" w:space="0" w:color="auto"/>
            </w:tcBorders>
            <w:shd w:val="clear" w:color="auto" w:fill="auto"/>
            <w:hideMark/>
          </w:tcPr>
          <w:p w14:paraId="3E2C406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22,452</w:t>
            </w:r>
          </w:p>
        </w:tc>
        <w:tc>
          <w:tcPr>
            <w:tcW w:w="571" w:type="pct"/>
            <w:tcBorders>
              <w:top w:val="nil"/>
              <w:left w:val="nil"/>
              <w:bottom w:val="single" w:sz="4" w:space="0" w:color="auto"/>
              <w:right w:val="single" w:sz="8" w:space="0" w:color="auto"/>
            </w:tcBorders>
            <w:shd w:val="clear" w:color="000000" w:fill="EFEFEF"/>
            <w:hideMark/>
          </w:tcPr>
          <w:p w14:paraId="42AEAADF"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14,052</w:t>
            </w:r>
          </w:p>
        </w:tc>
        <w:tc>
          <w:tcPr>
            <w:tcW w:w="624" w:type="pct"/>
            <w:tcBorders>
              <w:top w:val="nil"/>
              <w:left w:val="nil"/>
              <w:bottom w:val="single" w:sz="4" w:space="0" w:color="auto"/>
              <w:right w:val="single" w:sz="12" w:space="0" w:color="auto"/>
            </w:tcBorders>
            <w:shd w:val="clear" w:color="auto" w:fill="auto"/>
            <w:hideMark/>
          </w:tcPr>
          <w:p w14:paraId="41DDFA7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111,060</w:t>
            </w:r>
          </w:p>
        </w:tc>
      </w:tr>
      <w:tr w:rsidR="004D407A" w:rsidRPr="004D407A" w14:paraId="07CF328E"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437AA014"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C. Planning &amp; procurement</w:t>
            </w:r>
          </w:p>
        </w:tc>
        <w:tc>
          <w:tcPr>
            <w:tcW w:w="624" w:type="pct"/>
            <w:tcBorders>
              <w:top w:val="nil"/>
              <w:left w:val="nil"/>
              <w:bottom w:val="single" w:sz="4" w:space="0" w:color="auto"/>
              <w:right w:val="single" w:sz="8" w:space="0" w:color="auto"/>
            </w:tcBorders>
            <w:shd w:val="clear" w:color="000000" w:fill="EFEFEF"/>
            <w:hideMark/>
          </w:tcPr>
          <w:p w14:paraId="525BFC6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1,289,700</w:t>
            </w:r>
          </w:p>
        </w:tc>
        <w:tc>
          <w:tcPr>
            <w:tcW w:w="571" w:type="pct"/>
            <w:tcBorders>
              <w:top w:val="nil"/>
              <w:left w:val="nil"/>
              <w:bottom w:val="single" w:sz="4" w:space="0" w:color="auto"/>
              <w:right w:val="single" w:sz="8" w:space="0" w:color="auto"/>
            </w:tcBorders>
            <w:shd w:val="clear" w:color="auto" w:fill="auto"/>
            <w:hideMark/>
          </w:tcPr>
          <w:p w14:paraId="2DEECCCB"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1,215,300</w:t>
            </w:r>
          </w:p>
        </w:tc>
        <w:tc>
          <w:tcPr>
            <w:tcW w:w="571" w:type="pct"/>
            <w:tcBorders>
              <w:top w:val="nil"/>
              <w:left w:val="nil"/>
              <w:bottom w:val="single" w:sz="4" w:space="0" w:color="auto"/>
              <w:right w:val="single" w:sz="8" w:space="0" w:color="auto"/>
            </w:tcBorders>
            <w:shd w:val="clear" w:color="000000" w:fill="EFEFEF"/>
            <w:hideMark/>
          </w:tcPr>
          <w:p w14:paraId="3D334543"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1,197,300</w:t>
            </w:r>
          </w:p>
        </w:tc>
        <w:tc>
          <w:tcPr>
            <w:tcW w:w="571" w:type="pct"/>
            <w:tcBorders>
              <w:top w:val="nil"/>
              <w:left w:val="nil"/>
              <w:bottom w:val="single" w:sz="4" w:space="0" w:color="auto"/>
              <w:right w:val="single" w:sz="8" w:space="0" w:color="auto"/>
            </w:tcBorders>
            <w:shd w:val="clear" w:color="auto" w:fill="auto"/>
            <w:hideMark/>
          </w:tcPr>
          <w:p w14:paraId="72F4FA0C"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1,197,300</w:t>
            </w:r>
          </w:p>
        </w:tc>
        <w:tc>
          <w:tcPr>
            <w:tcW w:w="571" w:type="pct"/>
            <w:tcBorders>
              <w:top w:val="nil"/>
              <w:left w:val="nil"/>
              <w:bottom w:val="single" w:sz="4" w:space="0" w:color="auto"/>
              <w:right w:val="single" w:sz="8" w:space="0" w:color="auto"/>
            </w:tcBorders>
            <w:shd w:val="clear" w:color="000000" w:fill="EFEFEF"/>
            <w:hideMark/>
          </w:tcPr>
          <w:p w14:paraId="3B298EF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1,197,300</w:t>
            </w:r>
          </w:p>
        </w:tc>
        <w:tc>
          <w:tcPr>
            <w:tcW w:w="624" w:type="pct"/>
            <w:tcBorders>
              <w:top w:val="nil"/>
              <w:left w:val="nil"/>
              <w:bottom w:val="single" w:sz="4" w:space="0" w:color="auto"/>
              <w:right w:val="single" w:sz="12" w:space="0" w:color="auto"/>
            </w:tcBorders>
            <w:shd w:val="clear" w:color="auto" w:fill="auto"/>
            <w:hideMark/>
          </w:tcPr>
          <w:p w14:paraId="445EE6F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6,096,900</w:t>
            </w:r>
          </w:p>
        </w:tc>
      </w:tr>
      <w:tr w:rsidR="004D407A" w:rsidRPr="004D407A" w14:paraId="01DB7F1A"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32D31421"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D. Partner coordination</w:t>
            </w:r>
          </w:p>
        </w:tc>
        <w:tc>
          <w:tcPr>
            <w:tcW w:w="624" w:type="pct"/>
            <w:tcBorders>
              <w:top w:val="nil"/>
              <w:left w:val="nil"/>
              <w:bottom w:val="single" w:sz="4" w:space="0" w:color="auto"/>
              <w:right w:val="single" w:sz="8" w:space="0" w:color="auto"/>
            </w:tcBorders>
            <w:shd w:val="clear" w:color="000000" w:fill="EFEFEF"/>
            <w:hideMark/>
          </w:tcPr>
          <w:p w14:paraId="66B805B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73,492</w:t>
            </w:r>
          </w:p>
        </w:tc>
        <w:tc>
          <w:tcPr>
            <w:tcW w:w="571" w:type="pct"/>
            <w:tcBorders>
              <w:top w:val="nil"/>
              <w:left w:val="nil"/>
              <w:bottom w:val="single" w:sz="4" w:space="0" w:color="auto"/>
              <w:right w:val="single" w:sz="8" w:space="0" w:color="auto"/>
            </w:tcBorders>
            <w:shd w:val="clear" w:color="auto" w:fill="auto"/>
            <w:hideMark/>
          </w:tcPr>
          <w:p w14:paraId="3CBFFB2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60,892</w:t>
            </w:r>
          </w:p>
        </w:tc>
        <w:tc>
          <w:tcPr>
            <w:tcW w:w="571" w:type="pct"/>
            <w:tcBorders>
              <w:top w:val="nil"/>
              <w:left w:val="nil"/>
              <w:bottom w:val="single" w:sz="4" w:space="0" w:color="auto"/>
              <w:right w:val="single" w:sz="8" w:space="0" w:color="auto"/>
            </w:tcBorders>
            <w:shd w:val="clear" w:color="000000" w:fill="EFEFEF"/>
            <w:hideMark/>
          </w:tcPr>
          <w:p w14:paraId="2C12A71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60,892</w:t>
            </w:r>
          </w:p>
        </w:tc>
        <w:tc>
          <w:tcPr>
            <w:tcW w:w="571" w:type="pct"/>
            <w:tcBorders>
              <w:top w:val="nil"/>
              <w:left w:val="nil"/>
              <w:bottom w:val="single" w:sz="4" w:space="0" w:color="auto"/>
              <w:right w:val="single" w:sz="8" w:space="0" w:color="auto"/>
            </w:tcBorders>
            <w:shd w:val="clear" w:color="auto" w:fill="auto"/>
            <w:hideMark/>
          </w:tcPr>
          <w:p w14:paraId="62A0DF5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60,892</w:t>
            </w:r>
          </w:p>
        </w:tc>
        <w:tc>
          <w:tcPr>
            <w:tcW w:w="571" w:type="pct"/>
            <w:tcBorders>
              <w:top w:val="nil"/>
              <w:left w:val="nil"/>
              <w:bottom w:val="single" w:sz="4" w:space="0" w:color="auto"/>
              <w:right w:val="single" w:sz="8" w:space="0" w:color="auto"/>
            </w:tcBorders>
            <w:shd w:val="clear" w:color="000000" w:fill="EFEFEF"/>
            <w:hideMark/>
          </w:tcPr>
          <w:p w14:paraId="50A5F3F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60,892</w:t>
            </w:r>
          </w:p>
        </w:tc>
        <w:tc>
          <w:tcPr>
            <w:tcW w:w="624" w:type="pct"/>
            <w:tcBorders>
              <w:top w:val="nil"/>
              <w:left w:val="nil"/>
              <w:bottom w:val="single" w:sz="4" w:space="0" w:color="auto"/>
              <w:right w:val="single" w:sz="12" w:space="0" w:color="auto"/>
            </w:tcBorders>
            <w:shd w:val="clear" w:color="auto" w:fill="auto"/>
            <w:hideMark/>
          </w:tcPr>
          <w:p w14:paraId="098D03E8"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317,060</w:t>
            </w:r>
          </w:p>
        </w:tc>
      </w:tr>
      <w:tr w:rsidR="004D407A" w:rsidRPr="004D407A" w14:paraId="5962970E"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5CA7B52D"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E. Budgeting and financing</w:t>
            </w:r>
          </w:p>
        </w:tc>
        <w:tc>
          <w:tcPr>
            <w:tcW w:w="624" w:type="pct"/>
            <w:tcBorders>
              <w:top w:val="nil"/>
              <w:left w:val="nil"/>
              <w:bottom w:val="single" w:sz="4" w:space="0" w:color="auto"/>
              <w:right w:val="single" w:sz="8" w:space="0" w:color="auto"/>
            </w:tcBorders>
            <w:shd w:val="clear" w:color="000000" w:fill="EFEFEF"/>
            <w:hideMark/>
          </w:tcPr>
          <w:p w14:paraId="28DE6A0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14,052</w:t>
            </w:r>
          </w:p>
        </w:tc>
        <w:tc>
          <w:tcPr>
            <w:tcW w:w="571" w:type="pct"/>
            <w:tcBorders>
              <w:top w:val="nil"/>
              <w:left w:val="nil"/>
              <w:bottom w:val="single" w:sz="4" w:space="0" w:color="auto"/>
              <w:right w:val="single" w:sz="8" w:space="0" w:color="auto"/>
            </w:tcBorders>
            <w:shd w:val="clear" w:color="auto" w:fill="auto"/>
            <w:hideMark/>
          </w:tcPr>
          <w:p w14:paraId="77973203"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14,052</w:t>
            </w:r>
          </w:p>
        </w:tc>
        <w:tc>
          <w:tcPr>
            <w:tcW w:w="571" w:type="pct"/>
            <w:tcBorders>
              <w:top w:val="nil"/>
              <w:left w:val="nil"/>
              <w:bottom w:val="single" w:sz="4" w:space="0" w:color="auto"/>
              <w:right w:val="single" w:sz="8" w:space="0" w:color="auto"/>
            </w:tcBorders>
            <w:shd w:val="clear" w:color="000000" w:fill="EFEFEF"/>
            <w:hideMark/>
          </w:tcPr>
          <w:p w14:paraId="7E668D4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14,052</w:t>
            </w:r>
          </w:p>
        </w:tc>
        <w:tc>
          <w:tcPr>
            <w:tcW w:w="571" w:type="pct"/>
            <w:tcBorders>
              <w:top w:val="nil"/>
              <w:left w:val="nil"/>
              <w:bottom w:val="single" w:sz="4" w:space="0" w:color="auto"/>
              <w:right w:val="single" w:sz="8" w:space="0" w:color="auto"/>
            </w:tcBorders>
            <w:shd w:val="clear" w:color="auto" w:fill="auto"/>
            <w:hideMark/>
          </w:tcPr>
          <w:p w14:paraId="3F45F3AB"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14,052</w:t>
            </w:r>
          </w:p>
        </w:tc>
        <w:tc>
          <w:tcPr>
            <w:tcW w:w="571" w:type="pct"/>
            <w:tcBorders>
              <w:top w:val="nil"/>
              <w:left w:val="nil"/>
              <w:bottom w:val="single" w:sz="4" w:space="0" w:color="auto"/>
              <w:right w:val="single" w:sz="8" w:space="0" w:color="auto"/>
            </w:tcBorders>
            <w:shd w:val="clear" w:color="000000" w:fill="EFEFEF"/>
            <w:hideMark/>
          </w:tcPr>
          <w:p w14:paraId="79A1C71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14,052</w:t>
            </w:r>
          </w:p>
        </w:tc>
        <w:tc>
          <w:tcPr>
            <w:tcW w:w="624" w:type="pct"/>
            <w:tcBorders>
              <w:top w:val="nil"/>
              <w:left w:val="nil"/>
              <w:bottom w:val="single" w:sz="4" w:space="0" w:color="auto"/>
              <w:right w:val="single" w:sz="12" w:space="0" w:color="auto"/>
            </w:tcBorders>
            <w:shd w:val="clear" w:color="auto" w:fill="auto"/>
            <w:hideMark/>
          </w:tcPr>
          <w:p w14:paraId="4E60246F"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70,260</w:t>
            </w:r>
          </w:p>
        </w:tc>
      </w:tr>
      <w:tr w:rsidR="004D407A" w:rsidRPr="004D407A" w14:paraId="44A7743D" w14:textId="77777777" w:rsidTr="00434FF2">
        <w:trPr>
          <w:trHeight w:val="510"/>
        </w:trPr>
        <w:tc>
          <w:tcPr>
            <w:tcW w:w="1468" w:type="pct"/>
            <w:tcBorders>
              <w:top w:val="nil"/>
              <w:left w:val="single" w:sz="12" w:space="0" w:color="auto"/>
              <w:bottom w:val="single" w:sz="4" w:space="0" w:color="auto"/>
              <w:right w:val="single" w:sz="8" w:space="0" w:color="auto"/>
            </w:tcBorders>
            <w:shd w:val="clear" w:color="auto" w:fill="auto"/>
            <w:hideMark/>
          </w:tcPr>
          <w:p w14:paraId="3649E108"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F. Multiple Sub-Components of Program Management &amp; Financing</w:t>
            </w:r>
          </w:p>
        </w:tc>
        <w:tc>
          <w:tcPr>
            <w:tcW w:w="624" w:type="pct"/>
            <w:tcBorders>
              <w:top w:val="nil"/>
              <w:left w:val="nil"/>
              <w:bottom w:val="single" w:sz="4" w:space="0" w:color="auto"/>
              <w:right w:val="single" w:sz="8" w:space="0" w:color="auto"/>
            </w:tcBorders>
            <w:shd w:val="clear" w:color="000000" w:fill="EFEFEF"/>
            <w:hideMark/>
          </w:tcPr>
          <w:p w14:paraId="4B4ACDCB"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200,000</w:t>
            </w:r>
          </w:p>
        </w:tc>
        <w:tc>
          <w:tcPr>
            <w:tcW w:w="571" w:type="pct"/>
            <w:tcBorders>
              <w:top w:val="nil"/>
              <w:left w:val="nil"/>
              <w:bottom w:val="single" w:sz="4" w:space="0" w:color="auto"/>
              <w:right w:val="single" w:sz="8" w:space="0" w:color="auto"/>
            </w:tcBorders>
            <w:shd w:val="clear" w:color="auto" w:fill="auto"/>
            <w:hideMark/>
          </w:tcPr>
          <w:p w14:paraId="0FC5AF14"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200,000</w:t>
            </w:r>
          </w:p>
        </w:tc>
        <w:tc>
          <w:tcPr>
            <w:tcW w:w="571" w:type="pct"/>
            <w:tcBorders>
              <w:top w:val="nil"/>
              <w:left w:val="nil"/>
              <w:bottom w:val="single" w:sz="4" w:space="0" w:color="auto"/>
              <w:right w:val="single" w:sz="8" w:space="0" w:color="auto"/>
            </w:tcBorders>
            <w:shd w:val="clear" w:color="000000" w:fill="EFEFEF"/>
            <w:hideMark/>
          </w:tcPr>
          <w:p w14:paraId="2DDA4CF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200,000</w:t>
            </w:r>
          </w:p>
        </w:tc>
        <w:tc>
          <w:tcPr>
            <w:tcW w:w="571" w:type="pct"/>
            <w:tcBorders>
              <w:top w:val="nil"/>
              <w:left w:val="nil"/>
              <w:bottom w:val="single" w:sz="4" w:space="0" w:color="auto"/>
              <w:right w:val="single" w:sz="8" w:space="0" w:color="auto"/>
            </w:tcBorders>
            <w:shd w:val="clear" w:color="auto" w:fill="auto"/>
            <w:hideMark/>
          </w:tcPr>
          <w:p w14:paraId="2AC64F48"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200,000</w:t>
            </w:r>
          </w:p>
        </w:tc>
        <w:tc>
          <w:tcPr>
            <w:tcW w:w="571" w:type="pct"/>
            <w:tcBorders>
              <w:top w:val="nil"/>
              <w:left w:val="nil"/>
              <w:bottom w:val="single" w:sz="4" w:space="0" w:color="auto"/>
              <w:right w:val="single" w:sz="8" w:space="0" w:color="auto"/>
            </w:tcBorders>
            <w:shd w:val="clear" w:color="000000" w:fill="EFEFEF"/>
            <w:hideMark/>
          </w:tcPr>
          <w:p w14:paraId="14DC4A8F"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200,000</w:t>
            </w:r>
          </w:p>
        </w:tc>
        <w:tc>
          <w:tcPr>
            <w:tcW w:w="624" w:type="pct"/>
            <w:tcBorders>
              <w:top w:val="nil"/>
              <w:left w:val="nil"/>
              <w:bottom w:val="single" w:sz="4" w:space="0" w:color="auto"/>
              <w:right w:val="single" w:sz="12" w:space="0" w:color="auto"/>
            </w:tcBorders>
            <w:shd w:val="clear" w:color="auto" w:fill="auto"/>
            <w:hideMark/>
          </w:tcPr>
          <w:p w14:paraId="62251BC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1,000,000</w:t>
            </w:r>
          </w:p>
        </w:tc>
      </w:tr>
      <w:tr w:rsidR="004D407A" w:rsidRPr="004D407A" w14:paraId="19FF9F9D" w14:textId="77777777" w:rsidTr="00434FF2">
        <w:trPr>
          <w:trHeight w:val="285"/>
        </w:trPr>
        <w:tc>
          <w:tcPr>
            <w:tcW w:w="1468" w:type="pct"/>
            <w:tcBorders>
              <w:top w:val="nil"/>
              <w:left w:val="single" w:sz="12" w:space="0" w:color="auto"/>
              <w:bottom w:val="single" w:sz="4" w:space="0" w:color="auto"/>
              <w:right w:val="single" w:sz="8" w:space="0" w:color="auto"/>
            </w:tcBorders>
            <w:shd w:val="clear" w:color="000000" w:fill="E44C0C"/>
            <w:hideMark/>
          </w:tcPr>
          <w:p w14:paraId="672324EB"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2. HUMAN RESOURCES MANAGEMENT</w:t>
            </w:r>
          </w:p>
        </w:tc>
        <w:tc>
          <w:tcPr>
            <w:tcW w:w="624" w:type="pct"/>
            <w:tcBorders>
              <w:top w:val="nil"/>
              <w:left w:val="nil"/>
              <w:bottom w:val="single" w:sz="4" w:space="0" w:color="auto"/>
              <w:right w:val="single" w:sz="8" w:space="0" w:color="auto"/>
            </w:tcBorders>
            <w:shd w:val="clear" w:color="000000" w:fill="E44C0C"/>
            <w:hideMark/>
          </w:tcPr>
          <w:p w14:paraId="4A4C46A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2,161,431</w:t>
            </w:r>
          </w:p>
        </w:tc>
        <w:tc>
          <w:tcPr>
            <w:tcW w:w="571" w:type="pct"/>
            <w:tcBorders>
              <w:top w:val="nil"/>
              <w:left w:val="nil"/>
              <w:bottom w:val="single" w:sz="4" w:space="0" w:color="auto"/>
              <w:right w:val="single" w:sz="8" w:space="0" w:color="auto"/>
            </w:tcBorders>
            <w:shd w:val="clear" w:color="000000" w:fill="E44C0C"/>
            <w:hideMark/>
          </w:tcPr>
          <w:p w14:paraId="6B3E609B"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7,229,634</w:t>
            </w:r>
          </w:p>
        </w:tc>
        <w:tc>
          <w:tcPr>
            <w:tcW w:w="571" w:type="pct"/>
            <w:tcBorders>
              <w:top w:val="nil"/>
              <w:left w:val="nil"/>
              <w:bottom w:val="single" w:sz="4" w:space="0" w:color="auto"/>
              <w:right w:val="single" w:sz="8" w:space="0" w:color="auto"/>
            </w:tcBorders>
            <w:shd w:val="clear" w:color="000000" w:fill="E44C0C"/>
            <w:hideMark/>
          </w:tcPr>
          <w:p w14:paraId="530D1D82"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5,102,505</w:t>
            </w:r>
          </w:p>
        </w:tc>
        <w:tc>
          <w:tcPr>
            <w:tcW w:w="571" w:type="pct"/>
            <w:tcBorders>
              <w:top w:val="nil"/>
              <w:left w:val="nil"/>
              <w:bottom w:val="single" w:sz="4" w:space="0" w:color="auto"/>
              <w:right w:val="single" w:sz="8" w:space="0" w:color="auto"/>
            </w:tcBorders>
            <w:shd w:val="clear" w:color="000000" w:fill="E44C0C"/>
            <w:hideMark/>
          </w:tcPr>
          <w:p w14:paraId="3931E02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2,238,239</w:t>
            </w:r>
          </w:p>
        </w:tc>
        <w:tc>
          <w:tcPr>
            <w:tcW w:w="571" w:type="pct"/>
            <w:tcBorders>
              <w:top w:val="nil"/>
              <w:left w:val="nil"/>
              <w:bottom w:val="single" w:sz="4" w:space="0" w:color="auto"/>
              <w:right w:val="single" w:sz="8" w:space="0" w:color="auto"/>
            </w:tcBorders>
            <w:shd w:val="clear" w:color="000000" w:fill="E44C0C"/>
            <w:hideMark/>
          </w:tcPr>
          <w:p w14:paraId="4971803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128,160</w:t>
            </w:r>
          </w:p>
        </w:tc>
        <w:tc>
          <w:tcPr>
            <w:tcW w:w="624" w:type="pct"/>
            <w:tcBorders>
              <w:top w:val="nil"/>
              <w:left w:val="nil"/>
              <w:bottom w:val="single" w:sz="4" w:space="0" w:color="auto"/>
              <w:right w:val="single" w:sz="12" w:space="0" w:color="auto"/>
            </w:tcBorders>
            <w:shd w:val="clear" w:color="000000" w:fill="E44C0C"/>
            <w:hideMark/>
          </w:tcPr>
          <w:p w14:paraId="22510A2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16,859,970</w:t>
            </w:r>
          </w:p>
        </w:tc>
      </w:tr>
      <w:tr w:rsidR="004D407A" w:rsidRPr="004D407A" w14:paraId="40248981" w14:textId="77777777" w:rsidTr="006409BE">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7E9AFFE8"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A. HR planning</w:t>
            </w:r>
          </w:p>
        </w:tc>
        <w:tc>
          <w:tcPr>
            <w:tcW w:w="624" w:type="pct"/>
            <w:tcBorders>
              <w:top w:val="nil"/>
              <w:left w:val="nil"/>
              <w:bottom w:val="single" w:sz="4" w:space="0" w:color="auto"/>
              <w:right w:val="single" w:sz="8" w:space="0" w:color="auto"/>
            </w:tcBorders>
            <w:shd w:val="clear" w:color="000000" w:fill="EFEFEF"/>
            <w:hideMark/>
          </w:tcPr>
          <w:p w14:paraId="1B58582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4,684</w:t>
            </w:r>
          </w:p>
        </w:tc>
        <w:tc>
          <w:tcPr>
            <w:tcW w:w="571" w:type="pct"/>
            <w:tcBorders>
              <w:top w:val="nil"/>
              <w:left w:val="nil"/>
              <w:bottom w:val="single" w:sz="4" w:space="0" w:color="auto"/>
              <w:right w:val="single" w:sz="8" w:space="0" w:color="auto"/>
            </w:tcBorders>
            <w:shd w:val="clear" w:color="auto" w:fill="auto"/>
            <w:hideMark/>
          </w:tcPr>
          <w:p w14:paraId="27398C62"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13,084</w:t>
            </w:r>
          </w:p>
        </w:tc>
        <w:tc>
          <w:tcPr>
            <w:tcW w:w="571" w:type="pct"/>
            <w:tcBorders>
              <w:top w:val="nil"/>
              <w:left w:val="nil"/>
              <w:bottom w:val="single" w:sz="4" w:space="0" w:color="auto"/>
              <w:right w:val="single" w:sz="8" w:space="0" w:color="auto"/>
            </w:tcBorders>
            <w:shd w:val="clear" w:color="000000" w:fill="EFEFEF"/>
            <w:hideMark/>
          </w:tcPr>
          <w:p w14:paraId="65CB4D63"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4,684</w:t>
            </w:r>
          </w:p>
        </w:tc>
        <w:tc>
          <w:tcPr>
            <w:tcW w:w="571" w:type="pct"/>
            <w:tcBorders>
              <w:top w:val="nil"/>
              <w:left w:val="nil"/>
              <w:bottom w:val="single" w:sz="4" w:space="0" w:color="auto"/>
              <w:right w:val="single" w:sz="8" w:space="0" w:color="auto"/>
            </w:tcBorders>
            <w:shd w:val="clear" w:color="auto" w:fill="auto"/>
          </w:tcPr>
          <w:p w14:paraId="4364BB3D" w14:textId="5956BA52"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0A6FD8B2" w14:textId="6D11A794"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hideMark/>
          </w:tcPr>
          <w:p w14:paraId="7FD8EDB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22,452</w:t>
            </w:r>
          </w:p>
        </w:tc>
      </w:tr>
      <w:tr w:rsidR="004D407A" w:rsidRPr="004D407A" w14:paraId="1F8D0AE9"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54BBF5CD"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B. Capacity-building</w:t>
            </w:r>
          </w:p>
        </w:tc>
        <w:tc>
          <w:tcPr>
            <w:tcW w:w="624" w:type="pct"/>
            <w:tcBorders>
              <w:top w:val="nil"/>
              <w:left w:val="nil"/>
              <w:bottom w:val="single" w:sz="4" w:space="0" w:color="auto"/>
              <w:right w:val="single" w:sz="8" w:space="0" w:color="auto"/>
            </w:tcBorders>
            <w:shd w:val="clear" w:color="000000" w:fill="EFEFEF"/>
            <w:hideMark/>
          </w:tcPr>
          <w:p w14:paraId="49D18E7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2,156,747</w:t>
            </w:r>
          </w:p>
        </w:tc>
        <w:tc>
          <w:tcPr>
            <w:tcW w:w="571" w:type="pct"/>
            <w:tcBorders>
              <w:top w:val="nil"/>
              <w:left w:val="nil"/>
              <w:bottom w:val="single" w:sz="4" w:space="0" w:color="auto"/>
              <w:right w:val="single" w:sz="8" w:space="0" w:color="auto"/>
            </w:tcBorders>
            <w:shd w:val="clear" w:color="auto" w:fill="auto"/>
            <w:hideMark/>
          </w:tcPr>
          <w:p w14:paraId="07525E2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7,216,550</w:t>
            </w:r>
          </w:p>
        </w:tc>
        <w:tc>
          <w:tcPr>
            <w:tcW w:w="571" w:type="pct"/>
            <w:tcBorders>
              <w:top w:val="nil"/>
              <w:left w:val="nil"/>
              <w:bottom w:val="single" w:sz="4" w:space="0" w:color="auto"/>
              <w:right w:val="single" w:sz="8" w:space="0" w:color="auto"/>
            </w:tcBorders>
            <w:shd w:val="clear" w:color="000000" w:fill="EFEFEF"/>
            <w:hideMark/>
          </w:tcPr>
          <w:p w14:paraId="7DF263C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5,097,821</w:t>
            </w:r>
          </w:p>
        </w:tc>
        <w:tc>
          <w:tcPr>
            <w:tcW w:w="571" w:type="pct"/>
            <w:tcBorders>
              <w:top w:val="nil"/>
              <w:left w:val="nil"/>
              <w:bottom w:val="single" w:sz="4" w:space="0" w:color="auto"/>
              <w:right w:val="single" w:sz="8" w:space="0" w:color="auto"/>
            </w:tcBorders>
            <w:shd w:val="clear" w:color="auto" w:fill="auto"/>
            <w:hideMark/>
          </w:tcPr>
          <w:p w14:paraId="56EB3EFB"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2,238,239</w:t>
            </w:r>
          </w:p>
        </w:tc>
        <w:tc>
          <w:tcPr>
            <w:tcW w:w="571" w:type="pct"/>
            <w:tcBorders>
              <w:top w:val="nil"/>
              <w:left w:val="nil"/>
              <w:bottom w:val="single" w:sz="4" w:space="0" w:color="auto"/>
              <w:right w:val="single" w:sz="8" w:space="0" w:color="auto"/>
            </w:tcBorders>
            <w:shd w:val="clear" w:color="000000" w:fill="EFEFEF"/>
            <w:hideMark/>
          </w:tcPr>
          <w:p w14:paraId="19DC141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128,160</w:t>
            </w:r>
          </w:p>
        </w:tc>
        <w:tc>
          <w:tcPr>
            <w:tcW w:w="624" w:type="pct"/>
            <w:tcBorders>
              <w:top w:val="nil"/>
              <w:left w:val="nil"/>
              <w:bottom w:val="single" w:sz="4" w:space="0" w:color="auto"/>
              <w:right w:val="single" w:sz="12" w:space="0" w:color="auto"/>
            </w:tcBorders>
            <w:shd w:val="clear" w:color="auto" w:fill="auto"/>
            <w:hideMark/>
          </w:tcPr>
          <w:p w14:paraId="2AFBF90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16,837,518</w:t>
            </w:r>
          </w:p>
        </w:tc>
      </w:tr>
      <w:tr w:rsidR="004D407A" w:rsidRPr="004D407A" w14:paraId="786FB937" w14:textId="77777777" w:rsidTr="006409BE">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00E85B2C"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C. Supervision &amp; performance monitoring</w:t>
            </w:r>
          </w:p>
        </w:tc>
        <w:tc>
          <w:tcPr>
            <w:tcW w:w="624" w:type="pct"/>
            <w:tcBorders>
              <w:top w:val="nil"/>
              <w:left w:val="nil"/>
              <w:bottom w:val="single" w:sz="4" w:space="0" w:color="auto"/>
              <w:right w:val="single" w:sz="8" w:space="0" w:color="auto"/>
            </w:tcBorders>
            <w:shd w:val="clear" w:color="000000" w:fill="EFEFEF"/>
          </w:tcPr>
          <w:p w14:paraId="6CFE683F" w14:textId="2463FA56"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76F21ABE" w14:textId="5384B015"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40F8D8F2" w14:textId="48BE9C72"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25A78160" w14:textId="23C1469C"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261B01F7" w14:textId="6A3238FE"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tcPr>
          <w:p w14:paraId="75271C25" w14:textId="7EDFC915" w:rsidR="00434FF2" w:rsidRPr="004D407A" w:rsidRDefault="00434FF2" w:rsidP="00434FF2">
            <w:pPr>
              <w:spacing w:after="0" w:line="240" w:lineRule="auto"/>
              <w:jc w:val="right"/>
              <w:rPr>
                <w:rFonts w:ascii="Helvetica Neue" w:eastAsia="Times New Roman" w:hAnsi="Helvetica Neue" w:cs="Calibri"/>
                <w:sz w:val="16"/>
                <w:szCs w:val="20"/>
              </w:rPr>
            </w:pPr>
          </w:p>
        </w:tc>
      </w:tr>
      <w:tr w:rsidR="004D407A" w:rsidRPr="004D407A" w14:paraId="05B7637A" w14:textId="77777777" w:rsidTr="006409BE">
        <w:trPr>
          <w:trHeight w:val="510"/>
        </w:trPr>
        <w:tc>
          <w:tcPr>
            <w:tcW w:w="1468" w:type="pct"/>
            <w:tcBorders>
              <w:top w:val="nil"/>
              <w:left w:val="single" w:sz="12" w:space="0" w:color="auto"/>
              <w:bottom w:val="single" w:sz="4" w:space="0" w:color="auto"/>
              <w:right w:val="single" w:sz="8" w:space="0" w:color="auto"/>
            </w:tcBorders>
            <w:shd w:val="clear" w:color="auto" w:fill="auto"/>
            <w:hideMark/>
          </w:tcPr>
          <w:p w14:paraId="712163E5"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D. Multiple Sub-Components of Human Resources Management</w:t>
            </w:r>
          </w:p>
        </w:tc>
        <w:tc>
          <w:tcPr>
            <w:tcW w:w="624" w:type="pct"/>
            <w:tcBorders>
              <w:top w:val="nil"/>
              <w:left w:val="nil"/>
              <w:bottom w:val="single" w:sz="4" w:space="0" w:color="auto"/>
              <w:right w:val="single" w:sz="8" w:space="0" w:color="auto"/>
            </w:tcBorders>
            <w:shd w:val="clear" w:color="000000" w:fill="EFEFEF"/>
          </w:tcPr>
          <w:p w14:paraId="29023E35" w14:textId="2C3FC15D"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56192E07" w14:textId="2F38AC89"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1F0793EB" w14:textId="375E142C"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00C25BE4" w14:textId="7D581657"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3B4BF22D" w14:textId="2881243E"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tcPr>
          <w:p w14:paraId="6B96729A" w14:textId="2A876D84" w:rsidR="00434FF2" w:rsidRPr="004D407A" w:rsidRDefault="00434FF2" w:rsidP="00434FF2">
            <w:pPr>
              <w:spacing w:after="0" w:line="240" w:lineRule="auto"/>
              <w:jc w:val="right"/>
              <w:rPr>
                <w:rFonts w:ascii="Helvetica Neue" w:eastAsia="Times New Roman" w:hAnsi="Helvetica Neue" w:cs="Calibri"/>
                <w:sz w:val="16"/>
                <w:szCs w:val="20"/>
              </w:rPr>
            </w:pPr>
          </w:p>
        </w:tc>
      </w:tr>
      <w:tr w:rsidR="004D407A" w:rsidRPr="004D407A" w14:paraId="37F74738" w14:textId="77777777" w:rsidTr="00434FF2">
        <w:trPr>
          <w:trHeight w:val="510"/>
        </w:trPr>
        <w:tc>
          <w:tcPr>
            <w:tcW w:w="1468" w:type="pct"/>
            <w:tcBorders>
              <w:top w:val="nil"/>
              <w:left w:val="single" w:sz="12" w:space="0" w:color="auto"/>
              <w:bottom w:val="single" w:sz="4" w:space="0" w:color="auto"/>
              <w:right w:val="single" w:sz="8" w:space="0" w:color="auto"/>
            </w:tcBorders>
            <w:shd w:val="clear" w:color="000000" w:fill="E44C0C"/>
            <w:hideMark/>
          </w:tcPr>
          <w:p w14:paraId="676FF797"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3. VACCINE SUPPLY, QUALITY &amp; LOGISTICS</w:t>
            </w:r>
          </w:p>
        </w:tc>
        <w:tc>
          <w:tcPr>
            <w:tcW w:w="624" w:type="pct"/>
            <w:tcBorders>
              <w:top w:val="nil"/>
              <w:left w:val="nil"/>
              <w:bottom w:val="single" w:sz="4" w:space="0" w:color="auto"/>
              <w:right w:val="single" w:sz="8" w:space="0" w:color="auto"/>
            </w:tcBorders>
            <w:shd w:val="clear" w:color="000000" w:fill="E44C0C"/>
            <w:hideMark/>
          </w:tcPr>
          <w:p w14:paraId="4D7A458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89,231,621</w:t>
            </w:r>
          </w:p>
        </w:tc>
        <w:tc>
          <w:tcPr>
            <w:tcW w:w="571" w:type="pct"/>
            <w:tcBorders>
              <w:top w:val="nil"/>
              <w:left w:val="nil"/>
              <w:bottom w:val="single" w:sz="4" w:space="0" w:color="auto"/>
              <w:right w:val="single" w:sz="8" w:space="0" w:color="auto"/>
            </w:tcBorders>
            <w:shd w:val="clear" w:color="000000" w:fill="E44C0C"/>
            <w:hideMark/>
          </w:tcPr>
          <w:p w14:paraId="66C9440C"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87,278,805</w:t>
            </w:r>
          </w:p>
        </w:tc>
        <w:tc>
          <w:tcPr>
            <w:tcW w:w="571" w:type="pct"/>
            <w:tcBorders>
              <w:top w:val="nil"/>
              <w:left w:val="nil"/>
              <w:bottom w:val="single" w:sz="4" w:space="0" w:color="auto"/>
              <w:right w:val="single" w:sz="8" w:space="0" w:color="auto"/>
            </w:tcBorders>
            <w:shd w:val="clear" w:color="000000" w:fill="E44C0C"/>
            <w:hideMark/>
          </w:tcPr>
          <w:p w14:paraId="5244669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88,352,037</w:t>
            </w:r>
          </w:p>
        </w:tc>
        <w:tc>
          <w:tcPr>
            <w:tcW w:w="571" w:type="pct"/>
            <w:tcBorders>
              <w:top w:val="nil"/>
              <w:left w:val="nil"/>
              <w:bottom w:val="single" w:sz="4" w:space="0" w:color="auto"/>
              <w:right w:val="single" w:sz="8" w:space="0" w:color="auto"/>
            </w:tcBorders>
            <w:shd w:val="clear" w:color="000000" w:fill="E44C0C"/>
            <w:hideMark/>
          </w:tcPr>
          <w:p w14:paraId="251F72D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86,384,082</w:t>
            </w:r>
          </w:p>
        </w:tc>
        <w:tc>
          <w:tcPr>
            <w:tcW w:w="571" w:type="pct"/>
            <w:tcBorders>
              <w:top w:val="nil"/>
              <w:left w:val="nil"/>
              <w:bottom w:val="single" w:sz="4" w:space="0" w:color="auto"/>
              <w:right w:val="single" w:sz="8" w:space="0" w:color="auto"/>
            </w:tcBorders>
            <w:shd w:val="clear" w:color="000000" w:fill="E44C0C"/>
            <w:hideMark/>
          </w:tcPr>
          <w:p w14:paraId="428645E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87,221,127</w:t>
            </w:r>
          </w:p>
        </w:tc>
        <w:tc>
          <w:tcPr>
            <w:tcW w:w="624" w:type="pct"/>
            <w:tcBorders>
              <w:top w:val="nil"/>
              <w:left w:val="nil"/>
              <w:bottom w:val="single" w:sz="4" w:space="0" w:color="auto"/>
              <w:right w:val="single" w:sz="12" w:space="0" w:color="auto"/>
            </w:tcBorders>
            <w:shd w:val="clear" w:color="000000" w:fill="E44C0C"/>
            <w:hideMark/>
          </w:tcPr>
          <w:p w14:paraId="3433880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438,467,672</w:t>
            </w:r>
          </w:p>
        </w:tc>
      </w:tr>
      <w:tr w:rsidR="004D407A" w:rsidRPr="004D407A" w14:paraId="1D4D9664"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247409C9"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A. Cold chain</w:t>
            </w:r>
          </w:p>
        </w:tc>
        <w:tc>
          <w:tcPr>
            <w:tcW w:w="624" w:type="pct"/>
            <w:tcBorders>
              <w:top w:val="nil"/>
              <w:left w:val="nil"/>
              <w:bottom w:val="single" w:sz="4" w:space="0" w:color="auto"/>
              <w:right w:val="single" w:sz="8" w:space="0" w:color="auto"/>
            </w:tcBorders>
            <w:shd w:val="clear" w:color="000000" w:fill="EFEFEF"/>
            <w:hideMark/>
          </w:tcPr>
          <w:p w14:paraId="12A820B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8,032,400</w:t>
            </w:r>
          </w:p>
        </w:tc>
        <w:tc>
          <w:tcPr>
            <w:tcW w:w="571" w:type="pct"/>
            <w:tcBorders>
              <w:top w:val="nil"/>
              <w:left w:val="nil"/>
              <w:bottom w:val="single" w:sz="4" w:space="0" w:color="auto"/>
              <w:right w:val="single" w:sz="8" w:space="0" w:color="auto"/>
            </w:tcBorders>
            <w:shd w:val="clear" w:color="auto" w:fill="auto"/>
            <w:hideMark/>
          </w:tcPr>
          <w:p w14:paraId="56FBC4E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4,993,000</w:t>
            </w:r>
          </w:p>
        </w:tc>
        <w:tc>
          <w:tcPr>
            <w:tcW w:w="571" w:type="pct"/>
            <w:tcBorders>
              <w:top w:val="nil"/>
              <w:left w:val="nil"/>
              <w:bottom w:val="single" w:sz="4" w:space="0" w:color="auto"/>
              <w:right w:val="single" w:sz="8" w:space="0" w:color="auto"/>
            </w:tcBorders>
            <w:shd w:val="clear" w:color="000000" w:fill="EFEFEF"/>
            <w:hideMark/>
          </w:tcPr>
          <w:p w14:paraId="13BDA32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4,966,000</w:t>
            </w:r>
          </w:p>
        </w:tc>
        <w:tc>
          <w:tcPr>
            <w:tcW w:w="571" w:type="pct"/>
            <w:tcBorders>
              <w:top w:val="nil"/>
              <w:left w:val="nil"/>
              <w:bottom w:val="single" w:sz="4" w:space="0" w:color="auto"/>
              <w:right w:val="single" w:sz="8" w:space="0" w:color="auto"/>
            </w:tcBorders>
            <w:shd w:val="clear" w:color="auto" w:fill="auto"/>
            <w:hideMark/>
          </w:tcPr>
          <w:p w14:paraId="6D28720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1,959,000</w:t>
            </w:r>
          </w:p>
        </w:tc>
        <w:tc>
          <w:tcPr>
            <w:tcW w:w="571" w:type="pct"/>
            <w:tcBorders>
              <w:top w:val="nil"/>
              <w:left w:val="nil"/>
              <w:bottom w:val="single" w:sz="4" w:space="0" w:color="auto"/>
              <w:right w:val="single" w:sz="8" w:space="0" w:color="auto"/>
            </w:tcBorders>
            <w:shd w:val="clear" w:color="000000" w:fill="EFEFEF"/>
            <w:hideMark/>
          </w:tcPr>
          <w:p w14:paraId="43AB10C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1,743,000</w:t>
            </w:r>
          </w:p>
        </w:tc>
        <w:tc>
          <w:tcPr>
            <w:tcW w:w="624" w:type="pct"/>
            <w:tcBorders>
              <w:top w:val="nil"/>
              <w:left w:val="nil"/>
              <w:bottom w:val="single" w:sz="4" w:space="0" w:color="auto"/>
              <w:right w:val="single" w:sz="12" w:space="0" w:color="auto"/>
            </w:tcBorders>
            <w:shd w:val="clear" w:color="auto" w:fill="auto"/>
            <w:hideMark/>
          </w:tcPr>
          <w:p w14:paraId="14AF1F39"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21,693,400</w:t>
            </w:r>
          </w:p>
        </w:tc>
      </w:tr>
      <w:tr w:rsidR="004D407A" w:rsidRPr="004D407A" w14:paraId="49D1B3C5"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448F3526"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B. Supply management</w:t>
            </w:r>
          </w:p>
        </w:tc>
        <w:tc>
          <w:tcPr>
            <w:tcW w:w="624" w:type="pct"/>
            <w:tcBorders>
              <w:top w:val="nil"/>
              <w:left w:val="nil"/>
              <w:bottom w:val="single" w:sz="4" w:space="0" w:color="auto"/>
              <w:right w:val="single" w:sz="8" w:space="0" w:color="auto"/>
            </w:tcBorders>
            <w:shd w:val="clear" w:color="000000" w:fill="EFEFEF"/>
            <w:hideMark/>
          </w:tcPr>
          <w:p w14:paraId="44F6BCD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80,699,221</w:t>
            </w:r>
          </w:p>
        </w:tc>
        <w:tc>
          <w:tcPr>
            <w:tcW w:w="571" w:type="pct"/>
            <w:tcBorders>
              <w:top w:val="nil"/>
              <w:left w:val="nil"/>
              <w:bottom w:val="single" w:sz="4" w:space="0" w:color="auto"/>
              <w:right w:val="single" w:sz="8" w:space="0" w:color="auto"/>
            </w:tcBorders>
            <w:shd w:val="clear" w:color="auto" w:fill="auto"/>
            <w:hideMark/>
          </w:tcPr>
          <w:p w14:paraId="48B722E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81,748,305</w:t>
            </w:r>
          </w:p>
        </w:tc>
        <w:tc>
          <w:tcPr>
            <w:tcW w:w="571" w:type="pct"/>
            <w:tcBorders>
              <w:top w:val="nil"/>
              <w:left w:val="nil"/>
              <w:bottom w:val="single" w:sz="4" w:space="0" w:color="auto"/>
              <w:right w:val="single" w:sz="8" w:space="0" w:color="auto"/>
            </w:tcBorders>
            <w:shd w:val="clear" w:color="000000" w:fill="EFEFEF"/>
            <w:hideMark/>
          </w:tcPr>
          <w:p w14:paraId="34C2C47F"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82,811,037</w:t>
            </w:r>
          </w:p>
        </w:tc>
        <w:tc>
          <w:tcPr>
            <w:tcW w:w="571" w:type="pct"/>
            <w:tcBorders>
              <w:top w:val="nil"/>
              <w:left w:val="nil"/>
              <w:bottom w:val="single" w:sz="4" w:space="0" w:color="auto"/>
              <w:right w:val="single" w:sz="8" w:space="0" w:color="auto"/>
            </w:tcBorders>
            <w:shd w:val="clear" w:color="auto" w:fill="auto"/>
            <w:hideMark/>
          </w:tcPr>
          <w:p w14:paraId="2EF9080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83,887,582</w:t>
            </w:r>
          </w:p>
        </w:tc>
        <w:tc>
          <w:tcPr>
            <w:tcW w:w="571" w:type="pct"/>
            <w:tcBorders>
              <w:top w:val="nil"/>
              <w:left w:val="nil"/>
              <w:bottom w:val="single" w:sz="4" w:space="0" w:color="auto"/>
              <w:right w:val="single" w:sz="8" w:space="0" w:color="auto"/>
            </w:tcBorders>
            <w:shd w:val="clear" w:color="000000" w:fill="EFEFEF"/>
            <w:hideMark/>
          </w:tcPr>
          <w:p w14:paraId="22B6418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84,978,127</w:t>
            </w:r>
          </w:p>
        </w:tc>
        <w:tc>
          <w:tcPr>
            <w:tcW w:w="624" w:type="pct"/>
            <w:tcBorders>
              <w:top w:val="nil"/>
              <w:left w:val="nil"/>
              <w:bottom w:val="single" w:sz="4" w:space="0" w:color="auto"/>
              <w:right w:val="single" w:sz="12" w:space="0" w:color="auto"/>
            </w:tcBorders>
            <w:shd w:val="clear" w:color="auto" w:fill="auto"/>
            <w:hideMark/>
          </w:tcPr>
          <w:p w14:paraId="44FD708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414,124,272</w:t>
            </w:r>
          </w:p>
        </w:tc>
      </w:tr>
      <w:tr w:rsidR="004D407A" w:rsidRPr="004D407A" w14:paraId="1F955979" w14:textId="77777777" w:rsidTr="006409BE">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0CEA5B2B"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C. Transport</w:t>
            </w:r>
          </w:p>
        </w:tc>
        <w:tc>
          <w:tcPr>
            <w:tcW w:w="624" w:type="pct"/>
            <w:tcBorders>
              <w:top w:val="nil"/>
              <w:left w:val="nil"/>
              <w:bottom w:val="single" w:sz="4" w:space="0" w:color="auto"/>
              <w:right w:val="single" w:sz="8" w:space="0" w:color="auto"/>
            </w:tcBorders>
            <w:shd w:val="clear" w:color="000000" w:fill="EFEFEF"/>
          </w:tcPr>
          <w:p w14:paraId="15B848DB" w14:textId="52D11BE2"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59CFB0EE" w14:textId="55E1CF0D"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0FC37D38" w14:textId="10BDA14D"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59A79041" w14:textId="3A1D4A71"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0C55EF53" w14:textId="6ED9F1C7"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tcPr>
          <w:p w14:paraId="57CAF13B" w14:textId="4E961615" w:rsidR="00434FF2" w:rsidRPr="004D407A" w:rsidRDefault="00434FF2" w:rsidP="00434FF2">
            <w:pPr>
              <w:spacing w:after="0" w:line="240" w:lineRule="auto"/>
              <w:jc w:val="right"/>
              <w:rPr>
                <w:rFonts w:ascii="Helvetica Neue" w:eastAsia="Times New Roman" w:hAnsi="Helvetica Neue" w:cs="Calibri"/>
                <w:sz w:val="16"/>
                <w:szCs w:val="20"/>
              </w:rPr>
            </w:pPr>
          </w:p>
        </w:tc>
      </w:tr>
      <w:tr w:rsidR="004D407A" w:rsidRPr="004D407A" w14:paraId="5808E52E" w14:textId="77777777" w:rsidTr="006409BE">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3F964628"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D. Waste management</w:t>
            </w:r>
          </w:p>
        </w:tc>
        <w:tc>
          <w:tcPr>
            <w:tcW w:w="624" w:type="pct"/>
            <w:tcBorders>
              <w:top w:val="nil"/>
              <w:left w:val="nil"/>
              <w:bottom w:val="single" w:sz="4" w:space="0" w:color="auto"/>
              <w:right w:val="single" w:sz="8" w:space="0" w:color="auto"/>
            </w:tcBorders>
            <w:shd w:val="clear" w:color="000000" w:fill="EFEFEF"/>
          </w:tcPr>
          <w:p w14:paraId="030E4626" w14:textId="30E46B59"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55A5DC92" w14:textId="2F6AD7C5"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570BB2CB" w14:textId="5745E4E4"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76D6F9D9" w14:textId="7E49260E"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303BED73" w14:textId="7902DF9B"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tcPr>
          <w:p w14:paraId="061112BF" w14:textId="3B27981A" w:rsidR="00434FF2" w:rsidRPr="004D407A" w:rsidRDefault="00434FF2" w:rsidP="00434FF2">
            <w:pPr>
              <w:spacing w:after="0" w:line="240" w:lineRule="auto"/>
              <w:jc w:val="right"/>
              <w:rPr>
                <w:rFonts w:ascii="Helvetica Neue" w:eastAsia="Times New Roman" w:hAnsi="Helvetica Neue" w:cs="Calibri"/>
                <w:sz w:val="16"/>
                <w:szCs w:val="20"/>
              </w:rPr>
            </w:pPr>
          </w:p>
        </w:tc>
      </w:tr>
      <w:tr w:rsidR="004D407A" w:rsidRPr="004D407A" w14:paraId="6214C6F8" w14:textId="77777777" w:rsidTr="00434FF2">
        <w:trPr>
          <w:trHeight w:val="510"/>
        </w:trPr>
        <w:tc>
          <w:tcPr>
            <w:tcW w:w="1468" w:type="pct"/>
            <w:tcBorders>
              <w:top w:val="nil"/>
              <w:left w:val="single" w:sz="12" w:space="0" w:color="auto"/>
              <w:bottom w:val="single" w:sz="4" w:space="0" w:color="auto"/>
              <w:right w:val="single" w:sz="8" w:space="0" w:color="auto"/>
            </w:tcBorders>
            <w:shd w:val="clear" w:color="auto" w:fill="auto"/>
            <w:hideMark/>
          </w:tcPr>
          <w:p w14:paraId="684CED9A"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E. Multiple Sub-Components of Vaccine Supply, Quality &amp; Logistics</w:t>
            </w:r>
          </w:p>
        </w:tc>
        <w:tc>
          <w:tcPr>
            <w:tcW w:w="624" w:type="pct"/>
            <w:tcBorders>
              <w:top w:val="nil"/>
              <w:left w:val="nil"/>
              <w:bottom w:val="single" w:sz="4" w:space="0" w:color="auto"/>
              <w:right w:val="single" w:sz="8" w:space="0" w:color="auto"/>
            </w:tcBorders>
            <w:shd w:val="clear" w:color="000000" w:fill="EFEFEF"/>
            <w:hideMark/>
          </w:tcPr>
          <w:p w14:paraId="6A44094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500,000</w:t>
            </w:r>
          </w:p>
        </w:tc>
        <w:tc>
          <w:tcPr>
            <w:tcW w:w="571" w:type="pct"/>
            <w:tcBorders>
              <w:top w:val="nil"/>
              <w:left w:val="nil"/>
              <w:bottom w:val="single" w:sz="4" w:space="0" w:color="auto"/>
              <w:right w:val="single" w:sz="8" w:space="0" w:color="auto"/>
            </w:tcBorders>
            <w:shd w:val="clear" w:color="auto" w:fill="auto"/>
            <w:hideMark/>
          </w:tcPr>
          <w:p w14:paraId="4F23FA6C"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537,500</w:t>
            </w:r>
          </w:p>
        </w:tc>
        <w:tc>
          <w:tcPr>
            <w:tcW w:w="571" w:type="pct"/>
            <w:tcBorders>
              <w:top w:val="nil"/>
              <w:left w:val="nil"/>
              <w:bottom w:val="single" w:sz="4" w:space="0" w:color="auto"/>
              <w:right w:val="single" w:sz="8" w:space="0" w:color="auto"/>
            </w:tcBorders>
            <w:shd w:val="clear" w:color="000000" w:fill="EFEFEF"/>
            <w:hideMark/>
          </w:tcPr>
          <w:p w14:paraId="324AEC1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575,000</w:t>
            </w:r>
          </w:p>
        </w:tc>
        <w:tc>
          <w:tcPr>
            <w:tcW w:w="571" w:type="pct"/>
            <w:tcBorders>
              <w:top w:val="nil"/>
              <w:left w:val="nil"/>
              <w:bottom w:val="single" w:sz="4" w:space="0" w:color="auto"/>
              <w:right w:val="single" w:sz="8" w:space="0" w:color="auto"/>
            </w:tcBorders>
            <w:shd w:val="clear" w:color="auto" w:fill="auto"/>
            <w:hideMark/>
          </w:tcPr>
          <w:p w14:paraId="7F4FBC3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537,500</w:t>
            </w:r>
          </w:p>
        </w:tc>
        <w:tc>
          <w:tcPr>
            <w:tcW w:w="571" w:type="pct"/>
            <w:tcBorders>
              <w:top w:val="nil"/>
              <w:left w:val="nil"/>
              <w:bottom w:val="single" w:sz="4" w:space="0" w:color="auto"/>
              <w:right w:val="single" w:sz="8" w:space="0" w:color="auto"/>
            </w:tcBorders>
            <w:shd w:val="clear" w:color="000000" w:fill="EFEFEF"/>
            <w:hideMark/>
          </w:tcPr>
          <w:p w14:paraId="30F47AF9"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500,000</w:t>
            </w:r>
          </w:p>
        </w:tc>
        <w:tc>
          <w:tcPr>
            <w:tcW w:w="624" w:type="pct"/>
            <w:tcBorders>
              <w:top w:val="nil"/>
              <w:left w:val="nil"/>
              <w:bottom w:val="single" w:sz="4" w:space="0" w:color="auto"/>
              <w:right w:val="single" w:sz="12" w:space="0" w:color="auto"/>
            </w:tcBorders>
            <w:shd w:val="clear" w:color="auto" w:fill="auto"/>
            <w:hideMark/>
          </w:tcPr>
          <w:p w14:paraId="2E1E790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2,650,000</w:t>
            </w:r>
          </w:p>
        </w:tc>
      </w:tr>
      <w:tr w:rsidR="004D407A" w:rsidRPr="004D407A" w14:paraId="25EEB81C" w14:textId="77777777" w:rsidTr="00434FF2">
        <w:trPr>
          <w:trHeight w:val="285"/>
        </w:trPr>
        <w:tc>
          <w:tcPr>
            <w:tcW w:w="1468" w:type="pct"/>
            <w:tcBorders>
              <w:top w:val="nil"/>
              <w:left w:val="single" w:sz="12" w:space="0" w:color="auto"/>
              <w:bottom w:val="single" w:sz="4" w:space="0" w:color="auto"/>
              <w:right w:val="single" w:sz="8" w:space="0" w:color="auto"/>
            </w:tcBorders>
            <w:shd w:val="clear" w:color="000000" w:fill="E44C0C"/>
            <w:hideMark/>
          </w:tcPr>
          <w:p w14:paraId="52220D5B"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4. SERVICE DELIVERY</w:t>
            </w:r>
          </w:p>
        </w:tc>
        <w:tc>
          <w:tcPr>
            <w:tcW w:w="624" w:type="pct"/>
            <w:tcBorders>
              <w:top w:val="nil"/>
              <w:left w:val="nil"/>
              <w:bottom w:val="single" w:sz="4" w:space="0" w:color="auto"/>
              <w:right w:val="single" w:sz="8" w:space="0" w:color="auto"/>
            </w:tcBorders>
            <w:shd w:val="clear" w:color="000000" w:fill="E44C0C"/>
            <w:hideMark/>
          </w:tcPr>
          <w:p w14:paraId="7F674029"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12,056,400</w:t>
            </w:r>
          </w:p>
        </w:tc>
        <w:tc>
          <w:tcPr>
            <w:tcW w:w="571" w:type="pct"/>
            <w:tcBorders>
              <w:top w:val="nil"/>
              <w:left w:val="nil"/>
              <w:bottom w:val="single" w:sz="4" w:space="0" w:color="auto"/>
              <w:right w:val="single" w:sz="8" w:space="0" w:color="auto"/>
            </w:tcBorders>
            <w:shd w:val="clear" w:color="000000" w:fill="E44C0C"/>
            <w:hideMark/>
          </w:tcPr>
          <w:p w14:paraId="37155882"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48,000</w:t>
            </w:r>
          </w:p>
        </w:tc>
        <w:tc>
          <w:tcPr>
            <w:tcW w:w="571" w:type="pct"/>
            <w:tcBorders>
              <w:top w:val="nil"/>
              <w:left w:val="nil"/>
              <w:bottom w:val="single" w:sz="4" w:space="0" w:color="auto"/>
              <w:right w:val="single" w:sz="8" w:space="0" w:color="auto"/>
            </w:tcBorders>
            <w:shd w:val="clear" w:color="000000" w:fill="E44C0C"/>
            <w:hideMark/>
          </w:tcPr>
          <w:p w14:paraId="48F1578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24,000</w:t>
            </w:r>
          </w:p>
        </w:tc>
        <w:tc>
          <w:tcPr>
            <w:tcW w:w="571" w:type="pct"/>
            <w:tcBorders>
              <w:top w:val="nil"/>
              <w:left w:val="nil"/>
              <w:bottom w:val="single" w:sz="4" w:space="0" w:color="auto"/>
              <w:right w:val="single" w:sz="8" w:space="0" w:color="auto"/>
            </w:tcBorders>
            <w:shd w:val="clear" w:color="000000" w:fill="E44C0C"/>
            <w:hideMark/>
          </w:tcPr>
          <w:p w14:paraId="6DB8C4B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0</w:t>
            </w:r>
          </w:p>
        </w:tc>
        <w:tc>
          <w:tcPr>
            <w:tcW w:w="571" w:type="pct"/>
            <w:tcBorders>
              <w:top w:val="nil"/>
              <w:left w:val="nil"/>
              <w:bottom w:val="single" w:sz="4" w:space="0" w:color="auto"/>
              <w:right w:val="single" w:sz="8" w:space="0" w:color="auto"/>
            </w:tcBorders>
            <w:shd w:val="clear" w:color="000000" w:fill="E44C0C"/>
            <w:hideMark/>
          </w:tcPr>
          <w:p w14:paraId="646084E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0</w:t>
            </w:r>
          </w:p>
        </w:tc>
        <w:tc>
          <w:tcPr>
            <w:tcW w:w="624" w:type="pct"/>
            <w:tcBorders>
              <w:top w:val="nil"/>
              <w:left w:val="nil"/>
              <w:bottom w:val="single" w:sz="4" w:space="0" w:color="auto"/>
              <w:right w:val="single" w:sz="12" w:space="0" w:color="auto"/>
            </w:tcBorders>
            <w:shd w:val="clear" w:color="000000" w:fill="E44C0C"/>
            <w:hideMark/>
          </w:tcPr>
          <w:p w14:paraId="65D7E164"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12,128,400</w:t>
            </w:r>
          </w:p>
        </w:tc>
      </w:tr>
      <w:tr w:rsidR="004D407A" w:rsidRPr="004D407A" w14:paraId="5F1B24DF" w14:textId="77777777" w:rsidTr="006409BE">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5219CA89"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A. HR &amp; strategies</w:t>
            </w:r>
          </w:p>
        </w:tc>
        <w:tc>
          <w:tcPr>
            <w:tcW w:w="624" w:type="pct"/>
            <w:tcBorders>
              <w:top w:val="nil"/>
              <w:left w:val="nil"/>
              <w:bottom w:val="single" w:sz="4" w:space="0" w:color="auto"/>
              <w:right w:val="single" w:sz="8" w:space="0" w:color="auto"/>
            </w:tcBorders>
            <w:shd w:val="clear" w:color="000000" w:fill="EFEFEF"/>
            <w:hideMark/>
          </w:tcPr>
          <w:p w14:paraId="427BC4BC"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48,000</w:t>
            </w:r>
          </w:p>
        </w:tc>
        <w:tc>
          <w:tcPr>
            <w:tcW w:w="571" w:type="pct"/>
            <w:tcBorders>
              <w:top w:val="nil"/>
              <w:left w:val="nil"/>
              <w:bottom w:val="single" w:sz="4" w:space="0" w:color="auto"/>
              <w:right w:val="single" w:sz="8" w:space="0" w:color="auto"/>
            </w:tcBorders>
            <w:shd w:val="clear" w:color="auto" w:fill="auto"/>
            <w:hideMark/>
          </w:tcPr>
          <w:p w14:paraId="21372768"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48,000</w:t>
            </w:r>
          </w:p>
        </w:tc>
        <w:tc>
          <w:tcPr>
            <w:tcW w:w="571" w:type="pct"/>
            <w:tcBorders>
              <w:top w:val="nil"/>
              <w:left w:val="nil"/>
              <w:bottom w:val="single" w:sz="4" w:space="0" w:color="auto"/>
              <w:right w:val="single" w:sz="8" w:space="0" w:color="auto"/>
            </w:tcBorders>
            <w:shd w:val="clear" w:color="000000" w:fill="EFEFEF"/>
            <w:hideMark/>
          </w:tcPr>
          <w:p w14:paraId="5BEF82B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24,000</w:t>
            </w:r>
          </w:p>
        </w:tc>
        <w:tc>
          <w:tcPr>
            <w:tcW w:w="571" w:type="pct"/>
            <w:tcBorders>
              <w:top w:val="nil"/>
              <w:left w:val="nil"/>
              <w:bottom w:val="single" w:sz="4" w:space="0" w:color="auto"/>
              <w:right w:val="single" w:sz="8" w:space="0" w:color="auto"/>
            </w:tcBorders>
            <w:shd w:val="clear" w:color="auto" w:fill="auto"/>
          </w:tcPr>
          <w:p w14:paraId="0E76A0B1" w14:textId="6B9BB105"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77FF6397" w14:textId="691F2A03"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hideMark/>
          </w:tcPr>
          <w:p w14:paraId="1B9C880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120,000</w:t>
            </w:r>
          </w:p>
        </w:tc>
      </w:tr>
      <w:tr w:rsidR="004D407A" w:rsidRPr="004D407A" w14:paraId="3AA702BF" w14:textId="77777777" w:rsidTr="006409BE">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2F625EEC"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B. Session quality</w:t>
            </w:r>
          </w:p>
        </w:tc>
        <w:tc>
          <w:tcPr>
            <w:tcW w:w="624" w:type="pct"/>
            <w:tcBorders>
              <w:top w:val="nil"/>
              <w:left w:val="nil"/>
              <w:bottom w:val="single" w:sz="4" w:space="0" w:color="auto"/>
              <w:right w:val="single" w:sz="8" w:space="0" w:color="auto"/>
            </w:tcBorders>
            <w:shd w:val="clear" w:color="000000" w:fill="EFEFEF"/>
          </w:tcPr>
          <w:p w14:paraId="6BE04A64" w14:textId="077A5D62"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1692C32F" w14:textId="78343FA4"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1756A86F" w14:textId="55F6CD71"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7288734D" w14:textId="3B7D6E21"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77BC4E06" w14:textId="520C4344"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tcPr>
          <w:p w14:paraId="0E0A4288" w14:textId="2CA1B0E6" w:rsidR="00434FF2" w:rsidRPr="004D407A" w:rsidRDefault="00434FF2" w:rsidP="00434FF2">
            <w:pPr>
              <w:spacing w:after="0" w:line="240" w:lineRule="auto"/>
              <w:jc w:val="right"/>
              <w:rPr>
                <w:rFonts w:ascii="Helvetica Neue" w:eastAsia="Times New Roman" w:hAnsi="Helvetica Neue" w:cs="Calibri"/>
                <w:sz w:val="16"/>
                <w:szCs w:val="20"/>
              </w:rPr>
            </w:pPr>
          </w:p>
        </w:tc>
      </w:tr>
      <w:tr w:rsidR="004D407A" w:rsidRPr="004D407A" w14:paraId="72B4140B" w14:textId="77777777" w:rsidTr="006409BE">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34211ABA"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C. Integration</w:t>
            </w:r>
          </w:p>
        </w:tc>
        <w:tc>
          <w:tcPr>
            <w:tcW w:w="624" w:type="pct"/>
            <w:tcBorders>
              <w:top w:val="nil"/>
              <w:left w:val="nil"/>
              <w:bottom w:val="single" w:sz="4" w:space="0" w:color="auto"/>
              <w:right w:val="single" w:sz="8" w:space="0" w:color="auto"/>
            </w:tcBorders>
            <w:shd w:val="clear" w:color="000000" w:fill="EFEFEF"/>
          </w:tcPr>
          <w:p w14:paraId="750B1407" w14:textId="07514DD3"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450C552B" w14:textId="3A0906A9"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052C1995" w14:textId="37224DA2"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07DE1D22" w14:textId="112798EC"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6F105713" w14:textId="1EA73EF9"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tcPr>
          <w:p w14:paraId="60E956CE" w14:textId="7C5D342B" w:rsidR="00434FF2" w:rsidRPr="004D407A" w:rsidRDefault="00434FF2" w:rsidP="00434FF2">
            <w:pPr>
              <w:spacing w:after="0" w:line="240" w:lineRule="auto"/>
              <w:jc w:val="right"/>
              <w:rPr>
                <w:rFonts w:ascii="Helvetica Neue" w:eastAsia="Times New Roman" w:hAnsi="Helvetica Neue" w:cs="Calibri"/>
                <w:sz w:val="16"/>
                <w:szCs w:val="20"/>
              </w:rPr>
            </w:pPr>
          </w:p>
        </w:tc>
      </w:tr>
      <w:tr w:rsidR="004D407A" w:rsidRPr="004D407A" w14:paraId="5C5A6363" w14:textId="77777777" w:rsidTr="006409BE">
        <w:trPr>
          <w:trHeight w:val="510"/>
        </w:trPr>
        <w:tc>
          <w:tcPr>
            <w:tcW w:w="1468" w:type="pct"/>
            <w:tcBorders>
              <w:top w:val="nil"/>
              <w:left w:val="single" w:sz="12" w:space="0" w:color="auto"/>
              <w:bottom w:val="single" w:sz="4" w:space="0" w:color="auto"/>
              <w:right w:val="single" w:sz="8" w:space="0" w:color="auto"/>
            </w:tcBorders>
            <w:shd w:val="clear" w:color="auto" w:fill="auto"/>
            <w:hideMark/>
          </w:tcPr>
          <w:p w14:paraId="0171E9D4"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D. Multiple Sub-Components of Service Delivery</w:t>
            </w:r>
          </w:p>
        </w:tc>
        <w:tc>
          <w:tcPr>
            <w:tcW w:w="624" w:type="pct"/>
            <w:tcBorders>
              <w:top w:val="nil"/>
              <w:left w:val="nil"/>
              <w:bottom w:val="single" w:sz="4" w:space="0" w:color="auto"/>
              <w:right w:val="single" w:sz="8" w:space="0" w:color="auto"/>
            </w:tcBorders>
            <w:shd w:val="clear" w:color="000000" w:fill="EFEFEF"/>
            <w:hideMark/>
          </w:tcPr>
          <w:p w14:paraId="0A24190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12,008,400</w:t>
            </w:r>
          </w:p>
        </w:tc>
        <w:tc>
          <w:tcPr>
            <w:tcW w:w="571" w:type="pct"/>
            <w:tcBorders>
              <w:top w:val="nil"/>
              <w:left w:val="nil"/>
              <w:bottom w:val="single" w:sz="4" w:space="0" w:color="auto"/>
              <w:right w:val="single" w:sz="8" w:space="0" w:color="auto"/>
            </w:tcBorders>
            <w:shd w:val="clear" w:color="auto" w:fill="auto"/>
          </w:tcPr>
          <w:p w14:paraId="25DFC435" w14:textId="268C6E7B"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1476F4DE" w14:textId="434AC5A0"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329CAF0B" w14:textId="492248AC"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3FF418A4" w14:textId="1A5BA6FF"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hideMark/>
          </w:tcPr>
          <w:p w14:paraId="1262336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12,008,400</w:t>
            </w:r>
          </w:p>
        </w:tc>
      </w:tr>
      <w:tr w:rsidR="004D407A" w:rsidRPr="004D407A" w14:paraId="408D25B0" w14:textId="77777777" w:rsidTr="00434FF2">
        <w:trPr>
          <w:trHeight w:val="510"/>
        </w:trPr>
        <w:tc>
          <w:tcPr>
            <w:tcW w:w="1468" w:type="pct"/>
            <w:tcBorders>
              <w:top w:val="nil"/>
              <w:left w:val="single" w:sz="12" w:space="0" w:color="auto"/>
              <w:bottom w:val="single" w:sz="4" w:space="0" w:color="auto"/>
              <w:right w:val="single" w:sz="8" w:space="0" w:color="auto"/>
            </w:tcBorders>
            <w:shd w:val="clear" w:color="000000" w:fill="E44C0C"/>
            <w:hideMark/>
          </w:tcPr>
          <w:p w14:paraId="12A3A190"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lastRenderedPageBreak/>
              <w:t>5. IMMUNIZATION COVERAGE &amp; AEFI MONITORING</w:t>
            </w:r>
          </w:p>
        </w:tc>
        <w:tc>
          <w:tcPr>
            <w:tcW w:w="624" w:type="pct"/>
            <w:tcBorders>
              <w:top w:val="nil"/>
              <w:left w:val="nil"/>
              <w:bottom w:val="single" w:sz="4" w:space="0" w:color="auto"/>
              <w:right w:val="single" w:sz="8" w:space="0" w:color="auto"/>
            </w:tcBorders>
            <w:shd w:val="clear" w:color="000000" w:fill="E44C0C"/>
            <w:hideMark/>
          </w:tcPr>
          <w:p w14:paraId="2A79C79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882,352</w:t>
            </w:r>
          </w:p>
        </w:tc>
        <w:tc>
          <w:tcPr>
            <w:tcW w:w="571" w:type="pct"/>
            <w:tcBorders>
              <w:top w:val="nil"/>
              <w:left w:val="nil"/>
              <w:bottom w:val="single" w:sz="4" w:space="0" w:color="auto"/>
              <w:right w:val="single" w:sz="8" w:space="0" w:color="auto"/>
            </w:tcBorders>
            <w:shd w:val="clear" w:color="000000" w:fill="E44C0C"/>
            <w:hideMark/>
          </w:tcPr>
          <w:p w14:paraId="1CE9A64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687,488</w:t>
            </w:r>
          </w:p>
        </w:tc>
        <w:tc>
          <w:tcPr>
            <w:tcW w:w="571" w:type="pct"/>
            <w:tcBorders>
              <w:top w:val="nil"/>
              <w:left w:val="nil"/>
              <w:bottom w:val="single" w:sz="4" w:space="0" w:color="auto"/>
              <w:right w:val="single" w:sz="8" w:space="0" w:color="auto"/>
            </w:tcBorders>
            <w:shd w:val="clear" w:color="000000" w:fill="E44C0C"/>
            <w:hideMark/>
          </w:tcPr>
          <w:p w14:paraId="4A9C7F6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571,552</w:t>
            </w:r>
          </w:p>
        </w:tc>
        <w:tc>
          <w:tcPr>
            <w:tcW w:w="571" w:type="pct"/>
            <w:tcBorders>
              <w:top w:val="nil"/>
              <w:left w:val="nil"/>
              <w:bottom w:val="single" w:sz="4" w:space="0" w:color="auto"/>
              <w:right w:val="single" w:sz="8" w:space="0" w:color="auto"/>
            </w:tcBorders>
            <w:shd w:val="clear" w:color="000000" w:fill="E44C0C"/>
            <w:hideMark/>
          </w:tcPr>
          <w:p w14:paraId="70D17B0C"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867,688</w:t>
            </w:r>
          </w:p>
        </w:tc>
        <w:tc>
          <w:tcPr>
            <w:tcW w:w="571" w:type="pct"/>
            <w:tcBorders>
              <w:top w:val="nil"/>
              <w:left w:val="nil"/>
              <w:bottom w:val="single" w:sz="4" w:space="0" w:color="auto"/>
              <w:right w:val="single" w:sz="8" w:space="0" w:color="auto"/>
            </w:tcBorders>
            <w:shd w:val="clear" w:color="000000" w:fill="E44C0C"/>
            <w:hideMark/>
          </w:tcPr>
          <w:p w14:paraId="2F6A5E44"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571,552</w:t>
            </w:r>
          </w:p>
        </w:tc>
        <w:tc>
          <w:tcPr>
            <w:tcW w:w="624" w:type="pct"/>
            <w:tcBorders>
              <w:top w:val="nil"/>
              <w:left w:val="nil"/>
              <w:bottom w:val="single" w:sz="4" w:space="0" w:color="auto"/>
              <w:right w:val="single" w:sz="12" w:space="0" w:color="auto"/>
            </w:tcBorders>
            <w:shd w:val="clear" w:color="000000" w:fill="E44C0C"/>
            <w:hideMark/>
          </w:tcPr>
          <w:p w14:paraId="1EAF278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3,580,631</w:t>
            </w:r>
          </w:p>
        </w:tc>
      </w:tr>
      <w:tr w:rsidR="004D407A" w:rsidRPr="004D407A" w14:paraId="46DB4DFB" w14:textId="77777777" w:rsidTr="00122A06">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01EBA623"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A. HR &amp; systems Immunization Coverage</w:t>
            </w:r>
          </w:p>
        </w:tc>
        <w:tc>
          <w:tcPr>
            <w:tcW w:w="624" w:type="pct"/>
            <w:tcBorders>
              <w:top w:val="nil"/>
              <w:left w:val="nil"/>
              <w:bottom w:val="single" w:sz="4" w:space="0" w:color="auto"/>
              <w:right w:val="single" w:sz="8" w:space="0" w:color="auto"/>
            </w:tcBorders>
            <w:shd w:val="clear" w:color="000000" w:fill="EFEFEF"/>
            <w:hideMark/>
          </w:tcPr>
          <w:p w14:paraId="48512DFC" w14:textId="32AF59C6"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hideMark/>
          </w:tcPr>
          <w:p w14:paraId="6D5DE8E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100,000</w:t>
            </w:r>
          </w:p>
        </w:tc>
        <w:tc>
          <w:tcPr>
            <w:tcW w:w="571" w:type="pct"/>
            <w:tcBorders>
              <w:top w:val="nil"/>
              <w:left w:val="nil"/>
              <w:bottom w:val="single" w:sz="4" w:space="0" w:color="auto"/>
              <w:right w:val="single" w:sz="8" w:space="0" w:color="auto"/>
            </w:tcBorders>
            <w:shd w:val="clear" w:color="000000" w:fill="EFEFEF"/>
          </w:tcPr>
          <w:p w14:paraId="46BCB3EB" w14:textId="0E0AC8AB"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504F1BA8" w14:textId="6A6DB6CD"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05E4DB58" w14:textId="29C44A93"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hideMark/>
          </w:tcPr>
          <w:p w14:paraId="37BF743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100,000</w:t>
            </w:r>
          </w:p>
        </w:tc>
      </w:tr>
      <w:tr w:rsidR="004D407A" w:rsidRPr="004D407A" w14:paraId="37677E74" w14:textId="77777777" w:rsidTr="00122A06">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664B7FC1"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B. Recording &amp; reporting</w:t>
            </w:r>
          </w:p>
        </w:tc>
        <w:tc>
          <w:tcPr>
            <w:tcW w:w="624" w:type="pct"/>
            <w:tcBorders>
              <w:top w:val="nil"/>
              <w:left w:val="nil"/>
              <w:bottom w:val="single" w:sz="4" w:space="0" w:color="auto"/>
              <w:right w:val="single" w:sz="8" w:space="0" w:color="auto"/>
            </w:tcBorders>
            <w:shd w:val="clear" w:color="000000" w:fill="EFEFEF"/>
            <w:hideMark/>
          </w:tcPr>
          <w:p w14:paraId="79710CB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292,800</w:t>
            </w:r>
          </w:p>
        </w:tc>
        <w:tc>
          <w:tcPr>
            <w:tcW w:w="571" w:type="pct"/>
            <w:tcBorders>
              <w:top w:val="nil"/>
              <w:left w:val="nil"/>
              <w:bottom w:val="single" w:sz="4" w:space="0" w:color="auto"/>
              <w:right w:val="single" w:sz="8" w:space="0" w:color="auto"/>
            </w:tcBorders>
            <w:shd w:val="clear" w:color="auto" w:fill="auto"/>
          </w:tcPr>
          <w:p w14:paraId="0100CCA1" w14:textId="05D0EA95"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16B6E660" w14:textId="3A6668D8"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hideMark/>
          </w:tcPr>
          <w:p w14:paraId="01B0B8F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292,800</w:t>
            </w:r>
          </w:p>
        </w:tc>
        <w:tc>
          <w:tcPr>
            <w:tcW w:w="571" w:type="pct"/>
            <w:tcBorders>
              <w:top w:val="nil"/>
              <w:left w:val="nil"/>
              <w:bottom w:val="single" w:sz="4" w:space="0" w:color="auto"/>
              <w:right w:val="single" w:sz="8" w:space="0" w:color="auto"/>
            </w:tcBorders>
            <w:shd w:val="clear" w:color="000000" w:fill="EFEFEF"/>
            <w:hideMark/>
          </w:tcPr>
          <w:p w14:paraId="73B46A4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0</w:t>
            </w:r>
          </w:p>
        </w:tc>
        <w:tc>
          <w:tcPr>
            <w:tcW w:w="624" w:type="pct"/>
            <w:tcBorders>
              <w:top w:val="nil"/>
              <w:left w:val="nil"/>
              <w:bottom w:val="single" w:sz="4" w:space="0" w:color="auto"/>
              <w:right w:val="single" w:sz="12" w:space="0" w:color="auto"/>
            </w:tcBorders>
            <w:shd w:val="clear" w:color="auto" w:fill="auto"/>
            <w:hideMark/>
          </w:tcPr>
          <w:p w14:paraId="6B5F059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585,600</w:t>
            </w:r>
          </w:p>
        </w:tc>
      </w:tr>
      <w:tr w:rsidR="004D407A" w:rsidRPr="004D407A" w14:paraId="5CD334AD"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186AEBF4"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C. Data quality</w:t>
            </w:r>
          </w:p>
        </w:tc>
        <w:tc>
          <w:tcPr>
            <w:tcW w:w="624" w:type="pct"/>
            <w:tcBorders>
              <w:top w:val="nil"/>
              <w:left w:val="nil"/>
              <w:bottom w:val="single" w:sz="4" w:space="0" w:color="auto"/>
              <w:right w:val="single" w:sz="8" w:space="0" w:color="auto"/>
            </w:tcBorders>
            <w:shd w:val="clear" w:color="000000" w:fill="EFEFEF"/>
            <w:hideMark/>
          </w:tcPr>
          <w:p w14:paraId="58EAB1E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4,684</w:t>
            </w:r>
          </w:p>
        </w:tc>
        <w:tc>
          <w:tcPr>
            <w:tcW w:w="571" w:type="pct"/>
            <w:tcBorders>
              <w:top w:val="nil"/>
              <w:left w:val="nil"/>
              <w:bottom w:val="single" w:sz="4" w:space="0" w:color="auto"/>
              <w:right w:val="single" w:sz="8" w:space="0" w:color="auto"/>
            </w:tcBorders>
            <w:shd w:val="clear" w:color="auto" w:fill="auto"/>
            <w:hideMark/>
          </w:tcPr>
          <w:p w14:paraId="3EB6CE18"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17,284</w:t>
            </w:r>
          </w:p>
        </w:tc>
        <w:tc>
          <w:tcPr>
            <w:tcW w:w="571" w:type="pct"/>
            <w:tcBorders>
              <w:top w:val="nil"/>
              <w:left w:val="nil"/>
              <w:bottom w:val="single" w:sz="4" w:space="0" w:color="auto"/>
              <w:right w:val="single" w:sz="8" w:space="0" w:color="auto"/>
            </w:tcBorders>
            <w:shd w:val="clear" w:color="000000" w:fill="EFEFEF"/>
            <w:hideMark/>
          </w:tcPr>
          <w:p w14:paraId="060D41E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4,684</w:t>
            </w:r>
          </w:p>
        </w:tc>
        <w:tc>
          <w:tcPr>
            <w:tcW w:w="571" w:type="pct"/>
            <w:tcBorders>
              <w:top w:val="nil"/>
              <w:left w:val="nil"/>
              <w:bottom w:val="single" w:sz="4" w:space="0" w:color="auto"/>
              <w:right w:val="single" w:sz="8" w:space="0" w:color="auto"/>
            </w:tcBorders>
            <w:shd w:val="clear" w:color="auto" w:fill="auto"/>
            <w:hideMark/>
          </w:tcPr>
          <w:p w14:paraId="45A59322"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4,684</w:t>
            </w:r>
          </w:p>
        </w:tc>
        <w:tc>
          <w:tcPr>
            <w:tcW w:w="571" w:type="pct"/>
            <w:tcBorders>
              <w:top w:val="nil"/>
              <w:left w:val="nil"/>
              <w:bottom w:val="single" w:sz="4" w:space="0" w:color="auto"/>
              <w:right w:val="single" w:sz="8" w:space="0" w:color="auto"/>
            </w:tcBorders>
            <w:shd w:val="clear" w:color="000000" w:fill="EFEFEF"/>
            <w:hideMark/>
          </w:tcPr>
          <w:p w14:paraId="7C0A47E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4,684</w:t>
            </w:r>
          </w:p>
        </w:tc>
        <w:tc>
          <w:tcPr>
            <w:tcW w:w="624" w:type="pct"/>
            <w:tcBorders>
              <w:top w:val="nil"/>
              <w:left w:val="nil"/>
              <w:bottom w:val="single" w:sz="4" w:space="0" w:color="auto"/>
              <w:right w:val="single" w:sz="12" w:space="0" w:color="auto"/>
            </w:tcBorders>
            <w:shd w:val="clear" w:color="auto" w:fill="auto"/>
            <w:hideMark/>
          </w:tcPr>
          <w:p w14:paraId="31747C59"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36,020</w:t>
            </w:r>
          </w:p>
        </w:tc>
      </w:tr>
      <w:tr w:rsidR="004D407A" w:rsidRPr="004D407A" w14:paraId="44AAF850" w14:textId="77777777" w:rsidTr="006409BE">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2D98C297"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D. Coverage monitoring &amp; use</w:t>
            </w:r>
          </w:p>
        </w:tc>
        <w:tc>
          <w:tcPr>
            <w:tcW w:w="624" w:type="pct"/>
            <w:tcBorders>
              <w:top w:val="nil"/>
              <w:left w:val="nil"/>
              <w:bottom w:val="single" w:sz="4" w:space="0" w:color="auto"/>
              <w:right w:val="single" w:sz="8" w:space="0" w:color="auto"/>
            </w:tcBorders>
            <w:shd w:val="clear" w:color="000000" w:fill="EFEFEF"/>
            <w:hideMark/>
          </w:tcPr>
          <w:p w14:paraId="586DEA5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18,000</w:t>
            </w:r>
          </w:p>
        </w:tc>
        <w:tc>
          <w:tcPr>
            <w:tcW w:w="571" w:type="pct"/>
            <w:tcBorders>
              <w:top w:val="nil"/>
              <w:left w:val="nil"/>
              <w:bottom w:val="single" w:sz="4" w:space="0" w:color="auto"/>
              <w:right w:val="single" w:sz="8" w:space="0" w:color="auto"/>
            </w:tcBorders>
            <w:shd w:val="clear" w:color="auto" w:fill="auto"/>
          </w:tcPr>
          <w:p w14:paraId="0BC47430" w14:textId="2A6D24FA"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0AAA01B9" w14:textId="4A25E273"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3710D719" w14:textId="4C17DA7E"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1C189919" w14:textId="2851257C"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hideMark/>
          </w:tcPr>
          <w:p w14:paraId="76B624B4"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18,000</w:t>
            </w:r>
          </w:p>
        </w:tc>
      </w:tr>
      <w:tr w:rsidR="004D407A" w:rsidRPr="004D407A" w14:paraId="67BBD52B"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6E04F6B1"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E. AEFI monitoring</w:t>
            </w:r>
          </w:p>
        </w:tc>
        <w:tc>
          <w:tcPr>
            <w:tcW w:w="624" w:type="pct"/>
            <w:tcBorders>
              <w:top w:val="nil"/>
              <w:left w:val="nil"/>
              <w:bottom w:val="single" w:sz="4" w:space="0" w:color="auto"/>
              <w:right w:val="single" w:sz="8" w:space="0" w:color="auto"/>
            </w:tcBorders>
            <w:shd w:val="clear" w:color="000000" w:fill="EFEFEF"/>
            <w:hideMark/>
          </w:tcPr>
          <w:p w14:paraId="4F78D824"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566,868</w:t>
            </w:r>
          </w:p>
        </w:tc>
        <w:tc>
          <w:tcPr>
            <w:tcW w:w="571" w:type="pct"/>
            <w:tcBorders>
              <w:top w:val="nil"/>
              <w:left w:val="nil"/>
              <w:bottom w:val="single" w:sz="4" w:space="0" w:color="auto"/>
              <w:right w:val="single" w:sz="8" w:space="0" w:color="auto"/>
            </w:tcBorders>
            <w:shd w:val="clear" w:color="auto" w:fill="auto"/>
            <w:hideMark/>
          </w:tcPr>
          <w:p w14:paraId="6A08B00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570,204</w:t>
            </w:r>
          </w:p>
        </w:tc>
        <w:tc>
          <w:tcPr>
            <w:tcW w:w="571" w:type="pct"/>
            <w:tcBorders>
              <w:top w:val="nil"/>
              <w:left w:val="nil"/>
              <w:bottom w:val="single" w:sz="4" w:space="0" w:color="auto"/>
              <w:right w:val="single" w:sz="8" w:space="0" w:color="auto"/>
            </w:tcBorders>
            <w:shd w:val="clear" w:color="000000" w:fill="EFEFEF"/>
            <w:hideMark/>
          </w:tcPr>
          <w:p w14:paraId="6A55B2F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566,868</w:t>
            </w:r>
          </w:p>
        </w:tc>
        <w:tc>
          <w:tcPr>
            <w:tcW w:w="571" w:type="pct"/>
            <w:tcBorders>
              <w:top w:val="nil"/>
              <w:left w:val="nil"/>
              <w:bottom w:val="single" w:sz="4" w:space="0" w:color="auto"/>
              <w:right w:val="single" w:sz="8" w:space="0" w:color="auto"/>
            </w:tcBorders>
            <w:shd w:val="clear" w:color="auto" w:fill="auto"/>
            <w:hideMark/>
          </w:tcPr>
          <w:p w14:paraId="74BE9C7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570,204</w:t>
            </w:r>
          </w:p>
        </w:tc>
        <w:tc>
          <w:tcPr>
            <w:tcW w:w="571" w:type="pct"/>
            <w:tcBorders>
              <w:top w:val="nil"/>
              <w:left w:val="nil"/>
              <w:bottom w:val="single" w:sz="4" w:space="0" w:color="auto"/>
              <w:right w:val="single" w:sz="8" w:space="0" w:color="auto"/>
            </w:tcBorders>
            <w:shd w:val="clear" w:color="000000" w:fill="EFEFEF"/>
            <w:hideMark/>
          </w:tcPr>
          <w:p w14:paraId="4F849389"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566,868</w:t>
            </w:r>
          </w:p>
        </w:tc>
        <w:tc>
          <w:tcPr>
            <w:tcW w:w="624" w:type="pct"/>
            <w:tcBorders>
              <w:top w:val="nil"/>
              <w:left w:val="nil"/>
              <w:bottom w:val="single" w:sz="4" w:space="0" w:color="auto"/>
              <w:right w:val="single" w:sz="12" w:space="0" w:color="auto"/>
            </w:tcBorders>
            <w:shd w:val="clear" w:color="auto" w:fill="auto"/>
            <w:hideMark/>
          </w:tcPr>
          <w:p w14:paraId="2C1CCB9B"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2,841,011</w:t>
            </w:r>
          </w:p>
        </w:tc>
      </w:tr>
      <w:tr w:rsidR="004D407A" w:rsidRPr="004D407A" w14:paraId="3954DBDD" w14:textId="77777777" w:rsidTr="00122A06">
        <w:trPr>
          <w:trHeight w:val="510"/>
        </w:trPr>
        <w:tc>
          <w:tcPr>
            <w:tcW w:w="1468" w:type="pct"/>
            <w:tcBorders>
              <w:top w:val="nil"/>
              <w:left w:val="single" w:sz="12" w:space="0" w:color="auto"/>
              <w:bottom w:val="single" w:sz="4" w:space="0" w:color="auto"/>
              <w:right w:val="single" w:sz="8" w:space="0" w:color="auto"/>
            </w:tcBorders>
            <w:shd w:val="clear" w:color="auto" w:fill="auto"/>
            <w:hideMark/>
          </w:tcPr>
          <w:p w14:paraId="2BEDC6FC"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F. Multiple Sub-Components of Immunization Coverage &amp; AEFI Monitoring</w:t>
            </w:r>
          </w:p>
        </w:tc>
        <w:tc>
          <w:tcPr>
            <w:tcW w:w="624" w:type="pct"/>
            <w:tcBorders>
              <w:top w:val="nil"/>
              <w:left w:val="nil"/>
              <w:bottom w:val="single" w:sz="4" w:space="0" w:color="auto"/>
              <w:right w:val="single" w:sz="8" w:space="0" w:color="auto"/>
            </w:tcBorders>
            <w:shd w:val="clear" w:color="000000" w:fill="EFEFEF"/>
          </w:tcPr>
          <w:p w14:paraId="5BF78EC2" w14:textId="5FDFAEC3"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432C80D1" w14:textId="3EDDD921"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1D56B1B0" w14:textId="739BE645"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21EB65A9" w14:textId="6182D7C1"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5EA7CB20" w14:textId="0D466AFB"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tcPr>
          <w:p w14:paraId="66287672" w14:textId="3C25B2BA" w:rsidR="00434FF2" w:rsidRPr="004D407A" w:rsidRDefault="00434FF2" w:rsidP="00434FF2">
            <w:pPr>
              <w:spacing w:after="0" w:line="240" w:lineRule="auto"/>
              <w:jc w:val="right"/>
              <w:rPr>
                <w:rFonts w:ascii="Helvetica Neue" w:eastAsia="Times New Roman" w:hAnsi="Helvetica Neue" w:cs="Calibri"/>
                <w:sz w:val="16"/>
                <w:szCs w:val="20"/>
              </w:rPr>
            </w:pPr>
          </w:p>
        </w:tc>
      </w:tr>
      <w:tr w:rsidR="004D407A" w:rsidRPr="004D407A" w14:paraId="47C9C72D" w14:textId="77777777" w:rsidTr="00434FF2">
        <w:trPr>
          <w:trHeight w:val="285"/>
        </w:trPr>
        <w:tc>
          <w:tcPr>
            <w:tcW w:w="1468" w:type="pct"/>
            <w:tcBorders>
              <w:top w:val="nil"/>
              <w:left w:val="single" w:sz="12" w:space="0" w:color="auto"/>
              <w:bottom w:val="single" w:sz="4" w:space="0" w:color="auto"/>
              <w:right w:val="single" w:sz="8" w:space="0" w:color="auto"/>
            </w:tcBorders>
            <w:shd w:val="clear" w:color="000000" w:fill="E44C0C"/>
            <w:hideMark/>
          </w:tcPr>
          <w:p w14:paraId="07838F12"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6. DISEASE SURVEILLANCE</w:t>
            </w:r>
          </w:p>
        </w:tc>
        <w:tc>
          <w:tcPr>
            <w:tcW w:w="624" w:type="pct"/>
            <w:tcBorders>
              <w:top w:val="nil"/>
              <w:left w:val="nil"/>
              <w:bottom w:val="single" w:sz="4" w:space="0" w:color="auto"/>
              <w:right w:val="single" w:sz="8" w:space="0" w:color="auto"/>
            </w:tcBorders>
            <w:shd w:val="clear" w:color="000000" w:fill="E44C0C"/>
            <w:hideMark/>
          </w:tcPr>
          <w:p w14:paraId="5D145A9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1,077,320</w:t>
            </w:r>
          </w:p>
        </w:tc>
        <w:tc>
          <w:tcPr>
            <w:tcW w:w="571" w:type="pct"/>
            <w:tcBorders>
              <w:top w:val="nil"/>
              <w:left w:val="nil"/>
              <w:bottom w:val="single" w:sz="4" w:space="0" w:color="auto"/>
              <w:right w:val="single" w:sz="8" w:space="0" w:color="auto"/>
            </w:tcBorders>
            <w:shd w:val="clear" w:color="000000" w:fill="E44C0C"/>
            <w:hideMark/>
          </w:tcPr>
          <w:p w14:paraId="70E41D68"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1,077,320</w:t>
            </w:r>
          </w:p>
        </w:tc>
        <w:tc>
          <w:tcPr>
            <w:tcW w:w="571" w:type="pct"/>
            <w:tcBorders>
              <w:top w:val="nil"/>
              <w:left w:val="nil"/>
              <w:bottom w:val="single" w:sz="4" w:space="0" w:color="auto"/>
              <w:right w:val="single" w:sz="8" w:space="0" w:color="auto"/>
            </w:tcBorders>
            <w:shd w:val="clear" w:color="000000" w:fill="E44C0C"/>
            <w:hideMark/>
          </w:tcPr>
          <w:p w14:paraId="7A4914B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1,077,320</w:t>
            </w:r>
          </w:p>
        </w:tc>
        <w:tc>
          <w:tcPr>
            <w:tcW w:w="571" w:type="pct"/>
            <w:tcBorders>
              <w:top w:val="nil"/>
              <w:left w:val="nil"/>
              <w:bottom w:val="single" w:sz="4" w:space="0" w:color="auto"/>
              <w:right w:val="single" w:sz="8" w:space="0" w:color="auto"/>
            </w:tcBorders>
            <w:shd w:val="clear" w:color="000000" w:fill="E44C0C"/>
            <w:hideMark/>
          </w:tcPr>
          <w:p w14:paraId="60ACAD1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1,077,320</w:t>
            </w:r>
          </w:p>
        </w:tc>
        <w:tc>
          <w:tcPr>
            <w:tcW w:w="571" w:type="pct"/>
            <w:tcBorders>
              <w:top w:val="nil"/>
              <w:left w:val="nil"/>
              <w:bottom w:val="single" w:sz="4" w:space="0" w:color="auto"/>
              <w:right w:val="single" w:sz="8" w:space="0" w:color="auto"/>
            </w:tcBorders>
            <w:shd w:val="clear" w:color="000000" w:fill="E44C0C"/>
            <w:hideMark/>
          </w:tcPr>
          <w:p w14:paraId="5B79018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1,077,320</w:t>
            </w:r>
          </w:p>
        </w:tc>
        <w:tc>
          <w:tcPr>
            <w:tcW w:w="624" w:type="pct"/>
            <w:tcBorders>
              <w:top w:val="nil"/>
              <w:left w:val="nil"/>
              <w:bottom w:val="single" w:sz="4" w:space="0" w:color="auto"/>
              <w:right w:val="single" w:sz="12" w:space="0" w:color="auto"/>
            </w:tcBorders>
            <w:shd w:val="clear" w:color="000000" w:fill="E44C0C"/>
            <w:hideMark/>
          </w:tcPr>
          <w:p w14:paraId="4C3C7E6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5,386,600</w:t>
            </w:r>
          </w:p>
        </w:tc>
      </w:tr>
      <w:tr w:rsidR="004D407A" w:rsidRPr="004D407A" w14:paraId="4FD8836C" w14:textId="77777777" w:rsidTr="00122A06">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22EAE510"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A. HR &amp; systems Disease Surveillance</w:t>
            </w:r>
          </w:p>
        </w:tc>
        <w:tc>
          <w:tcPr>
            <w:tcW w:w="624" w:type="pct"/>
            <w:tcBorders>
              <w:top w:val="nil"/>
              <w:left w:val="nil"/>
              <w:bottom w:val="single" w:sz="4" w:space="0" w:color="auto"/>
              <w:right w:val="single" w:sz="8" w:space="0" w:color="auto"/>
            </w:tcBorders>
            <w:shd w:val="clear" w:color="000000" w:fill="EFEFEF"/>
          </w:tcPr>
          <w:p w14:paraId="286256E1" w14:textId="7D2AC7A9"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5FABB4D4" w14:textId="04FD1C13"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5945009B" w14:textId="213EE5A8"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4735211C" w14:textId="4ADD2771"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5C44111A" w14:textId="176CFAC5"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tcPr>
          <w:p w14:paraId="3A50FBCC" w14:textId="53AC635E" w:rsidR="00434FF2" w:rsidRPr="004D407A" w:rsidRDefault="00434FF2" w:rsidP="00434FF2">
            <w:pPr>
              <w:spacing w:after="0" w:line="240" w:lineRule="auto"/>
              <w:jc w:val="right"/>
              <w:rPr>
                <w:rFonts w:ascii="Helvetica Neue" w:eastAsia="Times New Roman" w:hAnsi="Helvetica Neue" w:cs="Calibri"/>
                <w:sz w:val="16"/>
                <w:szCs w:val="20"/>
              </w:rPr>
            </w:pPr>
          </w:p>
        </w:tc>
      </w:tr>
      <w:tr w:rsidR="004D407A" w:rsidRPr="004D407A" w14:paraId="518A62BB"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4036968F"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B. Detection and response</w:t>
            </w:r>
          </w:p>
        </w:tc>
        <w:tc>
          <w:tcPr>
            <w:tcW w:w="624" w:type="pct"/>
            <w:tcBorders>
              <w:top w:val="nil"/>
              <w:left w:val="nil"/>
              <w:bottom w:val="single" w:sz="4" w:space="0" w:color="auto"/>
              <w:right w:val="single" w:sz="8" w:space="0" w:color="auto"/>
            </w:tcBorders>
            <w:shd w:val="clear" w:color="000000" w:fill="EFEFEF"/>
            <w:hideMark/>
          </w:tcPr>
          <w:p w14:paraId="093ABB0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9,368</w:t>
            </w:r>
          </w:p>
        </w:tc>
        <w:tc>
          <w:tcPr>
            <w:tcW w:w="571" w:type="pct"/>
            <w:tcBorders>
              <w:top w:val="nil"/>
              <w:left w:val="nil"/>
              <w:bottom w:val="single" w:sz="4" w:space="0" w:color="auto"/>
              <w:right w:val="single" w:sz="8" w:space="0" w:color="auto"/>
            </w:tcBorders>
            <w:shd w:val="clear" w:color="auto" w:fill="auto"/>
            <w:hideMark/>
          </w:tcPr>
          <w:p w14:paraId="2D24BAA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9,368</w:t>
            </w:r>
          </w:p>
        </w:tc>
        <w:tc>
          <w:tcPr>
            <w:tcW w:w="571" w:type="pct"/>
            <w:tcBorders>
              <w:top w:val="nil"/>
              <w:left w:val="nil"/>
              <w:bottom w:val="single" w:sz="4" w:space="0" w:color="auto"/>
              <w:right w:val="single" w:sz="8" w:space="0" w:color="auto"/>
            </w:tcBorders>
            <w:shd w:val="clear" w:color="000000" w:fill="EFEFEF"/>
            <w:hideMark/>
          </w:tcPr>
          <w:p w14:paraId="751A6A38"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9,368</w:t>
            </w:r>
          </w:p>
        </w:tc>
        <w:tc>
          <w:tcPr>
            <w:tcW w:w="571" w:type="pct"/>
            <w:tcBorders>
              <w:top w:val="nil"/>
              <w:left w:val="nil"/>
              <w:bottom w:val="single" w:sz="4" w:space="0" w:color="auto"/>
              <w:right w:val="single" w:sz="8" w:space="0" w:color="auto"/>
            </w:tcBorders>
            <w:shd w:val="clear" w:color="auto" w:fill="auto"/>
            <w:hideMark/>
          </w:tcPr>
          <w:p w14:paraId="1169CB5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9,368</w:t>
            </w:r>
          </w:p>
        </w:tc>
        <w:tc>
          <w:tcPr>
            <w:tcW w:w="571" w:type="pct"/>
            <w:tcBorders>
              <w:top w:val="nil"/>
              <w:left w:val="nil"/>
              <w:bottom w:val="single" w:sz="4" w:space="0" w:color="auto"/>
              <w:right w:val="single" w:sz="8" w:space="0" w:color="auto"/>
            </w:tcBorders>
            <w:shd w:val="clear" w:color="000000" w:fill="EFEFEF"/>
            <w:hideMark/>
          </w:tcPr>
          <w:p w14:paraId="22AAE97B"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9,368</w:t>
            </w:r>
          </w:p>
        </w:tc>
        <w:tc>
          <w:tcPr>
            <w:tcW w:w="624" w:type="pct"/>
            <w:tcBorders>
              <w:top w:val="nil"/>
              <w:left w:val="nil"/>
              <w:bottom w:val="single" w:sz="4" w:space="0" w:color="auto"/>
              <w:right w:val="single" w:sz="12" w:space="0" w:color="auto"/>
            </w:tcBorders>
            <w:shd w:val="clear" w:color="auto" w:fill="auto"/>
            <w:hideMark/>
          </w:tcPr>
          <w:p w14:paraId="11CBC67D"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46,840</w:t>
            </w:r>
          </w:p>
        </w:tc>
      </w:tr>
      <w:tr w:rsidR="004D407A" w:rsidRPr="004D407A" w14:paraId="28A7BB6B"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44FA780D" w14:textId="6F62ADDC"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 xml:space="preserve">C. </w:t>
            </w:r>
            <w:r w:rsidR="00885C74" w:rsidRPr="004D407A">
              <w:rPr>
                <w:rFonts w:ascii="Helvetica Neue" w:eastAsia="Times New Roman" w:hAnsi="Helvetica Neue" w:cs="Calibri"/>
                <w:sz w:val="16"/>
                <w:szCs w:val="20"/>
              </w:rPr>
              <w:t>Performance</w:t>
            </w:r>
          </w:p>
        </w:tc>
        <w:tc>
          <w:tcPr>
            <w:tcW w:w="624" w:type="pct"/>
            <w:tcBorders>
              <w:top w:val="nil"/>
              <w:left w:val="nil"/>
              <w:bottom w:val="single" w:sz="4" w:space="0" w:color="auto"/>
              <w:right w:val="single" w:sz="8" w:space="0" w:color="auto"/>
            </w:tcBorders>
            <w:shd w:val="clear" w:color="000000" w:fill="EFEFEF"/>
            <w:hideMark/>
          </w:tcPr>
          <w:p w14:paraId="57DC5593"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1,067,952</w:t>
            </w:r>
          </w:p>
        </w:tc>
        <w:tc>
          <w:tcPr>
            <w:tcW w:w="571" w:type="pct"/>
            <w:tcBorders>
              <w:top w:val="nil"/>
              <w:left w:val="nil"/>
              <w:bottom w:val="single" w:sz="4" w:space="0" w:color="auto"/>
              <w:right w:val="single" w:sz="8" w:space="0" w:color="auto"/>
            </w:tcBorders>
            <w:shd w:val="clear" w:color="auto" w:fill="auto"/>
            <w:hideMark/>
          </w:tcPr>
          <w:p w14:paraId="3ACBD3DA"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1,067,952</w:t>
            </w:r>
          </w:p>
        </w:tc>
        <w:tc>
          <w:tcPr>
            <w:tcW w:w="571" w:type="pct"/>
            <w:tcBorders>
              <w:top w:val="nil"/>
              <w:left w:val="nil"/>
              <w:bottom w:val="single" w:sz="4" w:space="0" w:color="auto"/>
              <w:right w:val="single" w:sz="8" w:space="0" w:color="auto"/>
            </w:tcBorders>
            <w:shd w:val="clear" w:color="000000" w:fill="EFEFEF"/>
            <w:hideMark/>
          </w:tcPr>
          <w:p w14:paraId="388B17C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1,067,952</w:t>
            </w:r>
          </w:p>
        </w:tc>
        <w:tc>
          <w:tcPr>
            <w:tcW w:w="571" w:type="pct"/>
            <w:tcBorders>
              <w:top w:val="nil"/>
              <w:left w:val="nil"/>
              <w:bottom w:val="single" w:sz="4" w:space="0" w:color="auto"/>
              <w:right w:val="single" w:sz="8" w:space="0" w:color="auto"/>
            </w:tcBorders>
            <w:shd w:val="clear" w:color="auto" w:fill="auto"/>
            <w:hideMark/>
          </w:tcPr>
          <w:p w14:paraId="4B1D09DC"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1,067,952</w:t>
            </w:r>
          </w:p>
        </w:tc>
        <w:tc>
          <w:tcPr>
            <w:tcW w:w="571" w:type="pct"/>
            <w:tcBorders>
              <w:top w:val="nil"/>
              <w:left w:val="nil"/>
              <w:bottom w:val="single" w:sz="4" w:space="0" w:color="auto"/>
              <w:right w:val="single" w:sz="8" w:space="0" w:color="auto"/>
            </w:tcBorders>
            <w:shd w:val="clear" w:color="000000" w:fill="EFEFEF"/>
            <w:hideMark/>
          </w:tcPr>
          <w:p w14:paraId="3410167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1,067,952</w:t>
            </w:r>
          </w:p>
        </w:tc>
        <w:tc>
          <w:tcPr>
            <w:tcW w:w="624" w:type="pct"/>
            <w:tcBorders>
              <w:top w:val="nil"/>
              <w:left w:val="nil"/>
              <w:bottom w:val="single" w:sz="4" w:space="0" w:color="auto"/>
              <w:right w:val="single" w:sz="12" w:space="0" w:color="auto"/>
            </w:tcBorders>
            <w:shd w:val="clear" w:color="auto" w:fill="auto"/>
            <w:hideMark/>
          </w:tcPr>
          <w:p w14:paraId="683A890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5,339,760</w:t>
            </w:r>
          </w:p>
        </w:tc>
      </w:tr>
      <w:tr w:rsidR="004D407A" w:rsidRPr="004D407A" w14:paraId="3D56840B" w14:textId="77777777" w:rsidTr="00122A06">
        <w:trPr>
          <w:trHeight w:val="510"/>
        </w:trPr>
        <w:tc>
          <w:tcPr>
            <w:tcW w:w="1468" w:type="pct"/>
            <w:tcBorders>
              <w:top w:val="nil"/>
              <w:left w:val="single" w:sz="12" w:space="0" w:color="auto"/>
              <w:bottom w:val="single" w:sz="4" w:space="0" w:color="auto"/>
              <w:right w:val="single" w:sz="8" w:space="0" w:color="auto"/>
            </w:tcBorders>
            <w:shd w:val="clear" w:color="auto" w:fill="auto"/>
            <w:hideMark/>
          </w:tcPr>
          <w:p w14:paraId="45CDC499"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D. Multiple Sub-Components of Disease Surveillance</w:t>
            </w:r>
          </w:p>
        </w:tc>
        <w:tc>
          <w:tcPr>
            <w:tcW w:w="624" w:type="pct"/>
            <w:tcBorders>
              <w:top w:val="nil"/>
              <w:left w:val="nil"/>
              <w:bottom w:val="single" w:sz="4" w:space="0" w:color="auto"/>
              <w:right w:val="single" w:sz="8" w:space="0" w:color="auto"/>
            </w:tcBorders>
            <w:shd w:val="clear" w:color="000000" w:fill="EFEFEF"/>
          </w:tcPr>
          <w:p w14:paraId="01FBFB6D" w14:textId="3A5519F0"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3AE92FE8" w14:textId="1BD7A156"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1EDFB0AD" w14:textId="5F7B64D1"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06899BB7" w14:textId="21C00B3A"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68277E2A" w14:textId="16E6726A"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tcPr>
          <w:p w14:paraId="4E20046C" w14:textId="61B5CF81" w:rsidR="00434FF2" w:rsidRPr="004D407A" w:rsidRDefault="00434FF2" w:rsidP="00434FF2">
            <w:pPr>
              <w:spacing w:after="0" w:line="240" w:lineRule="auto"/>
              <w:jc w:val="right"/>
              <w:rPr>
                <w:rFonts w:ascii="Helvetica Neue" w:eastAsia="Times New Roman" w:hAnsi="Helvetica Neue" w:cs="Calibri"/>
                <w:sz w:val="16"/>
                <w:szCs w:val="20"/>
              </w:rPr>
            </w:pPr>
          </w:p>
        </w:tc>
      </w:tr>
      <w:tr w:rsidR="004D407A" w:rsidRPr="004D407A" w14:paraId="1D51F093" w14:textId="77777777" w:rsidTr="00434FF2">
        <w:trPr>
          <w:trHeight w:val="285"/>
        </w:trPr>
        <w:tc>
          <w:tcPr>
            <w:tcW w:w="1468" w:type="pct"/>
            <w:tcBorders>
              <w:top w:val="nil"/>
              <w:left w:val="single" w:sz="12" w:space="0" w:color="auto"/>
              <w:bottom w:val="single" w:sz="4" w:space="0" w:color="auto"/>
              <w:right w:val="single" w:sz="8" w:space="0" w:color="auto"/>
            </w:tcBorders>
            <w:shd w:val="clear" w:color="000000" w:fill="E44C0C"/>
            <w:hideMark/>
          </w:tcPr>
          <w:p w14:paraId="3B14678C"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7. DEMAND GENERATION</w:t>
            </w:r>
          </w:p>
        </w:tc>
        <w:tc>
          <w:tcPr>
            <w:tcW w:w="624" w:type="pct"/>
            <w:tcBorders>
              <w:top w:val="nil"/>
              <w:left w:val="nil"/>
              <w:bottom w:val="single" w:sz="4" w:space="0" w:color="auto"/>
              <w:right w:val="single" w:sz="8" w:space="0" w:color="auto"/>
            </w:tcBorders>
            <w:shd w:val="clear" w:color="000000" w:fill="E44C0C"/>
            <w:hideMark/>
          </w:tcPr>
          <w:p w14:paraId="18D53FA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253,000</w:t>
            </w:r>
          </w:p>
        </w:tc>
        <w:tc>
          <w:tcPr>
            <w:tcW w:w="571" w:type="pct"/>
            <w:tcBorders>
              <w:top w:val="nil"/>
              <w:left w:val="nil"/>
              <w:bottom w:val="single" w:sz="4" w:space="0" w:color="auto"/>
              <w:right w:val="single" w:sz="8" w:space="0" w:color="auto"/>
            </w:tcBorders>
            <w:shd w:val="clear" w:color="000000" w:fill="E44C0C"/>
            <w:hideMark/>
          </w:tcPr>
          <w:p w14:paraId="47F6A7D4"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317,500</w:t>
            </w:r>
          </w:p>
        </w:tc>
        <w:tc>
          <w:tcPr>
            <w:tcW w:w="571" w:type="pct"/>
            <w:tcBorders>
              <w:top w:val="nil"/>
              <w:left w:val="nil"/>
              <w:bottom w:val="single" w:sz="4" w:space="0" w:color="auto"/>
              <w:right w:val="single" w:sz="8" w:space="0" w:color="auto"/>
            </w:tcBorders>
            <w:shd w:val="clear" w:color="000000" w:fill="E44C0C"/>
            <w:hideMark/>
          </w:tcPr>
          <w:p w14:paraId="5C914D86"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274,500</w:t>
            </w:r>
          </w:p>
        </w:tc>
        <w:tc>
          <w:tcPr>
            <w:tcW w:w="571" w:type="pct"/>
            <w:tcBorders>
              <w:top w:val="nil"/>
              <w:left w:val="nil"/>
              <w:bottom w:val="single" w:sz="4" w:space="0" w:color="auto"/>
              <w:right w:val="single" w:sz="8" w:space="0" w:color="auto"/>
            </w:tcBorders>
            <w:shd w:val="clear" w:color="000000" w:fill="E44C0C"/>
            <w:hideMark/>
          </w:tcPr>
          <w:p w14:paraId="4D5801E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210,000</w:t>
            </w:r>
          </w:p>
        </w:tc>
        <w:tc>
          <w:tcPr>
            <w:tcW w:w="571" w:type="pct"/>
            <w:tcBorders>
              <w:top w:val="nil"/>
              <w:left w:val="nil"/>
              <w:bottom w:val="single" w:sz="4" w:space="0" w:color="auto"/>
              <w:right w:val="single" w:sz="8" w:space="0" w:color="auto"/>
            </w:tcBorders>
            <w:shd w:val="clear" w:color="000000" w:fill="E44C0C"/>
            <w:hideMark/>
          </w:tcPr>
          <w:p w14:paraId="444D7D77"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210,000</w:t>
            </w:r>
          </w:p>
        </w:tc>
        <w:tc>
          <w:tcPr>
            <w:tcW w:w="624" w:type="pct"/>
            <w:tcBorders>
              <w:top w:val="nil"/>
              <w:left w:val="nil"/>
              <w:bottom w:val="single" w:sz="4" w:space="0" w:color="auto"/>
              <w:right w:val="single" w:sz="12" w:space="0" w:color="auto"/>
            </w:tcBorders>
            <w:shd w:val="clear" w:color="000000" w:fill="E44C0C"/>
            <w:hideMark/>
          </w:tcPr>
          <w:p w14:paraId="6BD31ED0"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1,265,000</w:t>
            </w:r>
          </w:p>
        </w:tc>
      </w:tr>
      <w:tr w:rsidR="004D407A" w:rsidRPr="004D407A" w14:paraId="6ED42E10" w14:textId="77777777" w:rsidTr="00122A06">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6B86F72A"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A. Demand</w:t>
            </w:r>
          </w:p>
        </w:tc>
        <w:tc>
          <w:tcPr>
            <w:tcW w:w="624" w:type="pct"/>
            <w:tcBorders>
              <w:top w:val="nil"/>
              <w:left w:val="nil"/>
              <w:bottom w:val="single" w:sz="4" w:space="0" w:color="auto"/>
              <w:right w:val="single" w:sz="8" w:space="0" w:color="auto"/>
            </w:tcBorders>
            <w:shd w:val="clear" w:color="000000" w:fill="EFEFEF"/>
          </w:tcPr>
          <w:p w14:paraId="33C4F634" w14:textId="14F36D40"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2625EAC1" w14:textId="78FCCA8D"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17ABBAFE" w14:textId="3FA35B92"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auto" w:fill="auto"/>
          </w:tcPr>
          <w:p w14:paraId="323163B0" w14:textId="4DB8A51E"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4" w:space="0" w:color="auto"/>
              <w:right w:val="single" w:sz="8" w:space="0" w:color="auto"/>
            </w:tcBorders>
            <w:shd w:val="clear" w:color="000000" w:fill="EFEFEF"/>
          </w:tcPr>
          <w:p w14:paraId="2BCA205E" w14:textId="252669E1"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4" w:space="0" w:color="auto"/>
              <w:right w:val="single" w:sz="12" w:space="0" w:color="auto"/>
            </w:tcBorders>
            <w:shd w:val="clear" w:color="auto" w:fill="auto"/>
          </w:tcPr>
          <w:p w14:paraId="0448904B" w14:textId="0A48C7D2" w:rsidR="00434FF2" w:rsidRPr="004D407A" w:rsidRDefault="00434FF2" w:rsidP="00434FF2">
            <w:pPr>
              <w:spacing w:after="0" w:line="240" w:lineRule="auto"/>
              <w:jc w:val="right"/>
              <w:rPr>
                <w:rFonts w:ascii="Helvetica Neue" w:eastAsia="Times New Roman" w:hAnsi="Helvetica Neue" w:cs="Calibri"/>
                <w:sz w:val="16"/>
                <w:szCs w:val="20"/>
              </w:rPr>
            </w:pPr>
          </w:p>
        </w:tc>
      </w:tr>
      <w:tr w:rsidR="004D407A" w:rsidRPr="004D407A" w14:paraId="682DCD44"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5CF80B14"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B. Advocacy &amp; communication</w:t>
            </w:r>
          </w:p>
        </w:tc>
        <w:tc>
          <w:tcPr>
            <w:tcW w:w="624" w:type="pct"/>
            <w:tcBorders>
              <w:top w:val="nil"/>
              <w:left w:val="nil"/>
              <w:bottom w:val="single" w:sz="4" w:space="0" w:color="auto"/>
              <w:right w:val="single" w:sz="8" w:space="0" w:color="auto"/>
            </w:tcBorders>
            <w:shd w:val="clear" w:color="000000" w:fill="EFEFEF"/>
            <w:hideMark/>
          </w:tcPr>
          <w:p w14:paraId="32CDF46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150,000</w:t>
            </w:r>
          </w:p>
        </w:tc>
        <w:tc>
          <w:tcPr>
            <w:tcW w:w="571" w:type="pct"/>
            <w:tcBorders>
              <w:top w:val="nil"/>
              <w:left w:val="nil"/>
              <w:bottom w:val="single" w:sz="4" w:space="0" w:color="auto"/>
              <w:right w:val="single" w:sz="8" w:space="0" w:color="auto"/>
            </w:tcBorders>
            <w:shd w:val="clear" w:color="auto" w:fill="auto"/>
            <w:hideMark/>
          </w:tcPr>
          <w:p w14:paraId="2226E499"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150,000</w:t>
            </w:r>
          </w:p>
        </w:tc>
        <w:tc>
          <w:tcPr>
            <w:tcW w:w="571" w:type="pct"/>
            <w:tcBorders>
              <w:top w:val="nil"/>
              <w:left w:val="nil"/>
              <w:bottom w:val="single" w:sz="4" w:space="0" w:color="auto"/>
              <w:right w:val="single" w:sz="8" w:space="0" w:color="auto"/>
            </w:tcBorders>
            <w:shd w:val="clear" w:color="000000" w:fill="EFEFEF"/>
            <w:hideMark/>
          </w:tcPr>
          <w:p w14:paraId="491C83B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150,000</w:t>
            </w:r>
          </w:p>
        </w:tc>
        <w:tc>
          <w:tcPr>
            <w:tcW w:w="571" w:type="pct"/>
            <w:tcBorders>
              <w:top w:val="nil"/>
              <w:left w:val="nil"/>
              <w:bottom w:val="single" w:sz="4" w:space="0" w:color="auto"/>
              <w:right w:val="single" w:sz="8" w:space="0" w:color="auto"/>
            </w:tcBorders>
            <w:shd w:val="clear" w:color="auto" w:fill="auto"/>
            <w:hideMark/>
          </w:tcPr>
          <w:p w14:paraId="65F6F8C5"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150,000</w:t>
            </w:r>
          </w:p>
        </w:tc>
        <w:tc>
          <w:tcPr>
            <w:tcW w:w="571" w:type="pct"/>
            <w:tcBorders>
              <w:top w:val="nil"/>
              <w:left w:val="nil"/>
              <w:bottom w:val="single" w:sz="4" w:space="0" w:color="auto"/>
              <w:right w:val="single" w:sz="8" w:space="0" w:color="auto"/>
            </w:tcBorders>
            <w:shd w:val="clear" w:color="000000" w:fill="EFEFEF"/>
            <w:hideMark/>
          </w:tcPr>
          <w:p w14:paraId="4EB29B38"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150,000</w:t>
            </w:r>
          </w:p>
        </w:tc>
        <w:tc>
          <w:tcPr>
            <w:tcW w:w="624" w:type="pct"/>
            <w:tcBorders>
              <w:top w:val="nil"/>
              <w:left w:val="nil"/>
              <w:bottom w:val="single" w:sz="4" w:space="0" w:color="auto"/>
              <w:right w:val="single" w:sz="12" w:space="0" w:color="auto"/>
            </w:tcBorders>
            <w:shd w:val="clear" w:color="auto" w:fill="auto"/>
            <w:hideMark/>
          </w:tcPr>
          <w:p w14:paraId="34F9A4A3"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750,000</w:t>
            </w:r>
          </w:p>
        </w:tc>
      </w:tr>
      <w:tr w:rsidR="004D407A" w:rsidRPr="004D407A" w14:paraId="7ACE2D6D" w14:textId="77777777" w:rsidTr="00434FF2">
        <w:trPr>
          <w:trHeight w:val="285"/>
        </w:trPr>
        <w:tc>
          <w:tcPr>
            <w:tcW w:w="1468" w:type="pct"/>
            <w:tcBorders>
              <w:top w:val="nil"/>
              <w:left w:val="single" w:sz="12" w:space="0" w:color="auto"/>
              <w:bottom w:val="single" w:sz="4" w:space="0" w:color="auto"/>
              <w:right w:val="single" w:sz="8" w:space="0" w:color="auto"/>
            </w:tcBorders>
            <w:shd w:val="clear" w:color="auto" w:fill="auto"/>
            <w:hideMark/>
          </w:tcPr>
          <w:p w14:paraId="4028918E"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C. Community engagement</w:t>
            </w:r>
          </w:p>
        </w:tc>
        <w:tc>
          <w:tcPr>
            <w:tcW w:w="624" w:type="pct"/>
            <w:tcBorders>
              <w:top w:val="nil"/>
              <w:left w:val="nil"/>
              <w:bottom w:val="single" w:sz="4" w:space="0" w:color="auto"/>
              <w:right w:val="single" w:sz="8" w:space="0" w:color="auto"/>
            </w:tcBorders>
            <w:shd w:val="clear" w:color="000000" w:fill="EFEFEF"/>
            <w:hideMark/>
          </w:tcPr>
          <w:p w14:paraId="6F64C4FB"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103,000</w:t>
            </w:r>
          </w:p>
        </w:tc>
        <w:tc>
          <w:tcPr>
            <w:tcW w:w="571" w:type="pct"/>
            <w:tcBorders>
              <w:top w:val="nil"/>
              <w:left w:val="nil"/>
              <w:bottom w:val="single" w:sz="4" w:space="0" w:color="auto"/>
              <w:right w:val="single" w:sz="8" w:space="0" w:color="auto"/>
            </w:tcBorders>
            <w:shd w:val="clear" w:color="auto" w:fill="auto"/>
            <w:hideMark/>
          </w:tcPr>
          <w:p w14:paraId="07E5CD91"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167,500</w:t>
            </w:r>
          </w:p>
        </w:tc>
        <w:tc>
          <w:tcPr>
            <w:tcW w:w="571" w:type="pct"/>
            <w:tcBorders>
              <w:top w:val="nil"/>
              <w:left w:val="nil"/>
              <w:bottom w:val="single" w:sz="4" w:space="0" w:color="auto"/>
              <w:right w:val="single" w:sz="8" w:space="0" w:color="auto"/>
            </w:tcBorders>
            <w:shd w:val="clear" w:color="000000" w:fill="EFEFEF"/>
            <w:hideMark/>
          </w:tcPr>
          <w:p w14:paraId="160BFB3C"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124,500</w:t>
            </w:r>
          </w:p>
        </w:tc>
        <w:tc>
          <w:tcPr>
            <w:tcW w:w="571" w:type="pct"/>
            <w:tcBorders>
              <w:top w:val="nil"/>
              <w:left w:val="nil"/>
              <w:bottom w:val="single" w:sz="4" w:space="0" w:color="auto"/>
              <w:right w:val="single" w:sz="8" w:space="0" w:color="auto"/>
            </w:tcBorders>
            <w:shd w:val="clear" w:color="auto" w:fill="auto"/>
            <w:hideMark/>
          </w:tcPr>
          <w:p w14:paraId="64B1F22E"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60,000</w:t>
            </w:r>
          </w:p>
        </w:tc>
        <w:tc>
          <w:tcPr>
            <w:tcW w:w="571" w:type="pct"/>
            <w:tcBorders>
              <w:top w:val="nil"/>
              <w:left w:val="nil"/>
              <w:bottom w:val="single" w:sz="4" w:space="0" w:color="auto"/>
              <w:right w:val="single" w:sz="8" w:space="0" w:color="auto"/>
            </w:tcBorders>
            <w:shd w:val="clear" w:color="000000" w:fill="EFEFEF"/>
            <w:hideMark/>
          </w:tcPr>
          <w:p w14:paraId="19A4B032"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60,000</w:t>
            </w:r>
          </w:p>
        </w:tc>
        <w:tc>
          <w:tcPr>
            <w:tcW w:w="624" w:type="pct"/>
            <w:tcBorders>
              <w:top w:val="nil"/>
              <w:left w:val="nil"/>
              <w:bottom w:val="single" w:sz="4" w:space="0" w:color="auto"/>
              <w:right w:val="single" w:sz="12" w:space="0" w:color="auto"/>
            </w:tcBorders>
            <w:shd w:val="clear" w:color="auto" w:fill="auto"/>
            <w:hideMark/>
          </w:tcPr>
          <w:p w14:paraId="5E082DB4" w14:textId="77777777" w:rsidR="00434FF2" w:rsidRPr="004D407A" w:rsidRDefault="00434FF2" w:rsidP="00434FF2">
            <w:pPr>
              <w:spacing w:after="0" w:line="240" w:lineRule="auto"/>
              <w:jc w:val="right"/>
              <w:rPr>
                <w:rFonts w:ascii="Helvetica Neue" w:eastAsia="Times New Roman" w:hAnsi="Helvetica Neue" w:cs="Calibri"/>
                <w:sz w:val="16"/>
                <w:szCs w:val="20"/>
              </w:rPr>
            </w:pPr>
            <w:r w:rsidRPr="004D407A">
              <w:rPr>
                <w:rFonts w:ascii="Helvetica Neue" w:eastAsia="Times New Roman" w:hAnsi="Helvetica Neue" w:cs="Calibri"/>
                <w:sz w:val="16"/>
                <w:szCs w:val="20"/>
              </w:rPr>
              <w:t>515,000</w:t>
            </w:r>
          </w:p>
        </w:tc>
      </w:tr>
      <w:tr w:rsidR="004D407A" w:rsidRPr="004D407A" w14:paraId="20813AC2" w14:textId="77777777" w:rsidTr="00122A06">
        <w:trPr>
          <w:trHeight w:val="518"/>
        </w:trPr>
        <w:tc>
          <w:tcPr>
            <w:tcW w:w="1468" w:type="pct"/>
            <w:tcBorders>
              <w:top w:val="nil"/>
              <w:left w:val="single" w:sz="12" w:space="0" w:color="auto"/>
              <w:bottom w:val="single" w:sz="12" w:space="0" w:color="auto"/>
              <w:right w:val="single" w:sz="8" w:space="0" w:color="auto"/>
            </w:tcBorders>
            <w:shd w:val="clear" w:color="auto" w:fill="auto"/>
            <w:hideMark/>
          </w:tcPr>
          <w:p w14:paraId="52B1A309" w14:textId="77777777" w:rsidR="00434FF2" w:rsidRPr="004D407A" w:rsidRDefault="00434FF2" w:rsidP="00434FF2">
            <w:pPr>
              <w:spacing w:after="0" w:line="240" w:lineRule="auto"/>
              <w:rPr>
                <w:rFonts w:ascii="Helvetica Neue" w:eastAsia="Times New Roman" w:hAnsi="Helvetica Neue" w:cs="Calibri"/>
                <w:sz w:val="16"/>
                <w:szCs w:val="20"/>
              </w:rPr>
            </w:pPr>
            <w:r w:rsidRPr="004D407A">
              <w:rPr>
                <w:rFonts w:ascii="Helvetica Neue" w:eastAsia="Times New Roman" w:hAnsi="Helvetica Neue" w:cs="Calibri"/>
                <w:sz w:val="16"/>
                <w:szCs w:val="20"/>
              </w:rPr>
              <w:t>D. Multiple Sub-Components of Demand Generation</w:t>
            </w:r>
          </w:p>
        </w:tc>
        <w:tc>
          <w:tcPr>
            <w:tcW w:w="624" w:type="pct"/>
            <w:tcBorders>
              <w:top w:val="nil"/>
              <w:left w:val="nil"/>
              <w:bottom w:val="single" w:sz="12" w:space="0" w:color="auto"/>
              <w:right w:val="single" w:sz="8" w:space="0" w:color="auto"/>
            </w:tcBorders>
            <w:shd w:val="clear" w:color="000000" w:fill="EFEFEF"/>
          </w:tcPr>
          <w:p w14:paraId="03C8749A" w14:textId="7714C449"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12" w:space="0" w:color="auto"/>
              <w:right w:val="single" w:sz="8" w:space="0" w:color="auto"/>
            </w:tcBorders>
            <w:shd w:val="clear" w:color="auto" w:fill="auto"/>
          </w:tcPr>
          <w:p w14:paraId="3C2DF3BD" w14:textId="77259011"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12" w:space="0" w:color="auto"/>
              <w:right w:val="single" w:sz="8" w:space="0" w:color="auto"/>
            </w:tcBorders>
            <w:shd w:val="clear" w:color="000000" w:fill="EFEFEF"/>
          </w:tcPr>
          <w:p w14:paraId="49EC718D" w14:textId="2F1C98FB"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12" w:space="0" w:color="auto"/>
              <w:right w:val="single" w:sz="8" w:space="0" w:color="auto"/>
            </w:tcBorders>
            <w:shd w:val="clear" w:color="auto" w:fill="auto"/>
          </w:tcPr>
          <w:p w14:paraId="0ECD0A8A" w14:textId="089DF715" w:rsidR="00434FF2" w:rsidRPr="004D407A" w:rsidRDefault="00434FF2" w:rsidP="00434FF2">
            <w:pPr>
              <w:spacing w:after="0" w:line="240" w:lineRule="auto"/>
              <w:jc w:val="right"/>
              <w:rPr>
                <w:rFonts w:ascii="Helvetica Neue" w:eastAsia="Times New Roman" w:hAnsi="Helvetica Neue" w:cs="Calibri"/>
                <w:sz w:val="16"/>
                <w:szCs w:val="20"/>
              </w:rPr>
            </w:pPr>
          </w:p>
        </w:tc>
        <w:tc>
          <w:tcPr>
            <w:tcW w:w="571" w:type="pct"/>
            <w:tcBorders>
              <w:top w:val="nil"/>
              <w:left w:val="nil"/>
              <w:bottom w:val="single" w:sz="12" w:space="0" w:color="auto"/>
              <w:right w:val="single" w:sz="8" w:space="0" w:color="auto"/>
            </w:tcBorders>
            <w:shd w:val="clear" w:color="000000" w:fill="EFEFEF"/>
          </w:tcPr>
          <w:p w14:paraId="6B19FB37" w14:textId="023D66D0" w:rsidR="00434FF2" w:rsidRPr="004D407A" w:rsidRDefault="00434FF2" w:rsidP="00434FF2">
            <w:pPr>
              <w:spacing w:after="0" w:line="240" w:lineRule="auto"/>
              <w:jc w:val="right"/>
              <w:rPr>
                <w:rFonts w:ascii="Helvetica Neue" w:eastAsia="Times New Roman" w:hAnsi="Helvetica Neue" w:cs="Calibri"/>
                <w:sz w:val="16"/>
                <w:szCs w:val="20"/>
              </w:rPr>
            </w:pPr>
          </w:p>
        </w:tc>
        <w:tc>
          <w:tcPr>
            <w:tcW w:w="624" w:type="pct"/>
            <w:tcBorders>
              <w:top w:val="nil"/>
              <w:left w:val="nil"/>
              <w:bottom w:val="single" w:sz="12" w:space="0" w:color="auto"/>
              <w:right w:val="single" w:sz="12" w:space="0" w:color="auto"/>
            </w:tcBorders>
            <w:shd w:val="clear" w:color="auto" w:fill="auto"/>
          </w:tcPr>
          <w:p w14:paraId="5EC757D4" w14:textId="59F0B42F" w:rsidR="00434FF2" w:rsidRPr="004D407A" w:rsidRDefault="00434FF2" w:rsidP="00434FF2">
            <w:pPr>
              <w:spacing w:after="0" w:line="240" w:lineRule="auto"/>
              <w:jc w:val="right"/>
              <w:rPr>
                <w:rFonts w:ascii="Helvetica Neue" w:eastAsia="Times New Roman" w:hAnsi="Helvetica Neue" w:cs="Calibri"/>
                <w:sz w:val="16"/>
                <w:szCs w:val="20"/>
              </w:rPr>
            </w:pPr>
          </w:p>
        </w:tc>
      </w:tr>
    </w:tbl>
    <w:p w14:paraId="0736F018" w14:textId="1E883908" w:rsidR="00156BB6" w:rsidRPr="004D407A" w:rsidRDefault="00156BB6" w:rsidP="00156BB6"/>
    <w:p w14:paraId="18E91DF9" w14:textId="767B8B3C" w:rsidR="00156BB6" w:rsidRPr="004D407A" w:rsidRDefault="00156BB6" w:rsidP="00156BB6"/>
    <w:sectPr w:rsidR="00156BB6" w:rsidRPr="004D407A" w:rsidSect="00DA3EF7">
      <w:pgSz w:w="16838" w:h="11906" w:orient="landscape" w:code="9"/>
      <w:pgMar w:top="1157" w:right="1157" w:bottom="1157" w:left="1157"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DB">
      <wne:acd wne:acdName="acd1"/>
    </wne:keymap>
    <wne:keymap wne:kcmPrimary="04DD">
      <wne:acd wne:acdName="acd0"/>
    </wne:keymap>
  </wne:keymaps>
  <wne:toolbars>
    <wne:acdManifest>
      <wne:acdEntry wne:acdName="acd0"/>
      <wne:acdEntry wne:acdName="acd1"/>
    </wne:acdManifest>
  </wne:toolbars>
  <wne:acds>
    <wne:acd wne:argValue="AgBCAEcARABfAFIARgBXAA==" wne:acdName="acd0" wne:fciIndexBasedOn="0065"/>
    <wne:acd wne:argValue="AgBtAHkAQwBoAGEAcgB0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EEE43" w14:textId="77777777" w:rsidR="00C54AE0" w:rsidRDefault="00C54AE0" w:rsidP="00242083">
      <w:pPr>
        <w:spacing w:after="0" w:line="240" w:lineRule="auto"/>
      </w:pPr>
      <w:r>
        <w:separator/>
      </w:r>
    </w:p>
  </w:endnote>
  <w:endnote w:type="continuationSeparator" w:id="0">
    <w:p w14:paraId="7823367E" w14:textId="77777777" w:rsidR="00C54AE0" w:rsidRDefault="00C54AE0" w:rsidP="00242083">
      <w:pPr>
        <w:spacing w:after="0" w:line="240" w:lineRule="auto"/>
      </w:pPr>
      <w:r>
        <w:continuationSeparator/>
      </w:r>
    </w:p>
  </w:endnote>
  <w:endnote w:type="continuationNotice" w:id="1">
    <w:p w14:paraId="4CF2B41A" w14:textId="77777777" w:rsidR="00C54AE0" w:rsidRDefault="00C54A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DIN">
    <w:altName w:val="Calibri"/>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inionPro-Regular">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BC1B" w14:textId="5B745774" w:rsidR="00A321DD" w:rsidRDefault="00A321DD" w:rsidP="00024B78">
    <w:pPr>
      <w:pStyle w:val="Footer"/>
      <w:pBdr>
        <w:top w:val="single" w:sz="4" w:space="1" w:color="5B9BD5" w:themeColor="accent1"/>
      </w:pBdr>
      <w:jc w:val="center"/>
    </w:pPr>
    <w:r>
      <w:fldChar w:fldCharType="begin"/>
    </w:r>
    <w:r>
      <w:instrText xml:space="preserve"> PAGE   \* MERGEFORMAT </w:instrText>
    </w:r>
    <w:r>
      <w:fldChar w:fldCharType="separate"/>
    </w:r>
    <w:r w:rsidR="00356E09">
      <w:rPr>
        <w:noProof/>
      </w:rPr>
      <w:t>63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0DD1" w14:textId="611055AA" w:rsidR="00A321DD" w:rsidRDefault="00A321DD" w:rsidP="00024B78">
    <w:pPr>
      <w:pStyle w:val="Footer"/>
      <w:pBdr>
        <w:top w:val="single" w:sz="4" w:space="1" w:color="5B9BD5" w:themeColor="accent1"/>
      </w:pBdr>
      <w:jc w:val="center"/>
    </w:pPr>
    <w:r>
      <w:fldChar w:fldCharType="begin"/>
    </w:r>
    <w:r>
      <w:instrText xml:space="preserve"> PAGE   \* MERGEFORMAT </w:instrText>
    </w:r>
    <w:r>
      <w:fldChar w:fldCharType="separate"/>
    </w:r>
    <w:r w:rsidR="00356E09">
      <w:rPr>
        <w:noProof/>
      </w:rPr>
      <w:t>57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3DABB" w14:textId="77777777" w:rsidR="00C54AE0" w:rsidRDefault="00C54AE0" w:rsidP="00242083">
      <w:pPr>
        <w:spacing w:after="0" w:line="240" w:lineRule="auto"/>
      </w:pPr>
      <w:r>
        <w:separator/>
      </w:r>
    </w:p>
  </w:footnote>
  <w:footnote w:type="continuationSeparator" w:id="0">
    <w:p w14:paraId="3CD0E39E" w14:textId="77777777" w:rsidR="00C54AE0" w:rsidRDefault="00C54AE0" w:rsidP="00242083">
      <w:pPr>
        <w:spacing w:after="0" w:line="240" w:lineRule="auto"/>
      </w:pPr>
      <w:r>
        <w:continuationSeparator/>
      </w:r>
    </w:p>
  </w:footnote>
  <w:footnote w:type="continuationNotice" w:id="1">
    <w:p w14:paraId="39122F6B" w14:textId="77777777" w:rsidR="00C54AE0" w:rsidRDefault="00C54AE0">
      <w:pPr>
        <w:spacing w:after="0" w:line="240" w:lineRule="auto"/>
      </w:pPr>
    </w:p>
  </w:footnote>
  <w:footnote w:id="2">
    <w:p w14:paraId="40BF9C88" w14:textId="77777777" w:rsidR="00A321DD" w:rsidRPr="00A74365" w:rsidRDefault="00A321DD" w:rsidP="00957399">
      <w:pPr>
        <w:pStyle w:val="FootnoteText"/>
        <w:rPr>
          <w:rFonts w:ascii="Arial" w:hAnsi="Arial"/>
          <w:sz w:val="16"/>
        </w:rPr>
      </w:pPr>
      <w:r w:rsidRPr="00A74365">
        <w:rPr>
          <w:rStyle w:val="FootnoteReference"/>
          <w:rFonts w:ascii="Arial" w:hAnsi="Arial"/>
          <w:sz w:val="16"/>
        </w:rPr>
        <w:footnoteRef/>
      </w:r>
      <w:r w:rsidRPr="00A74365">
        <w:rPr>
          <w:rFonts w:ascii="Arial" w:hAnsi="Arial"/>
          <w:sz w:val="16"/>
        </w:rPr>
        <w:t xml:space="preserve"> </w:t>
      </w:r>
      <w:hyperlink r:id="rId1" w:history="1">
        <w:r w:rsidRPr="00A74365">
          <w:rPr>
            <w:rStyle w:val="Hyperlink"/>
            <w:rFonts w:ascii="Arial" w:hAnsi="Arial"/>
            <w:sz w:val="16"/>
          </w:rPr>
          <w:t>https://worldpopulationreview.com/countries/bangladesh-population</w:t>
        </w:r>
      </w:hyperlink>
      <w:r w:rsidRPr="00A74365">
        <w:rPr>
          <w:rFonts w:ascii="Arial" w:hAnsi="Arial"/>
          <w:sz w:val="16"/>
        </w:rPr>
        <w:t xml:space="preserve"> </w:t>
      </w:r>
    </w:p>
  </w:footnote>
  <w:footnote w:id="3">
    <w:p w14:paraId="12854DF5" w14:textId="77777777" w:rsidR="00A321DD" w:rsidRPr="00F80907" w:rsidRDefault="00A321DD" w:rsidP="00957399">
      <w:pPr>
        <w:pStyle w:val="FootnoteText"/>
      </w:pPr>
      <w:r w:rsidRPr="00F80907">
        <w:rPr>
          <w:rStyle w:val="FootnoteReference"/>
          <w:rFonts w:ascii="Arial" w:hAnsi="Arial"/>
          <w:sz w:val="16"/>
        </w:rPr>
        <w:footnoteRef/>
      </w:r>
      <w:r w:rsidRPr="00F80907">
        <w:t xml:space="preserve"> </w:t>
      </w:r>
      <w:r>
        <w:tab/>
        <w:t>Bangladesh Bureau of Statistics, 2020</w:t>
      </w:r>
    </w:p>
  </w:footnote>
  <w:footnote w:id="4">
    <w:p w14:paraId="5283CDB2" w14:textId="5FB90EE5" w:rsidR="00A321DD" w:rsidRPr="00C24C25" w:rsidRDefault="00A321DD">
      <w:pPr>
        <w:pStyle w:val="FootnoteText"/>
        <w:rPr>
          <w:rFonts w:ascii="Arial" w:hAnsi="Arial"/>
          <w:sz w:val="16"/>
        </w:rPr>
      </w:pPr>
      <w:r w:rsidRPr="00C24C25">
        <w:rPr>
          <w:rStyle w:val="FootnoteReference"/>
          <w:rFonts w:ascii="Arial" w:hAnsi="Arial"/>
          <w:sz w:val="16"/>
        </w:rPr>
        <w:footnoteRef/>
      </w:r>
      <w:r w:rsidRPr="00C24C25">
        <w:rPr>
          <w:rFonts w:ascii="Arial" w:hAnsi="Arial"/>
          <w:sz w:val="16"/>
        </w:rPr>
        <w:t xml:space="preserve"> Originally prepared and approved in 2017</w:t>
      </w:r>
    </w:p>
  </w:footnote>
  <w:footnote w:id="5">
    <w:p w14:paraId="4FED4842" w14:textId="77777777" w:rsidR="00A321DD" w:rsidRPr="00E0147B" w:rsidRDefault="00A321DD" w:rsidP="00A50A44">
      <w:pPr>
        <w:pStyle w:val="FootnoteText"/>
        <w:rPr>
          <w:rFonts w:ascii="Arial" w:hAnsi="Arial"/>
          <w:sz w:val="16"/>
        </w:rPr>
      </w:pPr>
      <w:r w:rsidRPr="00E0147B">
        <w:rPr>
          <w:rStyle w:val="FootnoteReference"/>
          <w:rFonts w:ascii="Arial" w:hAnsi="Arial"/>
          <w:sz w:val="16"/>
        </w:rPr>
        <w:footnoteRef/>
      </w:r>
      <w:r w:rsidRPr="00E0147B">
        <w:rPr>
          <w:rFonts w:ascii="Arial" w:hAnsi="Arial"/>
          <w:sz w:val="16"/>
        </w:rPr>
        <w:t xml:space="preserve"> </w:t>
      </w:r>
      <w:r w:rsidRPr="00E0147B">
        <w:rPr>
          <w:rFonts w:ascii="Arial" w:hAnsi="Arial" w:cs="DIN"/>
          <w:color w:val="000000"/>
          <w:sz w:val="16"/>
          <w:lang w:val="en-GB"/>
        </w:rPr>
        <w:t>formerly known as the Construction Management and Maintenance Unit)</w:t>
      </w:r>
    </w:p>
  </w:footnote>
  <w:footnote w:id="6">
    <w:p w14:paraId="5CF9E3F1" w14:textId="77777777" w:rsidR="00A321DD" w:rsidRPr="0012744B" w:rsidRDefault="00A321DD" w:rsidP="00A50A44">
      <w:pPr>
        <w:pStyle w:val="FootnoteText"/>
        <w:rPr>
          <w:sz w:val="16"/>
        </w:rPr>
      </w:pPr>
      <w:r w:rsidRPr="0012744B">
        <w:rPr>
          <w:rStyle w:val="FootnoteReference"/>
          <w:sz w:val="16"/>
        </w:rPr>
        <w:footnoteRef/>
      </w:r>
      <w:r w:rsidRPr="0012744B">
        <w:rPr>
          <w:sz w:val="16"/>
        </w:rPr>
        <w:t xml:space="preserve"> Social and Behavioral Change</w:t>
      </w:r>
    </w:p>
  </w:footnote>
  <w:footnote w:id="7">
    <w:p w14:paraId="582E3EB4" w14:textId="77777777" w:rsidR="00A321DD" w:rsidRPr="00D0026A" w:rsidRDefault="00A321DD" w:rsidP="00D0026A">
      <w:pPr>
        <w:pStyle w:val="FootnoteText"/>
      </w:pPr>
      <w:r w:rsidRPr="00D0026A">
        <w:rPr>
          <w:rStyle w:val="FootnoteReference"/>
        </w:rPr>
        <w:footnoteRef/>
      </w:r>
      <w:r w:rsidRPr="00D0026A">
        <w:t xml:space="preserve"> </w:t>
      </w:r>
      <w:r>
        <w:tab/>
      </w:r>
      <w:r w:rsidRPr="00D0026A">
        <w:t>23 public, 10 private</w:t>
      </w:r>
    </w:p>
  </w:footnote>
  <w:footnote w:id="8">
    <w:p w14:paraId="01285D21" w14:textId="77777777" w:rsidR="00A321DD" w:rsidRPr="00D0026A" w:rsidRDefault="00A321DD" w:rsidP="00D0026A">
      <w:pPr>
        <w:pStyle w:val="FootnoteText"/>
      </w:pPr>
      <w:r w:rsidRPr="00D0026A">
        <w:rPr>
          <w:rStyle w:val="FootnoteReference"/>
        </w:rPr>
        <w:footnoteRef/>
      </w:r>
      <w:r w:rsidRPr="00D0026A">
        <w:t xml:space="preserve"> </w:t>
      </w:r>
      <w:r>
        <w:tab/>
      </w:r>
      <w:r w:rsidRPr="00D0026A">
        <w:t>36 public, 64 private</w:t>
      </w:r>
    </w:p>
  </w:footnote>
  <w:footnote w:id="9">
    <w:p w14:paraId="04897762" w14:textId="77777777" w:rsidR="00A321DD" w:rsidRPr="00D0026A" w:rsidRDefault="00A321DD" w:rsidP="00D0026A">
      <w:pPr>
        <w:pStyle w:val="FootnoteText"/>
      </w:pPr>
      <w:r w:rsidRPr="00D0026A">
        <w:rPr>
          <w:rStyle w:val="FootnoteReference"/>
        </w:rPr>
        <w:footnoteRef/>
      </w:r>
      <w:r w:rsidRPr="00D0026A">
        <w:t xml:space="preserve"> </w:t>
      </w:r>
      <w:r>
        <w:tab/>
      </w:r>
      <w:r w:rsidRPr="00D0026A">
        <w:t>In eight divisions</w:t>
      </w:r>
    </w:p>
  </w:footnote>
  <w:footnote w:id="10">
    <w:p w14:paraId="28B5AD84" w14:textId="77777777" w:rsidR="00A321DD" w:rsidRPr="00D0026A" w:rsidRDefault="00A321DD" w:rsidP="00D0026A">
      <w:pPr>
        <w:pStyle w:val="FootnoteText"/>
      </w:pPr>
      <w:r w:rsidRPr="00D0026A">
        <w:rPr>
          <w:rStyle w:val="FootnoteReference"/>
        </w:rPr>
        <w:footnoteRef/>
      </w:r>
      <w:r w:rsidRPr="00D0026A">
        <w:t xml:space="preserve"> </w:t>
      </w:r>
      <w:r>
        <w:tab/>
      </w:r>
      <w:r w:rsidRPr="00D0026A">
        <w:t>Situated at “</w:t>
      </w:r>
      <w:proofErr w:type="spellStart"/>
      <w:r w:rsidRPr="00D0026A">
        <w:t>Sadar</w:t>
      </w:r>
      <w:proofErr w:type="spellEnd"/>
      <w:r w:rsidRPr="00D0026A">
        <w:t xml:space="preserve"> Upazila” which do not have indoor facility and managed by the headquarters from co-located district town</w:t>
      </w:r>
    </w:p>
  </w:footnote>
  <w:footnote w:id="11">
    <w:p w14:paraId="1A6C758A" w14:textId="77777777" w:rsidR="00A321DD" w:rsidRPr="00D0026A" w:rsidRDefault="00A321DD" w:rsidP="00302AAA">
      <w:pPr>
        <w:pStyle w:val="FootnoteText"/>
      </w:pPr>
      <w:r w:rsidRPr="00D0026A">
        <w:rPr>
          <w:rStyle w:val="FootnoteReference"/>
        </w:rPr>
        <w:footnoteRef/>
      </w:r>
      <w:r w:rsidRPr="00D0026A">
        <w:t xml:space="preserve"> </w:t>
      </w:r>
      <w:r>
        <w:tab/>
      </w:r>
      <w:r w:rsidRPr="00D0026A">
        <w:t>WHO, 2015</w:t>
      </w:r>
    </w:p>
  </w:footnote>
  <w:footnote w:id="12">
    <w:p w14:paraId="4DE5E827" w14:textId="77777777" w:rsidR="00A321DD" w:rsidRPr="00D0026A" w:rsidRDefault="00A321DD" w:rsidP="00302AAA">
      <w:pPr>
        <w:pStyle w:val="FootnoteText"/>
      </w:pPr>
      <w:r w:rsidRPr="00D0026A">
        <w:rPr>
          <w:rStyle w:val="FootnoteReference"/>
        </w:rPr>
        <w:footnoteRef/>
      </w:r>
      <w:r w:rsidRPr="00D0026A">
        <w:t xml:space="preserve"> </w:t>
      </w:r>
      <w:r>
        <w:tab/>
      </w:r>
      <w:r w:rsidRPr="00D0026A">
        <w:t>Cockcroft, Milne et al., 2004</w:t>
      </w:r>
    </w:p>
  </w:footnote>
  <w:footnote w:id="13">
    <w:p w14:paraId="5CACEB72" w14:textId="77777777" w:rsidR="00A321DD" w:rsidRPr="00D0026A" w:rsidRDefault="00A321DD" w:rsidP="00F81B45">
      <w:pPr>
        <w:pStyle w:val="FootnoteText"/>
      </w:pPr>
      <w:r w:rsidRPr="00A92CE4">
        <w:rPr>
          <w:rStyle w:val="FootnoteReference"/>
          <w:rFonts w:ascii="Arial" w:hAnsi="Arial"/>
          <w:sz w:val="16"/>
        </w:rPr>
        <w:footnoteRef/>
      </w:r>
      <w:r w:rsidRPr="00D0026A">
        <w:t xml:space="preserve"> </w:t>
      </w:r>
      <w:r>
        <w:tab/>
      </w:r>
      <w:r w:rsidRPr="00D0026A">
        <w:t>BNG Health Workforce Strategy, 2015</w:t>
      </w:r>
    </w:p>
  </w:footnote>
  <w:footnote w:id="14">
    <w:p w14:paraId="76BF9C8F" w14:textId="77777777" w:rsidR="00A321DD" w:rsidRPr="00D0026A" w:rsidRDefault="00A321DD" w:rsidP="00F81B45">
      <w:pPr>
        <w:pStyle w:val="FootnoteText"/>
      </w:pPr>
      <w:r w:rsidRPr="00A92CE4">
        <w:rPr>
          <w:rStyle w:val="FootnoteReference"/>
          <w:rFonts w:ascii="Arial" w:hAnsi="Arial"/>
          <w:sz w:val="16"/>
        </w:rPr>
        <w:footnoteRef/>
      </w:r>
      <w:r w:rsidRPr="00D0026A">
        <w:t xml:space="preserve"> </w:t>
      </w:r>
      <w:r>
        <w:tab/>
      </w:r>
      <w:r w:rsidRPr="00D0026A">
        <w:t>Bachelor of Medicine and Bachelor of Surgery</w:t>
      </w:r>
    </w:p>
  </w:footnote>
  <w:footnote w:id="15">
    <w:p w14:paraId="2FE60399" w14:textId="77777777" w:rsidR="00A321DD" w:rsidRPr="00D0026A" w:rsidRDefault="00A321DD" w:rsidP="00F81B45">
      <w:pPr>
        <w:pStyle w:val="FootnoteText"/>
      </w:pPr>
      <w:r w:rsidRPr="00A92CE4">
        <w:rPr>
          <w:rStyle w:val="FootnoteReference"/>
          <w:rFonts w:ascii="Arial" w:hAnsi="Arial"/>
          <w:sz w:val="16"/>
        </w:rPr>
        <w:footnoteRef/>
      </w:r>
      <w:r w:rsidRPr="00D0026A">
        <w:t xml:space="preserve"> </w:t>
      </w:r>
      <w:r>
        <w:tab/>
      </w:r>
      <w:r w:rsidRPr="00D0026A">
        <w:t>DGHS, 2014</w:t>
      </w:r>
    </w:p>
  </w:footnote>
  <w:footnote w:id="16">
    <w:p w14:paraId="2624E2EB" w14:textId="77777777" w:rsidR="00A321DD" w:rsidRPr="00D0026A" w:rsidRDefault="00A321DD" w:rsidP="00F81B45">
      <w:pPr>
        <w:pStyle w:val="FootnoteText"/>
      </w:pPr>
      <w:r w:rsidRPr="00A92CE4">
        <w:rPr>
          <w:rStyle w:val="FootnoteReference"/>
          <w:rFonts w:ascii="Arial" w:hAnsi="Arial"/>
          <w:sz w:val="16"/>
        </w:rPr>
        <w:footnoteRef/>
      </w:r>
      <w:r w:rsidRPr="00D0026A">
        <w:t xml:space="preserve"> </w:t>
      </w:r>
      <w:r w:rsidRPr="00D0026A">
        <w:tab/>
        <w:t>HRH Data Sheet, 2014</w:t>
      </w:r>
    </w:p>
  </w:footnote>
  <w:footnote w:id="17">
    <w:p w14:paraId="70221F25" w14:textId="77777777" w:rsidR="00A321DD" w:rsidRPr="00D0026A" w:rsidRDefault="00A321DD" w:rsidP="00F81B45">
      <w:pPr>
        <w:pStyle w:val="FootnoteText"/>
      </w:pPr>
      <w:r w:rsidRPr="00D0026A">
        <w:rPr>
          <w:rStyle w:val="FootnoteReference"/>
        </w:rPr>
        <w:footnoteRef/>
      </w:r>
      <w:r w:rsidRPr="00D0026A">
        <w:t xml:space="preserve"> </w:t>
      </w:r>
      <w:r w:rsidRPr="00D0026A">
        <w:tab/>
        <w:t>Total health workforce includes the health workforce registered with BMDC, BNC, PCB, SMFB, BHB, UABB and domiciliary and support workforce working with MOHFW (HRH Country Profile, Bangladesh)</w:t>
      </w:r>
    </w:p>
  </w:footnote>
  <w:footnote w:id="18">
    <w:p w14:paraId="6811BD1C" w14:textId="128DB1B2" w:rsidR="00A321DD" w:rsidRPr="00D0026A" w:rsidRDefault="00A321DD" w:rsidP="00F81B45">
      <w:pPr>
        <w:pStyle w:val="FootnoteText"/>
      </w:pPr>
      <w:r w:rsidRPr="00D0026A">
        <w:rPr>
          <w:rStyle w:val="FootnoteReference"/>
        </w:rPr>
        <w:footnoteRef/>
      </w:r>
      <w:r w:rsidRPr="00D0026A">
        <w:t xml:space="preserve"> </w:t>
      </w:r>
      <w:r w:rsidRPr="00D0026A">
        <w:tab/>
        <w:t>Health related background paper for the 7th Five-year Plan, Planning Commission, Ministry of Planning, GOB, 2014.</w:t>
      </w:r>
    </w:p>
  </w:footnote>
  <w:footnote w:id="19">
    <w:p w14:paraId="54593B75" w14:textId="77777777" w:rsidR="00A321DD" w:rsidRPr="00D0026A" w:rsidRDefault="00A321DD" w:rsidP="00AB225F">
      <w:pPr>
        <w:pStyle w:val="FootnoteText"/>
      </w:pPr>
      <w:r w:rsidRPr="00D0026A">
        <w:rPr>
          <w:rStyle w:val="FootnoteReference"/>
        </w:rPr>
        <w:footnoteRef/>
      </w:r>
      <w:r w:rsidRPr="00D0026A">
        <w:t xml:space="preserve"> </w:t>
      </w:r>
      <w:r>
        <w:tab/>
      </w:r>
      <w:r w:rsidRPr="00D0026A">
        <w:t>Rules of Business, 1996 of the Government</w:t>
      </w:r>
    </w:p>
  </w:footnote>
  <w:footnote w:id="20">
    <w:p w14:paraId="7E4AD456" w14:textId="77777777" w:rsidR="00A321DD" w:rsidRPr="00985730" w:rsidRDefault="00A321DD" w:rsidP="00AB225F">
      <w:pPr>
        <w:pStyle w:val="FootnoteText"/>
        <w:rPr>
          <w:rFonts w:ascii="Arial" w:hAnsi="Arial"/>
          <w:sz w:val="16"/>
        </w:rPr>
      </w:pPr>
      <w:r w:rsidRPr="00985730">
        <w:rPr>
          <w:rStyle w:val="FootnoteReference"/>
          <w:rFonts w:ascii="Arial" w:hAnsi="Arial"/>
          <w:sz w:val="16"/>
        </w:rPr>
        <w:footnoteRef/>
      </w:r>
      <w:r w:rsidRPr="00985730">
        <w:rPr>
          <w:rFonts w:ascii="Arial" w:hAnsi="Arial"/>
          <w:sz w:val="16"/>
        </w:rPr>
        <w:t xml:space="preserve"> </w:t>
      </w:r>
      <w:r w:rsidRPr="00985730">
        <w:rPr>
          <w:rFonts w:ascii="Arial" w:hAnsi="Arial"/>
          <w:sz w:val="16"/>
        </w:rPr>
        <w:tab/>
        <w:t>HRH Data Sheet, 2014</w:t>
      </w:r>
    </w:p>
  </w:footnote>
  <w:footnote w:id="21">
    <w:p w14:paraId="17C0E978" w14:textId="77777777" w:rsidR="00A321DD" w:rsidRPr="00D0026A" w:rsidRDefault="00A321DD" w:rsidP="00AB225F">
      <w:pPr>
        <w:pStyle w:val="FootnoteText"/>
      </w:pPr>
      <w:r w:rsidRPr="00985730">
        <w:rPr>
          <w:rStyle w:val="FootnoteReference"/>
          <w:rFonts w:ascii="Arial" w:hAnsi="Arial"/>
          <w:sz w:val="16"/>
        </w:rPr>
        <w:footnoteRef/>
      </w:r>
      <w:r w:rsidRPr="00985730">
        <w:rPr>
          <w:rFonts w:ascii="Arial" w:hAnsi="Arial"/>
          <w:sz w:val="16"/>
        </w:rPr>
        <w:t xml:space="preserve"> </w:t>
      </w:r>
      <w:r w:rsidRPr="00985730">
        <w:rPr>
          <w:rFonts w:ascii="Arial" w:hAnsi="Arial"/>
          <w:sz w:val="16"/>
        </w:rPr>
        <w:tab/>
        <w:t>The Government Servants (Discipline &amp; Appeal) Rule, 1985</w:t>
      </w:r>
    </w:p>
  </w:footnote>
  <w:footnote w:id="22">
    <w:p w14:paraId="5EC96EBE" w14:textId="77777777" w:rsidR="00A321DD" w:rsidRDefault="00A321DD" w:rsidP="00AB225F">
      <w:pPr>
        <w:pStyle w:val="FootnoteText"/>
      </w:pPr>
      <w:r>
        <w:rPr>
          <w:rStyle w:val="FootnoteReference"/>
        </w:rPr>
        <w:footnoteRef/>
      </w:r>
      <w:r>
        <w:t xml:space="preserve"> </w:t>
      </w:r>
      <w:r>
        <w:tab/>
        <w:t>Asia Pacific Observatory on Health Systems and Policies. Bangladesh Health Systems Review. Health Systems in Transition Vol. 5 No 3. 2015</w:t>
      </w:r>
    </w:p>
  </w:footnote>
  <w:footnote w:id="23">
    <w:p w14:paraId="0EDA4331" w14:textId="77777777" w:rsidR="00A321DD" w:rsidRPr="00EB7320" w:rsidRDefault="00A321DD" w:rsidP="00CF6BCE">
      <w:pPr>
        <w:pStyle w:val="FootnoteText"/>
      </w:pPr>
      <w:r>
        <w:rPr>
          <w:rStyle w:val="FootnoteReference"/>
        </w:rPr>
        <w:footnoteRef/>
      </w:r>
      <w:r>
        <w:t xml:space="preserve"> </w:t>
      </w:r>
      <w:r>
        <w:tab/>
        <w:t xml:space="preserve">According to CES (20;15), </w:t>
      </w:r>
      <w:r w:rsidRPr="00EB7320">
        <w:rPr>
          <w:b/>
          <w:i/>
        </w:rPr>
        <w:t>crude vaccination coverage</w:t>
      </w:r>
      <w:r>
        <w:t xml:space="preserve"> was defined as the vaccine given to the children where the exact age for starting vaccinations and/or interval between dose(s) do not meet the EPI recommended schedule</w:t>
      </w:r>
    </w:p>
  </w:footnote>
  <w:footnote w:id="24">
    <w:p w14:paraId="665059E2" w14:textId="77777777" w:rsidR="00A321DD" w:rsidRPr="00EB7320" w:rsidRDefault="00A321DD" w:rsidP="00CF6BCE">
      <w:pPr>
        <w:pStyle w:val="FootnoteText"/>
      </w:pPr>
      <w:r>
        <w:rPr>
          <w:rStyle w:val="FootnoteReference"/>
        </w:rPr>
        <w:footnoteRef/>
      </w:r>
      <w:r>
        <w:t xml:space="preserve"> </w:t>
      </w:r>
      <w:r>
        <w:tab/>
        <w:t>According to CES (2019), a</w:t>
      </w:r>
      <w:r w:rsidRPr="00122CE4">
        <w:t xml:space="preserve"> child is considered as </w:t>
      </w:r>
      <w:r w:rsidRPr="00EB7320">
        <w:rPr>
          <w:b/>
          <w:i/>
        </w:rPr>
        <w:t>fully vaccinated</w:t>
      </w:r>
      <w:r w:rsidRPr="00122CE4">
        <w:t xml:space="preserve"> if the child has received one dose of BCG,</w:t>
      </w:r>
      <w:r>
        <w:t xml:space="preserve"> </w:t>
      </w:r>
      <w:r w:rsidRPr="00122CE4">
        <w:t>3 doses of Pentavalent (diphtheria, pertussis, tetanus, Hep-B and Hib), 3 doses of</w:t>
      </w:r>
      <w:r>
        <w:t xml:space="preserve"> OPV, 3 doses of PCV, and one dose of </w:t>
      </w:r>
      <w:r w:rsidRPr="00122CE4">
        <w:t>MR (Measles and Rubella) vaccines</w:t>
      </w:r>
      <w:r>
        <w:t>.</w:t>
      </w:r>
    </w:p>
  </w:footnote>
  <w:footnote w:id="25">
    <w:p w14:paraId="33951DF3" w14:textId="77777777" w:rsidR="00A321DD" w:rsidRPr="00AE5D4A" w:rsidRDefault="00A321DD" w:rsidP="00CF6BCE">
      <w:pPr>
        <w:pStyle w:val="FootnoteText"/>
      </w:pPr>
      <w:r>
        <w:rPr>
          <w:rStyle w:val="FootnoteReference"/>
        </w:rPr>
        <w:footnoteRef/>
      </w:r>
      <w:r>
        <w:t xml:space="preserve"> </w:t>
      </w:r>
      <w:r>
        <w:tab/>
        <w:t>CES 2019</w:t>
      </w:r>
    </w:p>
  </w:footnote>
  <w:footnote w:id="26">
    <w:p w14:paraId="736A138F" w14:textId="77777777" w:rsidR="00A321DD" w:rsidRPr="00D0026A" w:rsidRDefault="00A321DD" w:rsidP="00771CD1">
      <w:pPr>
        <w:pStyle w:val="FootnoteText"/>
      </w:pPr>
      <w:r w:rsidRPr="00D0026A">
        <w:rPr>
          <w:rStyle w:val="FootnoteReference"/>
        </w:rPr>
        <w:footnoteRef/>
      </w:r>
      <w:r w:rsidRPr="00D0026A">
        <w:t xml:space="preserve"> </w:t>
      </w:r>
      <w:r>
        <w:tab/>
      </w:r>
      <w:r w:rsidRPr="00D0026A">
        <w:t>CE</w:t>
      </w:r>
      <w:r>
        <w:t>S</w:t>
      </w:r>
      <w:r w:rsidRPr="00D0026A">
        <w:t xml:space="preserve"> 2016 is unpublished</w:t>
      </w:r>
    </w:p>
  </w:footnote>
  <w:footnote w:id="27">
    <w:p w14:paraId="5F214129" w14:textId="77777777" w:rsidR="00A321DD" w:rsidRDefault="00A321DD" w:rsidP="00331F23">
      <w:pPr>
        <w:pStyle w:val="EndnoteText"/>
        <w:spacing w:after="0" w:line="240" w:lineRule="auto"/>
      </w:pPr>
      <w:r>
        <w:rPr>
          <w:rStyle w:val="FootnoteReference"/>
        </w:rPr>
        <w:footnoteRef/>
      </w:r>
      <w:r w:rsidRPr="00331F23">
        <w:rPr>
          <w:rFonts w:ascii="Arial" w:hAnsi="Arial"/>
          <w:sz w:val="16"/>
        </w:rPr>
        <w:t xml:space="preserve"> Urban Health Survey 2013</w:t>
      </w:r>
    </w:p>
  </w:footnote>
  <w:footnote w:id="28">
    <w:p w14:paraId="44F87D39" w14:textId="3E2C3E79" w:rsidR="00A321DD" w:rsidRDefault="00A321DD" w:rsidP="00331F23">
      <w:pPr>
        <w:pStyle w:val="FootnoteText"/>
      </w:pPr>
      <w:r>
        <w:rPr>
          <w:rStyle w:val="FootnoteReference"/>
        </w:rPr>
        <w:footnoteRef/>
      </w:r>
      <w:r>
        <w:t xml:space="preserve"> </w:t>
      </w:r>
      <w:r w:rsidRPr="00331F23">
        <w:rPr>
          <w:rFonts w:ascii="Arial" w:hAnsi="Arial"/>
          <w:sz w:val="16"/>
        </w:rPr>
        <w:t>Dhaka North City Corporation</w:t>
      </w:r>
    </w:p>
  </w:footnote>
  <w:footnote w:id="29">
    <w:p w14:paraId="19CD9B10" w14:textId="77777777" w:rsidR="00A321DD" w:rsidRDefault="00A321DD" w:rsidP="00012A6E">
      <w:pPr>
        <w:pStyle w:val="FootnoteText"/>
      </w:pPr>
      <w:r>
        <w:rPr>
          <w:rStyle w:val="FootnoteReference"/>
        </w:rPr>
        <w:footnoteRef/>
      </w:r>
      <w:r>
        <w:t xml:space="preserve"> </w:t>
      </w:r>
      <w:r w:rsidRPr="009B7E3D">
        <w:rPr>
          <w:rFonts w:ascii="Arial" w:hAnsi="Arial"/>
          <w:sz w:val="16"/>
        </w:rPr>
        <w:t>EQUIST Bangladesh IHE, UNICEF, 2020</w:t>
      </w:r>
    </w:p>
  </w:footnote>
  <w:footnote w:id="30">
    <w:p w14:paraId="2D876DB0" w14:textId="77777777" w:rsidR="00A321DD" w:rsidRPr="00D0026A" w:rsidRDefault="00A321DD" w:rsidP="0067286F">
      <w:pPr>
        <w:pStyle w:val="FootnoteText"/>
      </w:pPr>
      <w:r w:rsidRPr="00D0026A">
        <w:rPr>
          <w:rStyle w:val="FootnoteReference"/>
        </w:rPr>
        <w:footnoteRef/>
      </w:r>
      <w:r w:rsidRPr="00D0026A">
        <w:t xml:space="preserve"> </w:t>
      </w:r>
      <w:r>
        <w:tab/>
      </w:r>
      <w:r w:rsidRPr="00D0026A">
        <w:t>National Immunization Policy, 2014</w:t>
      </w:r>
    </w:p>
  </w:footnote>
  <w:footnote w:id="31">
    <w:p w14:paraId="4C384A4F" w14:textId="77777777" w:rsidR="00A321DD" w:rsidRDefault="00A321DD" w:rsidP="00665F44">
      <w:pPr>
        <w:pStyle w:val="FootnoteText"/>
      </w:pPr>
      <w:r>
        <w:rPr>
          <w:rStyle w:val="FootnoteReference"/>
        </w:rPr>
        <w:footnoteRef/>
      </w:r>
      <w:r>
        <w:t xml:space="preserve"> Urban immunization strategy, BGD</w:t>
      </w:r>
    </w:p>
  </w:footnote>
  <w:footnote w:id="32">
    <w:p w14:paraId="202DF10D" w14:textId="77777777" w:rsidR="00A321DD" w:rsidRPr="00D0026A" w:rsidRDefault="00A321DD" w:rsidP="00411F17">
      <w:pPr>
        <w:pStyle w:val="FootnoteText"/>
      </w:pPr>
      <w:r w:rsidRPr="00D0026A">
        <w:rPr>
          <w:rStyle w:val="FootnoteReference"/>
        </w:rPr>
        <w:footnoteRef/>
      </w:r>
      <w:r w:rsidRPr="00D0026A">
        <w:t xml:space="preserve"> </w:t>
      </w:r>
      <w:r>
        <w:tab/>
      </w:r>
      <w:r w:rsidRPr="00D0026A">
        <w:t>EPI and VPD Surveillance Review and Post-Introduction Evaluation of Hib, 2012</w:t>
      </w:r>
    </w:p>
  </w:footnote>
  <w:footnote w:id="33">
    <w:p w14:paraId="10617BAD" w14:textId="77777777" w:rsidR="00A321DD" w:rsidRPr="00D0026A" w:rsidRDefault="00A321DD" w:rsidP="00D0026A">
      <w:pPr>
        <w:pStyle w:val="FootnoteText"/>
      </w:pPr>
      <w:r w:rsidRPr="00D0026A">
        <w:rPr>
          <w:rStyle w:val="FootnoteReference"/>
        </w:rPr>
        <w:footnoteRef/>
      </w:r>
      <w:r w:rsidRPr="00D0026A">
        <w:t xml:space="preserve"> </w:t>
      </w:r>
      <w:r>
        <w:tab/>
      </w:r>
      <w:r w:rsidRPr="00D0026A">
        <w:t xml:space="preserve">According to the EPI and VPD Surveillance Review and Post introduction Evaluation on HIB, 2012 </w:t>
      </w:r>
    </w:p>
  </w:footnote>
  <w:footnote w:id="34">
    <w:p w14:paraId="06D24B0E" w14:textId="52A8AFB5" w:rsidR="00A321DD" w:rsidRPr="00D0026A" w:rsidRDefault="00A321DD" w:rsidP="00D0026A">
      <w:pPr>
        <w:pStyle w:val="FootnoteText"/>
      </w:pPr>
      <w:r w:rsidRPr="00D0026A">
        <w:rPr>
          <w:rStyle w:val="FootnoteReference"/>
        </w:rPr>
        <w:footnoteRef/>
      </w:r>
      <w:r w:rsidRPr="00D0026A">
        <w:t xml:space="preserve"> </w:t>
      </w:r>
      <w:r>
        <w:tab/>
      </w:r>
      <w:r w:rsidRPr="00D0026A">
        <w:t>Urban Immunization Strategy. Draft 3 February 2017</w:t>
      </w:r>
    </w:p>
  </w:footnote>
  <w:footnote w:id="35">
    <w:p w14:paraId="50EF4A34" w14:textId="77777777" w:rsidR="00A321DD" w:rsidRPr="00D0026A" w:rsidRDefault="00A321DD" w:rsidP="009768EF">
      <w:pPr>
        <w:pStyle w:val="FootnoteText"/>
      </w:pPr>
      <w:r w:rsidRPr="00D0026A">
        <w:rPr>
          <w:rStyle w:val="FootnoteReference"/>
        </w:rPr>
        <w:footnoteRef/>
      </w:r>
      <w:r w:rsidRPr="00D0026A">
        <w:t xml:space="preserve"> </w:t>
      </w:r>
      <w:r>
        <w:tab/>
      </w:r>
      <w:r w:rsidRPr="00D0026A">
        <w:t>Social and Behavioral Change</w:t>
      </w:r>
    </w:p>
  </w:footnote>
  <w:footnote w:id="36">
    <w:p w14:paraId="1FE7D657" w14:textId="77777777" w:rsidR="00A321DD" w:rsidRPr="00BE5641" w:rsidRDefault="00A321DD" w:rsidP="005C648C">
      <w:pPr>
        <w:pStyle w:val="FootnoteText"/>
      </w:pPr>
      <w:r>
        <w:rPr>
          <w:rStyle w:val="FootnoteReference"/>
        </w:rPr>
        <w:footnoteRef/>
      </w:r>
      <w:r>
        <w:t xml:space="preserve"> </w:t>
      </w:r>
      <w:r>
        <w:tab/>
        <w:t>From 2017 called SIMOs – Surveillance and Immunization Medical Officers</w:t>
      </w:r>
    </w:p>
  </w:footnote>
  <w:footnote w:id="37">
    <w:p w14:paraId="1C169130" w14:textId="77777777" w:rsidR="00A321DD" w:rsidRPr="0017234B" w:rsidRDefault="00A321DD" w:rsidP="005C648C">
      <w:pPr>
        <w:pStyle w:val="FootnoteText"/>
      </w:pPr>
      <w:r>
        <w:rPr>
          <w:rStyle w:val="FootnoteReference"/>
        </w:rPr>
        <w:footnoteRef/>
      </w:r>
      <w:r>
        <w:t xml:space="preserve"> </w:t>
      </w:r>
      <w:r>
        <w:tab/>
        <w:t>Originally called District Immunization Medical Officers or DIMOs</w:t>
      </w:r>
    </w:p>
  </w:footnote>
  <w:footnote w:id="38">
    <w:p w14:paraId="5689CBF3" w14:textId="77777777" w:rsidR="00A321DD" w:rsidRDefault="00A321DD" w:rsidP="00851134">
      <w:pPr>
        <w:pStyle w:val="FootnoteText"/>
      </w:pPr>
      <w:r>
        <w:rPr>
          <w:rStyle w:val="FootnoteReference"/>
        </w:rPr>
        <w:footnoteRef/>
      </w:r>
      <w:r>
        <w:t xml:space="preserve"> </w:t>
      </w:r>
      <w:r>
        <w:tab/>
        <w:t>Coverage Evaluation Surveys are provided through external financial support provided by the Implementing Partners</w:t>
      </w:r>
    </w:p>
  </w:footnote>
  <w:footnote w:id="39">
    <w:p w14:paraId="4D97B2B0" w14:textId="77777777" w:rsidR="00A321DD" w:rsidRPr="002A33DB" w:rsidRDefault="00A321DD" w:rsidP="00266FE1">
      <w:pPr>
        <w:pStyle w:val="FootnoteText"/>
        <w:rPr>
          <w:rFonts w:ascii="Arial" w:hAnsi="Arial"/>
          <w:sz w:val="16"/>
        </w:rPr>
      </w:pPr>
      <w:r w:rsidRPr="002A33DB">
        <w:rPr>
          <w:rStyle w:val="FootnoteReference"/>
          <w:rFonts w:ascii="Arial" w:hAnsi="Arial"/>
          <w:sz w:val="16"/>
        </w:rPr>
        <w:footnoteRef/>
      </w:r>
      <w:r w:rsidRPr="002A33DB">
        <w:rPr>
          <w:rFonts w:ascii="Arial" w:hAnsi="Arial"/>
          <w:sz w:val="16"/>
        </w:rPr>
        <w:t xml:space="preserve"> Formerly known as SMOs – surveillance medical officers. Changed in January 2017</w:t>
      </w:r>
    </w:p>
  </w:footnote>
  <w:footnote w:id="40">
    <w:p w14:paraId="166210BF" w14:textId="77777777" w:rsidR="00A321DD" w:rsidRPr="00685336" w:rsidRDefault="00A321DD" w:rsidP="00227FD8">
      <w:pPr>
        <w:pStyle w:val="FootnoteText"/>
        <w:rPr>
          <w:rFonts w:ascii="Arial" w:hAnsi="Arial"/>
          <w:sz w:val="16"/>
        </w:rPr>
      </w:pPr>
      <w:r w:rsidRPr="00685336">
        <w:rPr>
          <w:rStyle w:val="FootnoteReference"/>
          <w:rFonts w:ascii="Arial" w:hAnsi="Arial"/>
          <w:sz w:val="16"/>
        </w:rPr>
        <w:footnoteRef/>
      </w:r>
      <w:r w:rsidRPr="00685336">
        <w:rPr>
          <w:rFonts w:ascii="Arial" w:hAnsi="Arial"/>
          <w:sz w:val="16"/>
        </w:rPr>
        <w:t xml:space="preserve"> Report on Bangladesh Sample Vital Statistics 2020, Statistics and Informatics Division (SID) of Ministry of Planning, Bangladesh Bureau of Statistics (BBS)</w:t>
      </w:r>
    </w:p>
  </w:footnote>
  <w:footnote w:id="41">
    <w:p w14:paraId="67722949" w14:textId="77777777" w:rsidR="00A321DD" w:rsidRPr="00BE5641" w:rsidRDefault="00A321DD" w:rsidP="00C30BDE">
      <w:pPr>
        <w:pStyle w:val="FootnoteText"/>
      </w:pPr>
      <w:r>
        <w:rPr>
          <w:rStyle w:val="FootnoteReference"/>
        </w:rPr>
        <w:footnoteRef/>
      </w:r>
      <w:r>
        <w:t xml:space="preserve"> From 2017 called SIMOs – Surveillance and Immunization Medical Officers</w:t>
      </w:r>
    </w:p>
  </w:footnote>
  <w:footnote w:id="42">
    <w:p w14:paraId="21A6C743" w14:textId="77777777" w:rsidR="00A321DD" w:rsidRPr="0017234B" w:rsidRDefault="00A321DD" w:rsidP="00C30BDE">
      <w:pPr>
        <w:pStyle w:val="FootnoteText"/>
      </w:pPr>
      <w:r>
        <w:rPr>
          <w:rStyle w:val="FootnoteReference"/>
        </w:rPr>
        <w:footnoteRef/>
      </w:r>
      <w:r>
        <w:t xml:space="preserve"> Originally called District Immunization Medical Officers or DIMOs</w:t>
      </w:r>
    </w:p>
  </w:footnote>
  <w:footnote w:id="43">
    <w:p w14:paraId="163724D7" w14:textId="77777777" w:rsidR="00A321DD" w:rsidRPr="00235F6C" w:rsidRDefault="00A321DD" w:rsidP="00C30BDE">
      <w:pPr>
        <w:pStyle w:val="FootnoteText"/>
      </w:pPr>
      <w:r>
        <w:rPr>
          <w:rStyle w:val="FootnoteReference"/>
        </w:rPr>
        <w:footnoteRef/>
      </w:r>
      <w:r>
        <w:t xml:space="preserve"> Strategic Plan for Measles, Rubella and CRS elimination</w:t>
      </w:r>
    </w:p>
  </w:footnote>
  <w:footnote w:id="44">
    <w:p w14:paraId="5F688525" w14:textId="77777777" w:rsidR="00A321DD" w:rsidRPr="00D0026A" w:rsidRDefault="00A321DD" w:rsidP="00D0026A">
      <w:pPr>
        <w:pStyle w:val="FootnoteText"/>
      </w:pPr>
      <w:r w:rsidRPr="00D0026A">
        <w:rPr>
          <w:rStyle w:val="FootnoteReference"/>
        </w:rPr>
        <w:footnoteRef/>
      </w:r>
      <w:r w:rsidRPr="00D0026A">
        <w:t xml:space="preserve"> </w:t>
      </w:r>
      <w:r>
        <w:tab/>
      </w:r>
      <w:r w:rsidRPr="00D0026A">
        <w:t>In those municipalities which have MMO</w:t>
      </w:r>
    </w:p>
  </w:footnote>
  <w:footnote w:id="45">
    <w:p w14:paraId="05835034" w14:textId="61BFBEA6" w:rsidR="00A321DD" w:rsidRDefault="00A321DD">
      <w:pPr>
        <w:pStyle w:val="FootnoteText"/>
      </w:pPr>
      <w:r>
        <w:rPr>
          <w:rStyle w:val="FootnoteReference"/>
        </w:rPr>
        <w:footnoteRef/>
      </w:r>
      <w:r>
        <w:t xml:space="preserve"> The Root Cause Analysis Diagram is presented in </w:t>
      </w:r>
      <w:r>
        <w:fldChar w:fldCharType="begin"/>
      </w:r>
      <w:r>
        <w:instrText xml:space="preserve"> REF _Ref104114503 \h </w:instrText>
      </w:r>
      <w:r>
        <w:fldChar w:fldCharType="separate"/>
      </w:r>
      <w:r>
        <w:t xml:space="preserve">Figure </w:t>
      </w:r>
      <w:r>
        <w:rPr>
          <w:noProof/>
        </w:rPr>
        <w:t>44</w:t>
      </w:r>
      <w:r>
        <w:fldChar w:fldCharType="end"/>
      </w:r>
      <w:r>
        <w:t xml:space="preserve">, </w:t>
      </w:r>
      <w:r>
        <w:fldChar w:fldCharType="begin"/>
      </w:r>
      <w:r>
        <w:instrText xml:space="preserve"> REF _Ref104114506 \h </w:instrText>
      </w:r>
      <w:r>
        <w:fldChar w:fldCharType="separate"/>
      </w:r>
      <w:r>
        <w:t xml:space="preserve">Figure </w:t>
      </w:r>
      <w:r>
        <w:rPr>
          <w:noProof/>
        </w:rPr>
        <w:t>45</w:t>
      </w:r>
      <w:r>
        <w:fldChar w:fldCharType="end"/>
      </w:r>
      <w:r>
        <w:t xml:space="preserve"> and </w:t>
      </w:r>
      <w:r>
        <w:fldChar w:fldCharType="begin"/>
      </w:r>
      <w:r>
        <w:instrText xml:space="preserve"> REF _Ref104114508 \h </w:instrText>
      </w:r>
      <w:r>
        <w:fldChar w:fldCharType="separate"/>
      </w:r>
      <w:r>
        <w:t xml:space="preserve">Figure </w:t>
      </w:r>
      <w:r>
        <w:rPr>
          <w:noProof/>
        </w:rPr>
        <w:t>46</w:t>
      </w:r>
      <w:r>
        <w:fldChar w:fldCharType="end"/>
      </w:r>
      <w:r>
        <w:t xml:space="preserve"> in the Annexes section of the document</w:t>
      </w:r>
    </w:p>
  </w:footnote>
  <w:footnote w:id="46">
    <w:p w14:paraId="7552C17B" w14:textId="77777777" w:rsidR="00A321DD" w:rsidRPr="00D0026A" w:rsidRDefault="00A321DD" w:rsidP="00B85ED7">
      <w:pPr>
        <w:pStyle w:val="FootnoteText"/>
      </w:pPr>
      <w:r w:rsidRPr="00D0026A">
        <w:rPr>
          <w:rStyle w:val="FootnoteReference"/>
        </w:rPr>
        <w:footnoteRef/>
      </w:r>
      <w:r w:rsidRPr="00D0026A">
        <w:t xml:space="preserve"> </w:t>
      </w:r>
      <w:r>
        <w:tab/>
      </w:r>
      <w:r w:rsidRPr="00D0026A">
        <w:t>Measles Outbreak, 2017</w:t>
      </w:r>
      <w:r>
        <w:t>, 2018, 2022</w:t>
      </w:r>
    </w:p>
  </w:footnote>
  <w:footnote w:id="47">
    <w:p w14:paraId="02D58C0A" w14:textId="77777777" w:rsidR="00A321DD" w:rsidRPr="00D0026A" w:rsidRDefault="00A321DD" w:rsidP="00B85ED7">
      <w:pPr>
        <w:pStyle w:val="FootnoteText"/>
      </w:pPr>
      <w:r w:rsidRPr="00D0026A">
        <w:rPr>
          <w:rStyle w:val="FootnoteReference"/>
        </w:rPr>
        <w:footnoteRef/>
      </w:r>
      <w:r w:rsidRPr="00D0026A">
        <w:t xml:space="preserve"> </w:t>
      </w:r>
      <w:r>
        <w:tab/>
      </w:r>
      <w:r w:rsidRPr="00D0026A">
        <w:t>Measles Outbreak, 2017</w:t>
      </w:r>
      <w:r>
        <w:t>, 2022</w:t>
      </w:r>
    </w:p>
  </w:footnote>
  <w:footnote w:id="48">
    <w:p w14:paraId="4D676385" w14:textId="77777777" w:rsidR="00A321DD" w:rsidRPr="00D0026A" w:rsidRDefault="00A321DD" w:rsidP="0029435D">
      <w:pPr>
        <w:pStyle w:val="FootnoteText"/>
      </w:pPr>
      <w:r w:rsidRPr="00D0026A">
        <w:rPr>
          <w:rStyle w:val="FootnoteReference"/>
        </w:rPr>
        <w:footnoteRef/>
      </w:r>
      <w:r w:rsidRPr="00D0026A">
        <w:t xml:space="preserve"> </w:t>
      </w:r>
      <w:r w:rsidRPr="00D0026A">
        <w:tab/>
        <w:t xml:space="preserve">Green color denotes that the intervention is deemed the most effective for the effectiveness of the </w:t>
      </w:r>
      <w:r>
        <w:t>Specific S</w:t>
      </w:r>
      <w:r w:rsidRPr="00D0026A">
        <w:t xml:space="preserve">trategy for </w:t>
      </w:r>
      <w:r>
        <w:t xml:space="preserve">a particular </w:t>
      </w:r>
      <w:r w:rsidRPr="00D0026A">
        <w:t>hard-to-reach group. Orange/brown color corresponds to medium importance of the intervention, and yellow – to relatively low importance.</w:t>
      </w:r>
    </w:p>
  </w:footnote>
  <w:footnote w:id="49">
    <w:p w14:paraId="1D87737A" w14:textId="77777777" w:rsidR="00A321DD" w:rsidRPr="00B63DA5" w:rsidRDefault="00A321DD" w:rsidP="00E53D03">
      <w:pPr>
        <w:pStyle w:val="FootnoteText"/>
        <w:rPr>
          <w:rFonts w:ascii="Calibri" w:hAnsi="Calibri"/>
          <w:sz w:val="16"/>
        </w:rPr>
      </w:pPr>
      <w:r w:rsidRPr="00B63DA5">
        <w:rPr>
          <w:rStyle w:val="FootnoteReference"/>
          <w:rFonts w:ascii="Calibri" w:hAnsi="Calibri"/>
          <w:sz w:val="16"/>
        </w:rPr>
        <w:footnoteRef/>
      </w:r>
      <w:r w:rsidRPr="00B63DA5">
        <w:rPr>
          <w:rFonts w:ascii="Calibri" w:hAnsi="Calibri"/>
          <w:sz w:val="16"/>
        </w:rPr>
        <w:t xml:space="preserve"> Basic program details are presented in Baseline Scenario description in the section</w:t>
      </w:r>
      <w:r w:rsidRPr="00B63DA5">
        <w:rPr>
          <w:rFonts w:ascii="Calibri" w:hAnsi="Calibri"/>
          <w:i/>
          <w:sz w:val="16"/>
        </w:rPr>
        <w:t xml:space="preserve"> 1.3.3 Description of scenarios for introduction of new vaccines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5223" w14:textId="1593FB5A" w:rsidR="00A321DD" w:rsidRDefault="00A321DD" w:rsidP="00232DB9">
    <w:pPr>
      <w:pStyle w:val="Header"/>
      <w:pBdr>
        <w:bottom w:val="single" w:sz="4" w:space="1" w:color="5B9BD5" w:themeColor="accent1"/>
      </w:pBdr>
    </w:pPr>
    <w:r>
      <w:rPr>
        <w:noProof/>
      </w:rPr>
      <w:fldChar w:fldCharType="begin"/>
    </w:r>
    <w:r>
      <w:rPr>
        <w:noProof/>
      </w:rPr>
      <w:instrText xml:space="preserve"> STYLEREF  Title  \* MERGEFORMAT </w:instrText>
    </w:r>
    <w:r>
      <w:rPr>
        <w:noProof/>
      </w:rPr>
      <w:fldChar w:fldCharType="separate"/>
    </w:r>
    <w:r w:rsidR="00D557ED">
      <w:rPr>
        <w:noProof/>
      </w:rPr>
      <w:t>National Immunization Strategy (NIS) 2023-2027</w:t>
    </w:r>
    <w:r>
      <w:rPr>
        <w:noProof/>
      </w:rPr>
      <w:fldChar w:fldCharType="end"/>
    </w:r>
    <w:r>
      <w:t xml:space="preserve"> </w:t>
    </w:r>
    <w:r>
      <w:rPr>
        <w:noProof/>
      </w:rPr>
      <w:fldChar w:fldCharType="begin"/>
    </w:r>
    <w:r>
      <w:rPr>
        <w:noProof/>
      </w:rPr>
      <w:instrText xml:space="preserve"> STYLEREF  Subtitle  \* MERGEFORMAT </w:instrText>
    </w:r>
    <w:r>
      <w:rPr>
        <w:noProof/>
      </w:rPr>
      <w:fldChar w:fldCharType="separate"/>
    </w:r>
    <w:r w:rsidR="00D557ED">
      <w:rPr>
        <w:noProof/>
      </w:rPr>
      <w:t>for Expanded Program on Immunization (EPI) of Bangladesh</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7BD2" w14:textId="47369441" w:rsidR="00A321DD" w:rsidRDefault="00A321DD" w:rsidP="00232DB9">
    <w:pPr>
      <w:pStyle w:val="Header"/>
      <w:pBdr>
        <w:bottom w:val="single" w:sz="4" w:space="1" w:color="5B9BD5" w:themeColor="accent1"/>
      </w:pBdr>
    </w:pPr>
    <w:r>
      <w:rPr>
        <w:noProof/>
      </w:rPr>
      <w:fldChar w:fldCharType="begin"/>
    </w:r>
    <w:r>
      <w:rPr>
        <w:noProof/>
      </w:rPr>
      <w:instrText xml:space="preserve"> STYLEREF  Title  \* MERGEFORMAT </w:instrText>
    </w:r>
    <w:r>
      <w:rPr>
        <w:noProof/>
      </w:rPr>
      <w:fldChar w:fldCharType="separate"/>
    </w:r>
    <w:r>
      <w:rPr>
        <w:noProof/>
      </w:rPr>
      <w:t>National Immunization Strategy (NIS) 2023-2027</w:t>
    </w:r>
    <w:r>
      <w:rPr>
        <w:noProof/>
      </w:rPr>
      <w:fldChar w:fldCharType="end"/>
    </w:r>
    <w:r>
      <w:t xml:space="preserve"> </w:t>
    </w:r>
    <w:r>
      <w:rPr>
        <w:noProof/>
      </w:rPr>
      <w:fldChar w:fldCharType="begin"/>
    </w:r>
    <w:r>
      <w:rPr>
        <w:noProof/>
      </w:rPr>
      <w:instrText xml:space="preserve"> STYLEREF  Subtitle  \* MERGEFORMAT </w:instrText>
    </w:r>
    <w:r>
      <w:rPr>
        <w:noProof/>
      </w:rPr>
      <w:fldChar w:fldCharType="separate"/>
    </w:r>
    <w:r>
      <w:rPr>
        <w:noProof/>
      </w:rPr>
      <w:t>for National Immunization Program of Bangladesh</w:t>
    </w:r>
    <w:r>
      <w:rPr>
        <w:noProof/>
      </w:rPr>
      <w:fldChar w:fldCharType="end"/>
    </w:r>
  </w:p>
  <w:p w14:paraId="32A70686" w14:textId="6FC3ECD3" w:rsidR="00A321DD" w:rsidRDefault="00A321DD" w:rsidP="00232DB9">
    <w:pPr>
      <w:pStyle w:val="Header"/>
      <w:pBdr>
        <w:bottom w:val="single" w:sz="4" w:space="1" w:color="5B9BD5" w:themeColor="accent1"/>
      </w:pBdr>
    </w:pPr>
    <w:r w:rsidRPr="00232DB9">
      <w:rPr>
        <w:b/>
      </w:rPr>
      <w:fldChar w:fldCharType="begin"/>
    </w:r>
    <w:r w:rsidRPr="00232DB9">
      <w:rPr>
        <w:b/>
      </w:rPr>
      <w:instrText xml:space="preserve"> STYLEREF  "Heading 1"  \* MERGEFORMAT </w:instrText>
    </w:r>
    <w:r w:rsidRPr="00232DB9">
      <w:rPr>
        <w:b/>
      </w:rPr>
      <w:fldChar w:fldCharType="separate"/>
    </w:r>
    <w:r>
      <w:rPr>
        <w:b/>
        <w:noProof/>
      </w:rPr>
      <w:t>Executive Summary (Dashboard)</w:t>
    </w:r>
    <w:r w:rsidRPr="00232DB9">
      <w:rPr>
        <w:b/>
      </w:rPr>
      <w:fldChar w:fldCharType="end"/>
    </w:r>
  </w:p>
  <w:p w14:paraId="4CB21759" w14:textId="77777777" w:rsidR="00A321DD" w:rsidRPr="00232DB9" w:rsidRDefault="00A321DD" w:rsidP="00232DB9">
    <w:pPr>
      <w:pStyle w:val="Head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97D8" w14:textId="3A104279" w:rsidR="00A321DD" w:rsidRDefault="00A321DD" w:rsidP="00BE394F">
    <w:pPr>
      <w:pStyle w:val="Header"/>
      <w:pBdr>
        <w:bottom w:val="single" w:sz="4" w:space="1" w:color="5B9BD5" w:themeColor="accent1"/>
      </w:pBdr>
    </w:pPr>
    <w:r>
      <w:rPr>
        <w:noProof/>
      </w:rPr>
      <w:fldChar w:fldCharType="begin"/>
    </w:r>
    <w:r>
      <w:rPr>
        <w:noProof/>
      </w:rPr>
      <w:instrText xml:space="preserve"> STYLEREF  Title  \* MERGEFORMAT </w:instrText>
    </w:r>
    <w:r>
      <w:rPr>
        <w:noProof/>
      </w:rPr>
      <w:fldChar w:fldCharType="separate"/>
    </w:r>
    <w:r w:rsidR="00D557ED">
      <w:rPr>
        <w:noProof/>
      </w:rPr>
      <w:t>National Immunization Strategy (NIS) 2023-2027</w:t>
    </w:r>
    <w:r>
      <w:rPr>
        <w:noProof/>
      </w:rPr>
      <w:fldChar w:fldCharType="end"/>
    </w:r>
    <w:r>
      <w:t xml:space="preserve"> </w:t>
    </w:r>
    <w:r>
      <w:rPr>
        <w:noProof/>
      </w:rPr>
      <w:fldChar w:fldCharType="begin"/>
    </w:r>
    <w:r>
      <w:rPr>
        <w:noProof/>
      </w:rPr>
      <w:instrText xml:space="preserve"> STYLEREF  Subtitle  \* MERGEFORMAT </w:instrText>
    </w:r>
    <w:r>
      <w:rPr>
        <w:noProof/>
      </w:rPr>
      <w:fldChar w:fldCharType="separate"/>
    </w:r>
    <w:r w:rsidR="00D557ED">
      <w:rPr>
        <w:noProof/>
      </w:rPr>
      <w:t>for Expanded Program on Immunization (EPI) of Bangladesh</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B1AD" w14:textId="22F4E301" w:rsidR="00A321DD" w:rsidRPr="00CD5C44" w:rsidRDefault="00A321DD" w:rsidP="00232DB9">
    <w:pPr>
      <w:pStyle w:val="Header"/>
      <w:pBdr>
        <w:bottom w:val="single" w:sz="4" w:space="1" w:color="5B9BD5" w:themeColor="accent1"/>
      </w:pBdr>
    </w:pPr>
    <w:r>
      <w:rPr>
        <w:noProof/>
      </w:rPr>
      <w:fldChar w:fldCharType="begin"/>
    </w:r>
    <w:r>
      <w:rPr>
        <w:noProof/>
      </w:rPr>
      <w:instrText xml:space="preserve"> STYLEREF  Subtitle  \* MERGEFORMAT </w:instrText>
    </w:r>
    <w:r>
      <w:rPr>
        <w:noProof/>
      </w:rPr>
      <w:fldChar w:fldCharType="separate"/>
    </w:r>
    <w:r w:rsidR="00D557ED">
      <w:rPr>
        <w:noProof/>
      </w:rPr>
      <w:t>for Expanded Program on Immunization (EPI) of Bangladesh</w:t>
    </w:r>
    <w:r>
      <w:rPr>
        <w:noProof/>
      </w:rPr>
      <w:fldChar w:fldCharType="end"/>
    </w:r>
    <w:r>
      <w:t xml:space="preserve">: </w:t>
    </w:r>
    <w:r>
      <w:rPr>
        <w:noProof/>
      </w:rPr>
      <w:fldChar w:fldCharType="begin"/>
    </w:r>
    <w:r>
      <w:rPr>
        <w:noProof/>
      </w:rPr>
      <w:instrText xml:space="preserve"> STYLEREF  Title  \* MERGEFORMAT </w:instrText>
    </w:r>
    <w:r>
      <w:rPr>
        <w:noProof/>
      </w:rPr>
      <w:fldChar w:fldCharType="separate"/>
    </w:r>
    <w:r w:rsidR="00D557ED">
      <w:rPr>
        <w:noProof/>
      </w:rPr>
      <w:t>National Immunization Strategy (NIS) 2023-2027</w:t>
    </w:r>
    <w:r>
      <w:rPr>
        <w:noProof/>
      </w:rPr>
      <w:fldChar w:fldCharType="end"/>
    </w:r>
    <w:r>
      <w:rPr>
        <w:b/>
      </w:rPr>
      <w:br/>
    </w:r>
    <w:r w:rsidRPr="00232DB9">
      <w:rPr>
        <w:b/>
      </w:rPr>
      <w:fldChar w:fldCharType="begin"/>
    </w:r>
    <w:r w:rsidRPr="00232DB9">
      <w:rPr>
        <w:b/>
      </w:rPr>
      <w:instrText xml:space="preserve"> STYLEREF  "Heading 1" \n  \* MERGEFORMAT </w:instrText>
    </w:r>
    <w:r w:rsidRPr="00232DB9">
      <w:rPr>
        <w:b/>
      </w:rPr>
      <w:fldChar w:fldCharType="separate"/>
    </w:r>
    <w:r w:rsidR="00D557ED">
      <w:rPr>
        <w:b/>
        <w:noProof/>
      </w:rPr>
      <w:t>2</w:t>
    </w:r>
    <w:r w:rsidRPr="00232DB9">
      <w:rPr>
        <w:b/>
      </w:rPr>
      <w:fldChar w:fldCharType="end"/>
    </w:r>
    <w:r>
      <w:rPr>
        <w:b/>
      </w:rPr>
      <w:t>.</w:t>
    </w:r>
    <w:r w:rsidRPr="00232DB9">
      <w:rPr>
        <w:b/>
      </w:rPr>
      <w:t xml:space="preserve"> </w:t>
    </w:r>
    <w:r w:rsidRPr="00232DB9">
      <w:rPr>
        <w:b/>
      </w:rPr>
      <w:fldChar w:fldCharType="begin"/>
    </w:r>
    <w:r w:rsidRPr="00232DB9">
      <w:rPr>
        <w:b/>
      </w:rPr>
      <w:instrText xml:space="preserve"> STYLEREF  "Heading 1"  \* MERGEFORMAT </w:instrText>
    </w:r>
    <w:r w:rsidRPr="00232DB9">
      <w:rPr>
        <w:b/>
      </w:rPr>
      <w:fldChar w:fldCharType="separate"/>
    </w:r>
    <w:r w:rsidR="00D557ED">
      <w:rPr>
        <w:b/>
        <w:noProof/>
      </w:rPr>
      <w:t>Situation analysis</w:t>
    </w:r>
    <w:r w:rsidRPr="00232DB9">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4F31" w14:textId="66B99008" w:rsidR="00A321DD" w:rsidRPr="00CD5C44" w:rsidRDefault="00A321DD" w:rsidP="00232DB9">
    <w:pPr>
      <w:pStyle w:val="Header"/>
      <w:pBdr>
        <w:bottom w:val="single" w:sz="4" w:space="1" w:color="5B9BD5" w:themeColor="accent1"/>
      </w:pBdr>
    </w:pPr>
    <w:r>
      <w:rPr>
        <w:noProof/>
      </w:rPr>
      <w:fldChar w:fldCharType="begin"/>
    </w:r>
    <w:r>
      <w:rPr>
        <w:noProof/>
      </w:rPr>
      <w:instrText xml:space="preserve"> STYLEREF  Subtitle  \* MERGEFORMAT </w:instrText>
    </w:r>
    <w:r>
      <w:rPr>
        <w:noProof/>
      </w:rPr>
      <w:fldChar w:fldCharType="separate"/>
    </w:r>
    <w:r w:rsidR="00D557ED">
      <w:rPr>
        <w:noProof/>
      </w:rPr>
      <w:t>for Expanded Program on Immunization (EPI) of Bangladesh</w:t>
    </w:r>
    <w:r>
      <w:rPr>
        <w:noProof/>
      </w:rPr>
      <w:fldChar w:fldCharType="end"/>
    </w:r>
    <w:r>
      <w:t xml:space="preserve">: </w:t>
    </w:r>
    <w:r>
      <w:rPr>
        <w:noProof/>
      </w:rPr>
      <w:fldChar w:fldCharType="begin"/>
    </w:r>
    <w:r>
      <w:rPr>
        <w:noProof/>
      </w:rPr>
      <w:instrText xml:space="preserve"> STYLEREF  Title  \* MERGEFORMAT </w:instrText>
    </w:r>
    <w:r>
      <w:rPr>
        <w:noProof/>
      </w:rPr>
      <w:fldChar w:fldCharType="separate"/>
    </w:r>
    <w:r w:rsidR="00D557ED">
      <w:rPr>
        <w:noProof/>
      </w:rPr>
      <w:t>National Immunization Strategy (NIS) 2023-2027</w:t>
    </w:r>
    <w:r>
      <w:rPr>
        <w:noProof/>
      </w:rPr>
      <w:fldChar w:fldCharType="end"/>
    </w:r>
    <w:r>
      <w:rPr>
        <w:b/>
      </w:rPr>
      <w:br/>
    </w:r>
    <w:r w:rsidRPr="00232DB9">
      <w:rPr>
        <w:b/>
      </w:rPr>
      <w:fldChar w:fldCharType="begin"/>
    </w:r>
    <w:r w:rsidRPr="00232DB9">
      <w:rPr>
        <w:b/>
      </w:rPr>
      <w:instrText xml:space="preserve"> STYLEREF  "Heading 1" \n  \* MERGEFORMAT </w:instrText>
    </w:r>
    <w:r w:rsidRPr="00232DB9">
      <w:rPr>
        <w:b/>
      </w:rPr>
      <w:fldChar w:fldCharType="separate"/>
    </w:r>
    <w:r w:rsidR="00D557ED">
      <w:rPr>
        <w:b/>
        <w:noProof/>
      </w:rPr>
      <w:t>5</w:t>
    </w:r>
    <w:r w:rsidRPr="00232DB9">
      <w:rPr>
        <w:b/>
      </w:rPr>
      <w:fldChar w:fldCharType="end"/>
    </w:r>
    <w:r>
      <w:rPr>
        <w:b/>
      </w:rPr>
      <w:t>.</w:t>
    </w:r>
    <w:r w:rsidRPr="00232DB9">
      <w:rPr>
        <w:b/>
      </w:rPr>
      <w:t xml:space="preserve"> </w:t>
    </w:r>
    <w:r w:rsidRPr="00232DB9">
      <w:rPr>
        <w:b/>
      </w:rPr>
      <w:fldChar w:fldCharType="begin"/>
    </w:r>
    <w:r w:rsidRPr="00232DB9">
      <w:rPr>
        <w:b/>
      </w:rPr>
      <w:instrText xml:space="preserve"> STYLEREF  "Heading 1"  \* MERGEFORMAT </w:instrText>
    </w:r>
    <w:r w:rsidRPr="00232DB9">
      <w:rPr>
        <w:b/>
      </w:rPr>
      <w:fldChar w:fldCharType="separate"/>
    </w:r>
    <w:r w:rsidR="00D557ED">
      <w:rPr>
        <w:b/>
        <w:noProof/>
      </w:rPr>
      <w:t>Annexes</w:t>
    </w:r>
    <w:r w:rsidRPr="00232DB9">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1200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C24D5"/>
    <w:multiLevelType w:val="multilevel"/>
    <w:tmpl w:val="71184532"/>
    <w:styleLink w:val="myBulletMultilevel"/>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4" w:hanging="357"/>
      </w:pPr>
      <w:rPr>
        <w:rFonts w:ascii="Wingdings" w:hAnsi="Wingdings" w:hint="default"/>
        <w:color w:val="0070C0"/>
      </w:rPr>
    </w:lvl>
    <w:lvl w:ilvl="2">
      <w:start w:val="1"/>
      <w:numFmt w:val="bullet"/>
      <w:lvlText w:val="o"/>
      <w:lvlJc w:val="left"/>
      <w:pPr>
        <w:ind w:left="1071" w:hanging="357"/>
      </w:pPr>
      <w:rPr>
        <w:rFonts w:ascii="Courier New" w:hAnsi="Courier New" w:hint="default"/>
        <w:color w:val="auto"/>
      </w:rPr>
    </w:lvl>
    <w:lvl w:ilvl="3">
      <w:start w:val="1"/>
      <w:numFmt w:val="bullet"/>
      <w:lvlText w:val=""/>
      <w:lvlJc w:val="left"/>
      <w:pPr>
        <w:ind w:left="1428" w:hanging="357"/>
      </w:pPr>
      <w:rPr>
        <w:rFonts w:ascii="Symbol" w:hAnsi="Symbol" w:hint="default"/>
        <w:color w:val="auto"/>
      </w:rPr>
    </w:lvl>
    <w:lvl w:ilvl="4">
      <w:start w:val="1"/>
      <w:numFmt w:val="bullet"/>
      <w:lvlText w:val=""/>
      <w:lvlJc w:val="left"/>
      <w:pPr>
        <w:ind w:left="1785" w:hanging="357"/>
      </w:pPr>
      <w:rPr>
        <w:rFonts w:ascii="Wingdings" w:hAnsi="Wingdings" w:hint="default"/>
        <w:color w:val="auto"/>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15:restartNumberingAfterBreak="0">
    <w:nsid w:val="04474343"/>
    <w:multiLevelType w:val="multilevel"/>
    <w:tmpl w:val="9CD8A3BE"/>
    <w:styleLink w:val="MyProblemTree"/>
    <w:lvl w:ilvl="0">
      <w:start w:val="1"/>
      <w:numFmt w:val="upperLetter"/>
      <w:lvlText w:val="Block %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bullet"/>
      <w:lvlText w:val=""/>
      <w:lvlJc w:val="left"/>
      <w:pPr>
        <w:ind w:left="567" w:hanging="567"/>
      </w:pPr>
      <w:rPr>
        <w:rFonts w:ascii="Symbol" w:hAnsi="Symbol" w:hint="default"/>
        <w:color w:val="auto"/>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 w15:restartNumberingAfterBreak="0">
    <w:nsid w:val="0AAE5A84"/>
    <w:multiLevelType w:val="multilevel"/>
    <w:tmpl w:val="71184532"/>
    <w:numStyleLink w:val="myBulletMultilevel"/>
  </w:abstractNum>
  <w:abstractNum w:abstractNumId="4" w15:restartNumberingAfterBreak="0">
    <w:nsid w:val="0AC96774"/>
    <w:multiLevelType w:val="multilevel"/>
    <w:tmpl w:val="27509FE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 w15:restartNumberingAfterBreak="0">
    <w:nsid w:val="0BEE6C6D"/>
    <w:multiLevelType w:val="multilevel"/>
    <w:tmpl w:val="71184532"/>
    <w:numStyleLink w:val="myBulletMultilevel"/>
  </w:abstractNum>
  <w:abstractNum w:abstractNumId="6" w15:restartNumberingAfterBreak="0">
    <w:nsid w:val="0F655B5F"/>
    <w:multiLevelType w:val="multilevel"/>
    <w:tmpl w:val="3C04E2CE"/>
    <w:styleLink w:val="myNumberBulletsMultilevel"/>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u w:color="0070C0"/>
      </w:rPr>
    </w:lvl>
    <w:lvl w:ilvl="2">
      <w:start w:val="1"/>
      <w:numFmt w:val="bullet"/>
      <w:lvlText w:val=""/>
      <w:lvlJc w:val="left"/>
      <w:pPr>
        <w:ind w:left="1080" w:hanging="360"/>
      </w:pPr>
      <w:rPr>
        <w:rFonts w:ascii="Wingdings" w:hAnsi="Wingdings" w:hint="default"/>
        <w:u w:color="0070C0"/>
      </w:rPr>
    </w:lvl>
    <w:lvl w:ilvl="3">
      <w:start w:val="1"/>
      <w:numFmt w:val="bullet"/>
      <w:lvlText w:val=""/>
      <w:lvlJc w:val="left"/>
      <w:pPr>
        <w:ind w:left="1440" w:hanging="360"/>
      </w:pPr>
      <w:rPr>
        <w:rFonts w:ascii="Symbol" w:hAnsi="Symbol" w:hint="default"/>
        <w:color w:val="auto"/>
        <w:u w:color="C0000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B12107"/>
    <w:multiLevelType w:val="multilevel"/>
    <w:tmpl w:val="F7CACC7A"/>
    <w:styleLink w:val="myFTA"/>
    <w:lvl w:ilvl="0">
      <w:start w:val="1"/>
      <w:numFmt w:val="upperLetter"/>
      <w:lvlText w:val="%1"/>
      <w:lvlJc w:val="left"/>
      <w:pPr>
        <w:ind w:left="284" w:hanging="284"/>
      </w:pPr>
      <w:rPr>
        <w:rFonts w:hint="default"/>
      </w:rPr>
    </w:lvl>
    <w:lvl w:ilvl="1">
      <w:start w:val="1"/>
      <w:numFmt w:val="decimal"/>
      <w:lvlText w:val="%1.%2"/>
      <w:lvlJc w:val="left"/>
      <w:pPr>
        <w:ind w:left="680" w:hanging="396"/>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814" w:hanging="680"/>
      </w:pPr>
      <w:rPr>
        <w:rFonts w:hint="default"/>
      </w:rPr>
    </w:lvl>
    <w:lvl w:ilvl="4">
      <w:start w:val="1"/>
      <w:numFmt w:val="decimal"/>
      <w:lvlText w:val="%1.%2.%3.%4.%5"/>
      <w:lvlJc w:val="left"/>
      <w:pPr>
        <w:ind w:left="2608" w:hanging="79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4B2319B"/>
    <w:multiLevelType w:val="multilevel"/>
    <w:tmpl w:val="7A429C52"/>
    <w:lvl w:ilvl="0">
      <w:start w:val="6"/>
      <w:numFmt w:val="decimal"/>
      <w:lvlText w:val="%1."/>
      <w:lvlJc w:val="left"/>
      <w:pPr>
        <w:ind w:left="360" w:hanging="360"/>
      </w:pPr>
      <w:rPr>
        <w:rFonts w:ascii="Calibri" w:hAnsi="Calibri" w:cs="Calibri" w:hint="default"/>
        <w:color w:val="000000"/>
      </w:rPr>
    </w:lvl>
    <w:lvl w:ilvl="1">
      <w:start w:val="1"/>
      <w:numFmt w:val="decimal"/>
      <w:lvlText w:val="%1.%2."/>
      <w:lvlJc w:val="left"/>
      <w:pPr>
        <w:ind w:left="360" w:hanging="360"/>
      </w:pPr>
      <w:rPr>
        <w:rFonts w:ascii="Calibri" w:hAnsi="Calibri" w:cs="Calibri" w:hint="default"/>
        <w:color w:val="000000"/>
      </w:rPr>
    </w:lvl>
    <w:lvl w:ilvl="2">
      <w:start w:val="1"/>
      <w:numFmt w:val="decimal"/>
      <w:lvlText w:val="%1.%2.%3."/>
      <w:lvlJc w:val="left"/>
      <w:pPr>
        <w:ind w:left="720" w:hanging="720"/>
      </w:pPr>
      <w:rPr>
        <w:rFonts w:ascii="Calibri" w:hAnsi="Calibri" w:cs="Calibri" w:hint="default"/>
        <w:color w:val="000000"/>
      </w:rPr>
    </w:lvl>
    <w:lvl w:ilvl="3">
      <w:start w:val="1"/>
      <w:numFmt w:val="decimal"/>
      <w:lvlText w:val="%1.%2.%3.%4."/>
      <w:lvlJc w:val="left"/>
      <w:pPr>
        <w:ind w:left="720" w:hanging="720"/>
      </w:pPr>
      <w:rPr>
        <w:rFonts w:ascii="Calibri" w:hAnsi="Calibri" w:cs="Calibri" w:hint="default"/>
        <w:color w:val="000000"/>
      </w:rPr>
    </w:lvl>
    <w:lvl w:ilvl="4">
      <w:start w:val="1"/>
      <w:numFmt w:val="decimal"/>
      <w:lvlText w:val="%1.%2.%3.%4.%5."/>
      <w:lvlJc w:val="left"/>
      <w:pPr>
        <w:ind w:left="720" w:hanging="720"/>
      </w:pPr>
      <w:rPr>
        <w:rFonts w:ascii="Calibri" w:hAnsi="Calibri" w:cs="Calibri" w:hint="default"/>
        <w:color w:val="000000"/>
      </w:rPr>
    </w:lvl>
    <w:lvl w:ilvl="5">
      <w:start w:val="1"/>
      <w:numFmt w:val="decimal"/>
      <w:lvlText w:val="%1.%2.%3.%4.%5.%6."/>
      <w:lvlJc w:val="left"/>
      <w:pPr>
        <w:ind w:left="1080" w:hanging="1080"/>
      </w:pPr>
      <w:rPr>
        <w:rFonts w:ascii="Calibri" w:hAnsi="Calibri" w:cs="Calibri" w:hint="default"/>
        <w:color w:val="000000"/>
      </w:rPr>
    </w:lvl>
    <w:lvl w:ilvl="6">
      <w:start w:val="1"/>
      <w:numFmt w:val="decimal"/>
      <w:lvlText w:val="%1.%2.%3.%4.%5.%6.%7."/>
      <w:lvlJc w:val="left"/>
      <w:pPr>
        <w:ind w:left="1080" w:hanging="1080"/>
      </w:pPr>
      <w:rPr>
        <w:rFonts w:ascii="Calibri" w:hAnsi="Calibri" w:cs="Calibri" w:hint="default"/>
        <w:color w:val="000000"/>
      </w:rPr>
    </w:lvl>
    <w:lvl w:ilvl="7">
      <w:start w:val="1"/>
      <w:numFmt w:val="decimal"/>
      <w:lvlText w:val="%1.%2.%3.%4.%5.%6.%7.%8."/>
      <w:lvlJc w:val="left"/>
      <w:pPr>
        <w:ind w:left="1080" w:hanging="1080"/>
      </w:pPr>
      <w:rPr>
        <w:rFonts w:ascii="Calibri" w:hAnsi="Calibri" w:cs="Calibri" w:hint="default"/>
        <w:color w:val="000000"/>
      </w:rPr>
    </w:lvl>
    <w:lvl w:ilvl="8">
      <w:start w:val="1"/>
      <w:numFmt w:val="decimal"/>
      <w:lvlText w:val="%1.%2.%3.%4.%5.%6.%7.%8.%9."/>
      <w:lvlJc w:val="left"/>
      <w:pPr>
        <w:ind w:left="1440" w:hanging="1440"/>
      </w:pPr>
      <w:rPr>
        <w:rFonts w:ascii="Calibri" w:hAnsi="Calibri" w:cs="Calibri" w:hint="default"/>
        <w:color w:val="000000"/>
      </w:rPr>
    </w:lvl>
  </w:abstractNum>
  <w:abstractNum w:abstractNumId="9" w15:restartNumberingAfterBreak="0">
    <w:nsid w:val="1895309F"/>
    <w:multiLevelType w:val="multilevel"/>
    <w:tmpl w:val="EF4CD0CC"/>
    <w:styleLink w:val="myISCLogic"/>
    <w:lvl w:ilvl="0">
      <w:start w:val="1"/>
      <w:numFmt w:val="decimal"/>
      <w:lvlText w:val="ISC Objective %1:"/>
      <w:lvlJc w:val="left"/>
      <w:pPr>
        <w:ind w:left="1418" w:hanging="1418"/>
      </w:pPr>
      <w:rPr>
        <w:rFonts w:hint="default"/>
        <w:b w:val="0"/>
        <w:i w:val="0"/>
      </w:rPr>
    </w:lvl>
    <w:lvl w:ilvl="1">
      <w:start w:val="1"/>
      <w:numFmt w:val="decimal"/>
      <w:lvlText w:val="Strategy %1.%2:"/>
      <w:lvlJc w:val="right"/>
      <w:pPr>
        <w:ind w:left="1418" w:hanging="57"/>
      </w:pPr>
      <w:rPr>
        <w:rFonts w:hint="default"/>
      </w:rPr>
    </w:lvl>
    <w:lvl w:ilvl="2">
      <w:start w:val="1"/>
      <w:numFmt w:val="decimal"/>
      <w:lvlText w:val="Activity %1.%2.%3:"/>
      <w:lvlJc w:val="left"/>
      <w:pPr>
        <w:ind w:left="2835" w:hanging="1417"/>
      </w:pPr>
      <w:rPr>
        <w:rFonts w:hint="default"/>
      </w:rPr>
    </w:lvl>
    <w:lvl w:ilvl="3">
      <w:start w:val="1"/>
      <w:numFmt w:val="decimal"/>
      <w:lvlText w:val="(%4)"/>
      <w:lvlJc w:val="right"/>
      <w:pPr>
        <w:ind w:left="2835" w:firstLine="0"/>
      </w:pPr>
      <w:rPr>
        <w:rFonts w:hint="default"/>
      </w:rPr>
    </w:lvl>
    <w:lvl w:ilvl="4">
      <w:start w:val="1"/>
      <w:numFmt w:val="lowerLetter"/>
      <w:lvlText w:val="(%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10" w15:restartNumberingAfterBreak="0">
    <w:nsid w:val="18E2481F"/>
    <w:multiLevelType w:val="hybridMultilevel"/>
    <w:tmpl w:val="29DA1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F73C13"/>
    <w:multiLevelType w:val="multilevel"/>
    <w:tmpl w:val="560A556E"/>
    <w:numStyleLink w:val="myTOSA"/>
  </w:abstractNum>
  <w:abstractNum w:abstractNumId="12" w15:restartNumberingAfterBreak="0">
    <w:nsid w:val="1AB668B9"/>
    <w:multiLevelType w:val="hybridMultilevel"/>
    <w:tmpl w:val="44ACD4DA"/>
    <w:lvl w:ilvl="0" w:tplc="17FEC984">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51754C"/>
    <w:multiLevelType w:val="multilevel"/>
    <w:tmpl w:val="3F646ACE"/>
    <w:numStyleLink w:val="BGDRFW"/>
  </w:abstractNum>
  <w:abstractNum w:abstractNumId="14" w15:restartNumberingAfterBreak="0">
    <w:nsid w:val="1CC55E79"/>
    <w:multiLevelType w:val="multilevel"/>
    <w:tmpl w:val="9CD8A3BE"/>
    <w:numStyleLink w:val="MyProblemTree"/>
  </w:abstractNum>
  <w:abstractNum w:abstractNumId="15" w15:restartNumberingAfterBreak="0">
    <w:nsid w:val="1E031985"/>
    <w:multiLevelType w:val="multilevel"/>
    <w:tmpl w:val="63E001B8"/>
    <w:numStyleLink w:val="myListFindings"/>
  </w:abstractNum>
  <w:abstractNum w:abstractNumId="16" w15:restartNumberingAfterBreak="0">
    <w:nsid w:val="1F912967"/>
    <w:multiLevelType w:val="multilevel"/>
    <w:tmpl w:val="125A8450"/>
    <w:lvl w:ilvl="0">
      <w:start w:val="5"/>
      <w:numFmt w:val="decimal"/>
      <w:lvlText w:val="%1."/>
      <w:lvlJc w:val="left"/>
      <w:pPr>
        <w:ind w:left="360" w:hanging="360"/>
      </w:pPr>
      <w:rPr>
        <w:rFonts w:ascii="Calibri" w:hAnsi="Calibri" w:cs="Calibri" w:hint="default"/>
        <w:color w:val="000000"/>
      </w:rPr>
    </w:lvl>
    <w:lvl w:ilvl="1">
      <w:start w:val="1"/>
      <w:numFmt w:val="decimal"/>
      <w:lvlText w:val="%1.%2."/>
      <w:lvlJc w:val="left"/>
      <w:pPr>
        <w:ind w:left="360" w:hanging="360"/>
      </w:pPr>
      <w:rPr>
        <w:rFonts w:ascii="Calibri" w:hAnsi="Calibri" w:cs="Calibri" w:hint="default"/>
        <w:color w:val="000000"/>
      </w:rPr>
    </w:lvl>
    <w:lvl w:ilvl="2">
      <w:start w:val="1"/>
      <w:numFmt w:val="decimal"/>
      <w:lvlText w:val="%1.%2.%3."/>
      <w:lvlJc w:val="left"/>
      <w:pPr>
        <w:ind w:left="720" w:hanging="720"/>
      </w:pPr>
      <w:rPr>
        <w:rFonts w:ascii="Calibri" w:hAnsi="Calibri" w:cs="Calibri" w:hint="default"/>
        <w:color w:val="000000"/>
      </w:rPr>
    </w:lvl>
    <w:lvl w:ilvl="3">
      <w:start w:val="1"/>
      <w:numFmt w:val="decimal"/>
      <w:lvlText w:val="%1.%2.%3.%4."/>
      <w:lvlJc w:val="left"/>
      <w:pPr>
        <w:ind w:left="720" w:hanging="720"/>
      </w:pPr>
      <w:rPr>
        <w:rFonts w:ascii="Calibri" w:hAnsi="Calibri" w:cs="Calibri" w:hint="default"/>
        <w:color w:val="000000"/>
      </w:rPr>
    </w:lvl>
    <w:lvl w:ilvl="4">
      <w:start w:val="1"/>
      <w:numFmt w:val="decimal"/>
      <w:lvlText w:val="%1.%2.%3.%4.%5."/>
      <w:lvlJc w:val="left"/>
      <w:pPr>
        <w:ind w:left="720" w:hanging="720"/>
      </w:pPr>
      <w:rPr>
        <w:rFonts w:ascii="Calibri" w:hAnsi="Calibri" w:cs="Calibri" w:hint="default"/>
        <w:color w:val="000000"/>
      </w:rPr>
    </w:lvl>
    <w:lvl w:ilvl="5">
      <w:start w:val="1"/>
      <w:numFmt w:val="decimal"/>
      <w:lvlText w:val="%1.%2.%3.%4.%5.%6."/>
      <w:lvlJc w:val="left"/>
      <w:pPr>
        <w:ind w:left="1080" w:hanging="1080"/>
      </w:pPr>
      <w:rPr>
        <w:rFonts w:ascii="Calibri" w:hAnsi="Calibri" w:cs="Calibri" w:hint="default"/>
        <w:color w:val="000000"/>
      </w:rPr>
    </w:lvl>
    <w:lvl w:ilvl="6">
      <w:start w:val="1"/>
      <w:numFmt w:val="decimal"/>
      <w:lvlText w:val="%1.%2.%3.%4.%5.%6.%7."/>
      <w:lvlJc w:val="left"/>
      <w:pPr>
        <w:ind w:left="1080" w:hanging="1080"/>
      </w:pPr>
      <w:rPr>
        <w:rFonts w:ascii="Calibri" w:hAnsi="Calibri" w:cs="Calibri" w:hint="default"/>
        <w:color w:val="000000"/>
      </w:rPr>
    </w:lvl>
    <w:lvl w:ilvl="7">
      <w:start w:val="1"/>
      <w:numFmt w:val="decimal"/>
      <w:lvlText w:val="%1.%2.%3.%4.%5.%6.%7.%8."/>
      <w:lvlJc w:val="left"/>
      <w:pPr>
        <w:ind w:left="1080" w:hanging="1080"/>
      </w:pPr>
      <w:rPr>
        <w:rFonts w:ascii="Calibri" w:hAnsi="Calibri" w:cs="Calibri" w:hint="default"/>
        <w:color w:val="000000"/>
      </w:rPr>
    </w:lvl>
    <w:lvl w:ilvl="8">
      <w:start w:val="1"/>
      <w:numFmt w:val="decimal"/>
      <w:lvlText w:val="%1.%2.%3.%4.%5.%6.%7.%8.%9."/>
      <w:lvlJc w:val="left"/>
      <w:pPr>
        <w:ind w:left="1440" w:hanging="1440"/>
      </w:pPr>
      <w:rPr>
        <w:rFonts w:ascii="Calibri" w:hAnsi="Calibri" w:cs="Calibri" w:hint="default"/>
        <w:color w:val="000000"/>
      </w:rPr>
    </w:lvl>
  </w:abstractNum>
  <w:abstractNum w:abstractNumId="17" w15:restartNumberingAfterBreak="0">
    <w:nsid w:val="209C48D2"/>
    <w:multiLevelType w:val="hybridMultilevel"/>
    <w:tmpl w:val="E12632F8"/>
    <w:lvl w:ilvl="0" w:tplc="0409000F">
      <w:start w:val="1"/>
      <w:numFmt w:val="decimal"/>
      <w:lvlText w:val="%1."/>
      <w:lvlJc w:val="left"/>
      <w:pPr>
        <w:ind w:left="1080" w:hanging="360"/>
      </w:pPr>
      <w:rPr>
        <w:rFonts w:hint="default"/>
      </w:rPr>
    </w:lvl>
    <w:lvl w:ilvl="1" w:tplc="04090017">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DB11FD"/>
    <w:multiLevelType w:val="hybridMultilevel"/>
    <w:tmpl w:val="D6AE5F80"/>
    <w:lvl w:ilvl="0" w:tplc="A57C19EA">
      <w:start w:val="94"/>
      <w:numFmt w:val="bullet"/>
      <w:lvlText w:val="-"/>
      <w:lvlJc w:val="left"/>
      <w:pPr>
        <w:ind w:left="1080" w:hanging="360"/>
      </w:pPr>
      <w:rPr>
        <w:rFonts w:ascii="Calibri" w:eastAsiaTheme="minorHAnsi" w:hAnsi="Calibri" w:cstheme="minorBidi" w:hint="default"/>
      </w:rPr>
    </w:lvl>
    <w:lvl w:ilvl="1" w:tplc="04090017">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5F6A33"/>
    <w:multiLevelType w:val="multilevel"/>
    <w:tmpl w:val="71184532"/>
    <w:numStyleLink w:val="myBulletMultilevel"/>
  </w:abstractNum>
  <w:abstractNum w:abstractNumId="20" w15:restartNumberingAfterBreak="0">
    <w:nsid w:val="2B63318A"/>
    <w:multiLevelType w:val="multilevel"/>
    <w:tmpl w:val="8D1846BC"/>
    <w:lvl w:ilvl="0">
      <w:start w:val="8"/>
      <w:numFmt w:val="decimal"/>
      <w:lvlText w:val="%1."/>
      <w:lvlJc w:val="left"/>
      <w:pPr>
        <w:ind w:left="360" w:hanging="360"/>
      </w:pPr>
      <w:rPr>
        <w:rFonts w:ascii="Calibri" w:hAnsi="Calibri" w:cs="Calibri" w:hint="default"/>
        <w:color w:val="000000"/>
      </w:rPr>
    </w:lvl>
    <w:lvl w:ilvl="1">
      <w:start w:val="1"/>
      <w:numFmt w:val="decimal"/>
      <w:lvlText w:val="%1.%2."/>
      <w:lvlJc w:val="left"/>
      <w:pPr>
        <w:ind w:left="360" w:hanging="360"/>
      </w:pPr>
      <w:rPr>
        <w:rFonts w:ascii="Calibri" w:hAnsi="Calibri" w:cs="Calibri" w:hint="default"/>
        <w:color w:val="000000"/>
      </w:rPr>
    </w:lvl>
    <w:lvl w:ilvl="2">
      <w:start w:val="1"/>
      <w:numFmt w:val="decimal"/>
      <w:lvlText w:val="%1.%2.%3."/>
      <w:lvlJc w:val="left"/>
      <w:pPr>
        <w:ind w:left="720" w:hanging="720"/>
      </w:pPr>
      <w:rPr>
        <w:rFonts w:ascii="Calibri" w:hAnsi="Calibri" w:cs="Calibri" w:hint="default"/>
        <w:color w:val="000000"/>
      </w:rPr>
    </w:lvl>
    <w:lvl w:ilvl="3">
      <w:start w:val="1"/>
      <w:numFmt w:val="decimal"/>
      <w:lvlText w:val="%1.%2.%3.%4."/>
      <w:lvlJc w:val="left"/>
      <w:pPr>
        <w:ind w:left="720" w:hanging="720"/>
      </w:pPr>
      <w:rPr>
        <w:rFonts w:ascii="Calibri" w:hAnsi="Calibri" w:cs="Calibri" w:hint="default"/>
        <w:color w:val="000000"/>
      </w:rPr>
    </w:lvl>
    <w:lvl w:ilvl="4">
      <w:start w:val="1"/>
      <w:numFmt w:val="decimal"/>
      <w:lvlText w:val="%1.%2.%3.%4.%5."/>
      <w:lvlJc w:val="left"/>
      <w:pPr>
        <w:ind w:left="720" w:hanging="720"/>
      </w:pPr>
      <w:rPr>
        <w:rFonts w:ascii="Calibri" w:hAnsi="Calibri" w:cs="Calibri" w:hint="default"/>
        <w:color w:val="000000"/>
      </w:rPr>
    </w:lvl>
    <w:lvl w:ilvl="5">
      <w:start w:val="1"/>
      <w:numFmt w:val="decimal"/>
      <w:lvlText w:val="%1.%2.%3.%4.%5.%6."/>
      <w:lvlJc w:val="left"/>
      <w:pPr>
        <w:ind w:left="1080" w:hanging="1080"/>
      </w:pPr>
      <w:rPr>
        <w:rFonts w:ascii="Calibri" w:hAnsi="Calibri" w:cs="Calibri" w:hint="default"/>
        <w:color w:val="000000"/>
      </w:rPr>
    </w:lvl>
    <w:lvl w:ilvl="6">
      <w:start w:val="1"/>
      <w:numFmt w:val="decimal"/>
      <w:lvlText w:val="%1.%2.%3.%4.%5.%6.%7."/>
      <w:lvlJc w:val="left"/>
      <w:pPr>
        <w:ind w:left="1080" w:hanging="1080"/>
      </w:pPr>
      <w:rPr>
        <w:rFonts w:ascii="Calibri" w:hAnsi="Calibri" w:cs="Calibri" w:hint="default"/>
        <w:color w:val="000000"/>
      </w:rPr>
    </w:lvl>
    <w:lvl w:ilvl="7">
      <w:start w:val="1"/>
      <w:numFmt w:val="decimal"/>
      <w:lvlText w:val="%1.%2.%3.%4.%5.%6.%7.%8."/>
      <w:lvlJc w:val="left"/>
      <w:pPr>
        <w:ind w:left="1080" w:hanging="1080"/>
      </w:pPr>
      <w:rPr>
        <w:rFonts w:ascii="Calibri" w:hAnsi="Calibri" w:cs="Calibri" w:hint="default"/>
        <w:color w:val="000000"/>
      </w:rPr>
    </w:lvl>
    <w:lvl w:ilvl="8">
      <w:start w:val="1"/>
      <w:numFmt w:val="decimal"/>
      <w:lvlText w:val="%1.%2.%3.%4.%5.%6.%7.%8.%9."/>
      <w:lvlJc w:val="left"/>
      <w:pPr>
        <w:ind w:left="1440" w:hanging="1440"/>
      </w:pPr>
      <w:rPr>
        <w:rFonts w:ascii="Calibri" w:hAnsi="Calibri" w:cs="Calibri" w:hint="default"/>
        <w:color w:val="000000"/>
      </w:rPr>
    </w:lvl>
  </w:abstractNum>
  <w:abstractNum w:abstractNumId="21" w15:restartNumberingAfterBreak="0">
    <w:nsid w:val="332B3E46"/>
    <w:multiLevelType w:val="hybridMultilevel"/>
    <w:tmpl w:val="9DE84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4C05AD7"/>
    <w:multiLevelType w:val="multilevel"/>
    <w:tmpl w:val="3F646ACE"/>
    <w:styleLink w:val="BGDRFW"/>
    <w:lvl w:ilvl="0">
      <w:start w:val="1"/>
      <w:numFmt w:val="decimal"/>
      <w:lvlText w:val="Component %1"/>
      <w:lvlJc w:val="left"/>
      <w:pPr>
        <w:ind w:left="1134" w:hanging="1134"/>
      </w:pPr>
      <w:rPr>
        <w:rFonts w:hint="default"/>
      </w:rPr>
    </w:lvl>
    <w:lvl w:ilvl="1">
      <w:start w:val="1"/>
      <w:numFmt w:val="decimal"/>
      <w:lvlText w:val="Result %1.%2"/>
      <w:lvlJc w:val="left"/>
      <w:pPr>
        <w:ind w:left="1134" w:hanging="1134"/>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4E028F2"/>
    <w:multiLevelType w:val="multilevel"/>
    <w:tmpl w:val="0ED087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62A3612"/>
    <w:multiLevelType w:val="multilevel"/>
    <w:tmpl w:val="16D2DD6C"/>
    <w:styleLink w:val="myNumbersMultilevel"/>
    <w:lvl w:ilvl="0">
      <w:start w:val="1"/>
      <w:numFmt w:val="decimal"/>
      <w:lvlText w:val="%1"/>
      <w:lvlJc w:val="left"/>
      <w:pPr>
        <w:ind w:left="340" w:hanging="340"/>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1361" w:hanging="567"/>
      </w:pPr>
      <w:rPr>
        <w:rFonts w:hint="default"/>
      </w:rPr>
    </w:lvl>
    <w:lvl w:ilvl="3">
      <w:start w:val="1"/>
      <w:numFmt w:val="decimal"/>
      <w:lvlText w:val="(%4)"/>
      <w:lvlJc w:val="left"/>
      <w:pPr>
        <w:tabs>
          <w:tab w:val="num" w:pos="1701"/>
        </w:tabs>
        <w:ind w:left="1701" w:hanging="340"/>
      </w:pPr>
      <w:rPr>
        <w:rFonts w:hint="default"/>
      </w:rPr>
    </w:lvl>
    <w:lvl w:ilvl="4">
      <w:start w:val="1"/>
      <w:numFmt w:val="lowerLetter"/>
      <w:lvlText w:val="(%5)"/>
      <w:lvlJc w:val="left"/>
      <w:pPr>
        <w:tabs>
          <w:tab w:val="num" w:pos="2041"/>
        </w:tabs>
        <w:ind w:left="2041" w:hanging="397"/>
      </w:pPr>
      <w:rPr>
        <w:rFonts w:hint="default"/>
      </w:rPr>
    </w:lvl>
    <w:lvl w:ilvl="5">
      <w:start w:val="1"/>
      <w:numFmt w:val="lowerRoman"/>
      <w:lvlText w:val="(%6)"/>
      <w:lvlJc w:val="left"/>
      <w:pPr>
        <w:ind w:left="2381" w:hanging="3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9C87CF8"/>
    <w:multiLevelType w:val="multilevel"/>
    <w:tmpl w:val="71184532"/>
    <w:numStyleLink w:val="myBulletMultilevel"/>
  </w:abstractNum>
  <w:abstractNum w:abstractNumId="26" w15:restartNumberingAfterBreak="0">
    <w:nsid w:val="39E83E3B"/>
    <w:multiLevelType w:val="multilevel"/>
    <w:tmpl w:val="4A448F4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AE068B3"/>
    <w:multiLevelType w:val="multilevel"/>
    <w:tmpl w:val="C6A8BC80"/>
    <w:styleLink w:val="myHeadingNumbcMYP"/>
    <w:lvl w:ilvl="0">
      <w:start w:val="1"/>
      <w:numFmt w:val="decimal"/>
      <w:pStyle w:val="Heading1"/>
      <w:lvlText w:val="%1"/>
      <w:lvlJc w:val="left"/>
      <w:pPr>
        <w:ind w:left="0" w:hanging="851"/>
      </w:pPr>
      <w:rPr>
        <w:rFonts w:hint="default"/>
      </w:rPr>
    </w:lvl>
    <w:lvl w:ilvl="1">
      <w:start w:val="1"/>
      <w:numFmt w:val="decimal"/>
      <w:pStyle w:val="Heading2"/>
      <w:lvlText w:val="%1.%2"/>
      <w:lvlJc w:val="left"/>
      <w:pPr>
        <w:ind w:left="0" w:hanging="851"/>
      </w:pPr>
      <w:rPr>
        <w:rFonts w:hint="default"/>
      </w:rPr>
    </w:lvl>
    <w:lvl w:ilvl="2">
      <w:start w:val="1"/>
      <w:numFmt w:val="decimal"/>
      <w:pStyle w:val="Heading3"/>
      <w:lvlText w:val="%1.%2.%3"/>
      <w:lvlJc w:val="left"/>
      <w:pPr>
        <w:ind w:left="0" w:hanging="851"/>
      </w:pPr>
      <w:rPr>
        <w:rFonts w:hint="default"/>
      </w:rPr>
    </w:lvl>
    <w:lvl w:ilvl="3">
      <w:start w:val="1"/>
      <w:numFmt w:val="decimal"/>
      <w:pStyle w:val="Heading4"/>
      <w:lvlText w:val="(%4)"/>
      <w:lvlJc w:val="left"/>
      <w:pPr>
        <w:ind w:left="0" w:hanging="851"/>
      </w:pPr>
      <w:rPr>
        <w:rFonts w:hint="default"/>
      </w:rPr>
    </w:lvl>
    <w:lvl w:ilvl="4">
      <w:start w:val="1"/>
      <w:numFmt w:val="lowerLetter"/>
      <w:lvlText w:val="(%5)"/>
      <w:lvlJc w:val="left"/>
      <w:pPr>
        <w:tabs>
          <w:tab w:val="num" w:pos="170"/>
        </w:tabs>
        <w:ind w:left="0" w:hanging="851"/>
      </w:pPr>
      <w:rPr>
        <w:rFonts w:hint="default"/>
      </w:rPr>
    </w:lvl>
    <w:lvl w:ilvl="5">
      <w:start w:val="1"/>
      <w:numFmt w:val="lowerRoman"/>
      <w:lvlText w:val="(%6)"/>
      <w:lvlJc w:val="left"/>
      <w:pPr>
        <w:tabs>
          <w:tab w:val="num" w:pos="170"/>
        </w:tabs>
        <w:ind w:left="0" w:hanging="851"/>
      </w:pPr>
      <w:rPr>
        <w:rFonts w:hint="default"/>
      </w:rPr>
    </w:lvl>
    <w:lvl w:ilvl="6">
      <w:start w:val="1"/>
      <w:numFmt w:val="decimal"/>
      <w:lvlText w:val="%7."/>
      <w:lvlJc w:val="left"/>
      <w:pPr>
        <w:tabs>
          <w:tab w:val="num" w:pos="170"/>
        </w:tabs>
        <w:ind w:left="0" w:hanging="851"/>
      </w:pPr>
      <w:rPr>
        <w:rFonts w:hint="default"/>
      </w:rPr>
    </w:lvl>
    <w:lvl w:ilvl="7">
      <w:start w:val="1"/>
      <w:numFmt w:val="lowerLetter"/>
      <w:lvlText w:val="%8."/>
      <w:lvlJc w:val="left"/>
      <w:pPr>
        <w:tabs>
          <w:tab w:val="num" w:pos="170"/>
        </w:tabs>
        <w:ind w:left="0" w:hanging="851"/>
      </w:pPr>
      <w:rPr>
        <w:rFonts w:hint="default"/>
      </w:rPr>
    </w:lvl>
    <w:lvl w:ilvl="8">
      <w:start w:val="1"/>
      <w:numFmt w:val="lowerRoman"/>
      <w:lvlText w:val="%9."/>
      <w:lvlJc w:val="left"/>
      <w:pPr>
        <w:tabs>
          <w:tab w:val="num" w:pos="170"/>
        </w:tabs>
        <w:ind w:left="0" w:hanging="851"/>
      </w:pPr>
      <w:rPr>
        <w:rFonts w:hint="default"/>
      </w:rPr>
    </w:lvl>
  </w:abstractNum>
  <w:abstractNum w:abstractNumId="28" w15:restartNumberingAfterBreak="0">
    <w:nsid w:val="3B0203E0"/>
    <w:multiLevelType w:val="multilevel"/>
    <w:tmpl w:val="560A556E"/>
    <w:styleLink w:val="myTOSA"/>
    <w:lvl w:ilvl="0">
      <w:start w:val="1"/>
      <w:numFmt w:val="decimal"/>
      <w:pStyle w:val="myTObj"/>
      <w:lvlText w:val="Objective %1:"/>
      <w:lvlJc w:val="left"/>
      <w:pPr>
        <w:tabs>
          <w:tab w:val="num" w:pos="1247"/>
        </w:tabs>
        <w:ind w:left="1247" w:hanging="1247"/>
      </w:pPr>
      <w:rPr>
        <w:rFonts w:hint="default"/>
      </w:rPr>
    </w:lvl>
    <w:lvl w:ilvl="1">
      <w:start w:val="1"/>
      <w:numFmt w:val="decimal"/>
      <w:pStyle w:val="myTStr"/>
      <w:lvlText w:val="Strategy %1.%2:"/>
      <w:lvlJc w:val="left"/>
      <w:pPr>
        <w:tabs>
          <w:tab w:val="num" w:pos="1247"/>
        </w:tabs>
        <w:ind w:left="1247" w:hanging="1247"/>
      </w:pPr>
      <w:rPr>
        <w:rFonts w:hint="default"/>
      </w:rPr>
    </w:lvl>
    <w:lvl w:ilvl="2">
      <w:start w:val="1"/>
      <w:numFmt w:val="decimal"/>
      <w:pStyle w:val="myTAct"/>
      <w:lvlText w:val="%1.%2.%3:"/>
      <w:lvlJc w:val="left"/>
      <w:pPr>
        <w:tabs>
          <w:tab w:val="num" w:pos="680"/>
        </w:tabs>
        <w:ind w:left="680"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C3628BA"/>
    <w:multiLevelType w:val="multilevel"/>
    <w:tmpl w:val="D2D009D0"/>
    <w:styleLink w:val="myInstructionbullets"/>
    <w:lvl w:ilvl="0">
      <w:start w:val="1"/>
      <w:numFmt w:val="bullet"/>
      <w:pStyle w:val="myInstructions"/>
      <w:lvlText w:val=""/>
      <w:lvlJc w:val="left"/>
      <w:pPr>
        <w:ind w:left="284" w:hanging="284"/>
      </w:pPr>
      <w:rPr>
        <w:rFonts w:ascii="Wingdings" w:hAnsi="Wingdings" w:hint="default"/>
        <w:b/>
        <w:i w:val="0"/>
        <w:color w:val="0070C0"/>
      </w:rPr>
    </w:lvl>
    <w:lvl w:ilvl="1">
      <w:start w:val="1"/>
      <w:numFmt w:val="bullet"/>
      <w:lvlText w:val=""/>
      <w:lvlJc w:val="left"/>
      <w:pPr>
        <w:ind w:left="567" w:hanging="283"/>
      </w:pPr>
      <w:rPr>
        <w:rFonts w:ascii="Wingdings" w:hAnsi="Wingdings" w:hint="default"/>
        <w:color w:val="0070C0"/>
      </w:rPr>
    </w:lvl>
    <w:lvl w:ilvl="2">
      <w:start w:val="1"/>
      <w:numFmt w:val="bullet"/>
      <w:lvlText w:val=""/>
      <w:lvlJc w:val="left"/>
      <w:pPr>
        <w:ind w:left="851" w:hanging="284"/>
      </w:pPr>
      <w:rPr>
        <w:rFonts w:ascii="Wingdings" w:hAnsi="Wingdings" w:hint="default"/>
        <w:color w:val="00B050"/>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15:restartNumberingAfterBreak="0">
    <w:nsid w:val="414651F2"/>
    <w:multiLevelType w:val="multilevel"/>
    <w:tmpl w:val="DB9A627A"/>
    <w:lvl w:ilvl="0">
      <w:start w:val="1"/>
      <w:numFmt w:val="decimalZero"/>
      <w:pStyle w:val="myStepsH"/>
      <w:lvlText w:val="Step %1:"/>
      <w:lvlJc w:val="left"/>
      <w:pPr>
        <w:tabs>
          <w:tab w:val="num" w:pos="1134"/>
        </w:tabs>
        <w:ind w:left="1134" w:hanging="1134"/>
      </w:pPr>
      <w:rPr>
        <w:rFonts w:hint="default"/>
        <w:color w:val="FFFFFF" w:themeColor="background1"/>
      </w:rPr>
    </w:lvl>
    <w:lvl w:ilvl="1">
      <w:start w:val="1"/>
      <w:numFmt w:val="none"/>
      <w:lvlText w:val=""/>
      <w:lvlJc w:val="left"/>
      <w:pPr>
        <w:ind w:left="1134" w:firstLine="0"/>
      </w:pPr>
      <w:rPr>
        <w:rFonts w:hint="default"/>
        <w:color w:val="0070C0"/>
      </w:rPr>
    </w:lvl>
    <w:lvl w:ilvl="2">
      <w:start w:val="1"/>
      <w:numFmt w:val="decimal"/>
      <w:lvlText w:val="%1.%3"/>
      <w:lvlJc w:val="left"/>
      <w:pPr>
        <w:tabs>
          <w:tab w:val="num" w:pos="1701"/>
        </w:tabs>
        <w:ind w:left="1701" w:hanging="567"/>
      </w:pPr>
      <w:rPr>
        <w:rFonts w:hint="default"/>
        <w:color w:val="auto"/>
      </w:rPr>
    </w:lvl>
    <w:lvl w:ilvl="3">
      <w:start w:val="1"/>
      <w:numFmt w:val="bullet"/>
      <w:lvlText w:val=""/>
      <w:lvlJc w:val="left"/>
      <w:pPr>
        <w:ind w:left="1985" w:hanging="284"/>
      </w:pPr>
      <w:rPr>
        <w:rFonts w:ascii="Symbol" w:hAnsi="Symbol" w:hint="default"/>
        <w:color w:val="auto"/>
      </w:rPr>
    </w:lvl>
    <w:lvl w:ilvl="4">
      <w:start w:val="1"/>
      <w:numFmt w:val="bullet"/>
      <w:lvlText w:val=""/>
      <w:lvlJc w:val="left"/>
      <w:pPr>
        <w:ind w:left="1785" w:hanging="357"/>
      </w:pPr>
      <w:rPr>
        <w:rFonts w:ascii="Wingdings" w:hAnsi="Wingdings" w:hint="default"/>
        <w:color w:val="auto"/>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1" w15:restartNumberingAfterBreak="0">
    <w:nsid w:val="4CB33BDE"/>
    <w:multiLevelType w:val="multilevel"/>
    <w:tmpl w:val="D2D009D0"/>
    <w:numStyleLink w:val="myInstructionbullets"/>
  </w:abstractNum>
  <w:abstractNum w:abstractNumId="32" w15:restartNumberingAfterBreak="0">
    <w:nsid w:val="543D6BFC"/>
    <w:multiLevelType w:val="multilevel"/>
    <w:tmpl w:val="766EDA8A"/>
    <w:lvl w:ilvl="0">
      <w:start w:val="1"/>
      <w:numFmt w:val="decimal"/>
      <w:pStyle w:val="ListNumberT"/>
      <w:lvlText w:val="%1."/>
      <w:lvlJc w:val="left"/>
      <w:pPr>
        <w:tabs>
          <w:tab w:val="num" w:pos="369"/>
        </w:tabs>
        <w:ind w:left="340" w:hanging="340"/>
      </w:pPr>
      <w:rPr>
        <w:rFonts w:ascii="Tahoma" w:hAnsi="Tahoma" w:hint="default"/>
        <w:sz w:val="16"/>
      </w:rPr>
    </w:lvl>
    <w:lvl w:ilvl="1">
      <w:start w:val="1"/>
      <w:numFmt w:val="decimal"/>
      <w:lvlText w:val="%1.%2"/>
      <w:lvlJc w:val="left"/>
      <w:pPr>
        <w:tabs>
          <w:tab w:val="num" w:pos="340"/>
        </w:tabs>
        <w:ind w:left="340" w:hanging="340"/>
      </w:pPr>
      <w:rPr>
        <w:rFonts w:ascii="Tahoma" w:hAnsi="Tahoma" w:hint="default"/>
        <w:sz w:val="16"/>
      </w:rPr>
    </w:lvl>
    <w:lvl w:ilvl="2">
      <w:start w:val="1"/>
      <w:numFmt w:val="lowerLetter"/>
      <w:lvlText w:val="%3)"/>
      <w:lvlJc w:val="left"/>
      <w:pPr>
        <w:tabs>
          <w:tab w:val="num" w:pos="340"/>
        </w:tabs>
        <w:ind w:left="340" w:hanging="340"/>
      </w:pPr>
      <w:rPr>
        <w:rFonts w:ascii="Tahoma" w:hAnsi="Tahoma" w:hint="default"/>
        <w:sz w:val="16"/>
      </w:rPr>
    </w:lvl>
    <w:lvl w:ilvl="3">
      <w:start w:val="1"/>
      <w:numFmt w:val="bullet"/>
      <w:lvlText w:val="o"/>
      <w:lvlJc w:val="left"/>
      <w:pPr>
        <w:tabs>
          <w:tab w:val="num" w:pos="340"/>
        </w:tabs>
        <w:ind w:left="340" w:hanging="340"/>
      </w:pPr>
      <w:rPr>
        <w:rFonts w:ascii="Courier New" w:hAnsi="Courier New" w:hint="default"/>
        <w:sz w:val="16"/>
      </w:rPr>
    </w:lvl>
    <w:lvl w:ilvl="4">
      <w:start w:val="1"/>
      <w:numFmt w:val="bullet"/>
      <w:lvlText w:val=""/>
      <w:lvlJc w:val="left"/>
      <w:pPr>
        <w:tabs>
          <w:tab w:val="num" w:pos="340"/>
        </w:tabs>
        <w:ind w:left="340" w:hanging="340"/>
      </w:pPr>
      <w:rPr>
        <w:rFonts w:ascii="Symbol" w:hAnsi="Symbol" w:hint="default"/>
        <w:color w:val="C00000"/>
      </w:rPr>
    </w:lvl>
    <w:lvl w:ilvl="5">
      <w:start w:val="1"/>
      <w:numFmt w:val="decimal"/>
      <w:lvlText w:val="%1.%2.%3.%4.%5.%6."/>
      <w:lvlJc w:val="left"/>
      <w:pPr>
        <w:tabs>
          <w:tab w:val="num" w:pos="369"/>
        </w:tabs>
        <w:ind w:left="340" w:hanging="340"/>
      </w:pPr>
      <w:rPr>
        <w:rFonts w:hint="default"/>
      </w:rPr>
    </w:lvl>
    <w:lvl w:ilvl="6">
      <w:start w:val="1"/>
      <w:numFmt w:val="decimal"/>
      <w:lvlText w:val="%1.%2.%3.%4.%5.%6.%7."/>
      <w:lvlJc w:val="left"/>
      <w:pPr>
        <w:tabs>
          <w:tab w:val="num" w:pos="369"/>
        </w:tabs>
        <w:ind w:left="340" w:hanging="340"/>
      </w:pPr>
      <w:rPr>
        <w:rFonts w:hint="default"/>
      </w:rPr>
    </w:lvl>
    <w:lvl w:ilvl="7">
      <w:start w:val="1"/>
      <w:numFmt w:val="decimal"/>
      <w:lvlText w:val="%1.%2.%3.%4.%5.%6.%7.%8."/>
      <w:lvlJc w:val="left"/>
      <w:pPr>
        <w:tabs>
          <w:tab w:val="num" w:pos="369"/>
        </w:tabs>
        <w:ind w:left="340" w:hanging="340"/>
      </w:pPr>
      <w:rPr>
        <w:rFonts w:hint="default"/>
      </w:rPr>
    </w:lvl>
    <w:lvl w:ilvl="8">
      <w:start w:val="1"/>
      <w:numFmt w:val="decimal"/>
      <w:lvlText w:val="%1.%2.%3.%4.%5.%6.%7.%8.%9."/>
      <w:lvlJc w:val="left"/>
      <w:pPr>
        <w:tabs>
          <w:tab w:val="num" w:pos="369"/>
        </w:tabs>
        <w:ind w:left="340" w:hanging="340"/>
      </w:pPr>
      <w:rPr>
        <w:rFonts w:hint="default"/>
      </w:rPr>
    </w:lvl>
  </w:abstractNum>
  <w:abstractNum w:abstractNumId="33" w15:restartNumberingAfterBreak="0">
    <w:nsid w:val="56A82572"/>
    <w:multiLevelType w:val="multilevel"/>
    <w:tmpl w:val="71184532"/>
    <w:styleLink w:val="myiBulletMultilevel"/>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4" w:hanging="357"/>
      </w:pPr>
      <w:rPr>
        <w:rFonts w:ascii="Wingdings" w:hAnsi="Wingdings" w:hint="default"/>
        <w:color w:val="0070C0"/>
      </w:rPr>
    </w:lvl>
    <w:lvl w:ilvl="2">
      <w:start w:val="1"/>
      <w:numFmt w:val="bullet"/>
      <w:lvlText w:val="o"/>
      <w:lvlJc w:val="left"/>
      <w:pPr>
        <w:ind w:left="1071" w:hanging="357"/>
      </w:pPr>
      <w:rPr>
        <w:rFonts w:ascii="Courier New" w:hAnsi="Courier New" w:hint="default"/>
        <w:color w:val="auto"/>
      </w:rPr>
    </w:lvl>
    <w:lvl w:ilvl="3">
      <w:start w:val="1"/>
      <w:numFmt w:val="bullet"/>
      <w:lvlText w:val=""/>
      <w:lvlJc w:val="left"/>
      <w:pPr>
        <w:ind w:left="1428" w:hanging="357"/>
      </w:pPr>
      <w:rPr>
        <w:rFonts w:ascii="Symbol" w:hAnsi="Symbol" w:hint="default"/>
        <w:color w:val="auto"/>
      </w:rPr>
    </w:lvl>
    <w:lvl w:ilvl="4">
      <w:start w:val="1"/>
      <w:numFmt w:val="bullet"/>
      <w:lvlText w:val=""/>
      <w:lvlJc w:val="left"/>
      <w:pPr>
        <w:ind w:left="1785" w:hanging="357"/>
      </w:pPr>
      <w:rPr>
        <w:rFonts w:ascii="Wingdings" w:hAnsi="Wingdings" w:hint="default"/>
        <w:color w:val="auto"/>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5A0D6CD6"/>
    <w:multiLevelType w:val="multilevel"/>
    <w:tmpl w:val="00728942"/>
    <w:lvl w:ilvl="0">
      <w:start w:val="1"/>
      <w:numFmt w:val="bullet"/>
      <w:pStyle w:val="ListBulletT"/>
      <w:lvlText w:val=""/>
      <w:lvlJc w:val="left"/>
      <w:pPr>
        <w:tabs>
          <w:tab w:val="num" w:pos="227"/>
        </w:tabs>
        <w:ind w:left="227" w:hanging="227"/>
      </w:pPr>
      <w:rPr>
        <w:rFonts w:ascii="Symbol" w:hAnsi="Symbol" w:hint="default"/>
      </w:rPr>
    </w:lvl>
    <w:lvl w:ilvl="1">
      <w:start w:val="1"/>
      <w:numFmt w:val="bullet"/>
      <w:lvlText w:val="o"/>
      <w:lvlJc w:val="left"/>
      <w:pPr>
        <w:tabs>
          <w:tab w:val="num" w:pos="454"/>
        </w:tabs>
        <w:ind w:left="454" w:hanging="227"/>
      </w:pPr>
      <w:rPr>
        <w:rFonts w:ascii="Courier New" w:hAnsi="Courier New" w:hint="default"/>
      </w:rPr>
    </w:lvl>
    <w:lvl w:ilvl="2">
      <w:start w:val="1"/>
      <w:numFmt w:val="bullet"/>
      <w:lvlText w:val=""/>
      <w:lvlJc w:val="left"/>
      <w:pPr>
        <w:tabs>
          <w:tab w:val="num" w:pos="680"/>
        </w:tabs>
        <w:ind w:left="681" w:hanging="227"/>
      </w:pPr>
      <w:rPr>
        <w:rFonts w:ascii="Wingdings" w:hAnsi="Wingdings" w:hint="default"/>
      </w:rPr>
    </w:lvl>
    <w:lvl w:ilvl="3">
      <w:start w:val="1"/>
      <w:numFmt w:val="bullet"/>
      <w:lvlText w:val=""/>
      <w:lvlJc w:val="left"/>
      <w:pPr>
        <w:tabs>
          <w:tab w:val="num" w:pos="907"/>
        </w:tabs>
        <w:ind w:left="908" w:hanging="227"/>
      </w:pPr>
      <w:rPr>
        <w:rFonts w:ascii="Symbol" w:hAnsi="Symbol" w:hint="default"/>
      </w:rPr>
    </w:lvl>
    <w:lvl w:ilvl="4">
      <w:start w:val="1"/>
      <w:numFmt w:val="bullet"/>
      <w:lvlText w:val="o"/>
      <w:lvlJc w:val="left"/>
      <w:pPr>
        <w:tabs>
          <w:tab w:val="num" w:pos="1134"/>
        </w:tabs>
        <w:ind w:left="1135" w:hanging="227"/>
      </w:pPr>
      <w:rPr>
        <w:rFonts w:ascii="Courier New" w:hAnsi="Courier New" w:hint="default"/>
      </w:rPr>
    </w:lvl>
    <w:lvl w:ilvl="5">
      <w:start w:val="1"/>
      <w:numFmt w:val="bullet"/>
      <w:lvlText w:val=""/>
      <w:lvlJc w:val="left"/>
      <w:pPr>
        <w:tabs>
          <w:tab w:val="num" w:pos="1361"/>
        </w:tabs>
        <w:ind w:left="1362" w:hanging="227"/>
      </w:pPr>
      <w:rPr>
        <w:rFonts w:ascii="Wingdings" w:hAnsi="Wingdings" w:hint="default"/>
      </w:rPr>
    </w:lvl>
    <w:lvl w:ilvl="6">
      <w:start w:val="1"/>
      <w:numFmt w:val="bullet"/>
      <w:lvlText w:val=""/>
      <w:lvlJc w:val="left"/>
      <w:pPr>
        <w:tabs>
          <w:tab w:val="num" w:pos="1588"/>
        </w:tabs>
        <w:ind w:left="1589" w:hanging="227"/>
      </w:pPr>
      <w:rPr>
        <w:rFonts w:ascii="Symbol" w:hAnsi="Symbol" w:hint="default"/>
      </w:rPr>
    </w:lvl>
    <w:lvl w:ilvl="7">
      <w:start w:val="1"/>
      <w:numFmt w:val="bullet"/>
      <w:lvlText w:val="o"/>
      <w:lvlJc w:val="left"/>
      <w:pPr>
        <w:tabs>
          <w:tab w:val="num" w:pos="2309"/>
        </w:tabs>
        <w:ind w:left="1816" w:hanging="227"/>
      </w:pPr>
      <w:rPr>
        <w:rFonts w:ascii="Courier New" w:hAnsi="Courier New" w:hint="default"/>
      </w:rPr>
    </w:lvl>
    <w:lvl w:ilvl="8">
      <w:start w:val="1"/>
      <w:numFmt w:val="bullet"/>
      <w:lvlText w:val=""/>
      <w:lvlJc w:val="left"/>
      <w:pPr>
        <w:tabs>
          <w:tab w:val="num" w:pos="2536"/>
        </w:tabs>
        <w:ind w:left="2043" w:hanging="227"/>
      </w:pPr>
      <w:rPr>
        <w:rFonts w:ascii="Wingdings" w:hAnsi="Wingdings" w:hint="default"/>
      </w:rPr>
    </w:lvl>
  </w:abstractNum>
  <w:abstractNum w:abstractNumId="35" w15:restartNumberingAfterBreak="0">
    <w:nsid w:val="5A4B4233"/>
    <w:multiLevelType w:val="multilevel"/>
    <w:tmpl w:val="E09444EE"/>
    <w:lvl w:ilvl="0">
      <w:start w:val="4"/>
      <w:numFmt w:val="decimal"/>
      <w:lvlText w:val="%1."/>
      <w:lvlJc w:val="left"/>
      <w:pPr>
        <w:ind w:left="360" w:hanging="360"/>
      </w:pPr>
      <w:rPr>
        <w:rFonts w:ascii="Calibri" w:hAnsi="Calibri" w:cs="Calibri" w:hint="default"/>
        <w:color w:val="000000"/>
      </w:rPr>
    </w:lvl>
    <w:lvl w:ilvl="1">
      <w:start w:val="1"/>
      <w:numFmt w:val="decimal"/>
      <w:lvlText w:val="%1.%2."/>
      <w:lvlJc w:val="left"/>
      <w:pPr>
        <w:ind w:left="360" w:hanging="360"/>
      </w:pPr>
      <w:rPr>
        <w:rFonts w:ascii="Calibri" w:hAnsi="Calibri" w:cs="Calibri" w:hint="default"/>
        <w:color w:val="000000"/>
      </w:rPr>
    </w:lvl>
    <w:lvl w:ilvl="2">
      <w:start w:val="1"/>
      <w:numFmt w:val="decimal"/>
      <w:lvlText w:val="%1.%2.%3."/>
      <w:lvlJc w:val="left"/>
      <w:pPr>
        <w:ind w:left="720" w:hanging="720"/>
      </w:pPr>
      <w:rPr>
        <w:rFonts w:ascii="Calibri" w:hAnsi="Calibri" w:cs="Calibri" w:hint="default"/>
        <w:color w:val="000000"/>
      </w:rPr>
    </w:lvl>
    <w:lvl w:ilvl="3">
      <w:start w:val="1"/>
      <w:numFmt w:val="decimal"/>
      <w:lvlText w:val="%1.%2.%3.%4."/>
      <w:lvlJc w:val="left"/>
      <w:pPr>
        <w:ind w:left="720" w:hanging="720"/>
      </w:pPr>
      <w:rPr>
        <w:rFonts w:ascii="Calibri" w:hAnsi="Calibri" w:cs="Calibri" w:hint="default"/>
        <w:color w:val="000000"/>
      </w:rPr>
    </w:lvl>
    <w:lvl w:ilvl="4">
      <w:start w:val="1"/>
      <w:numFmt w:val="decimal"/>
      <w:lvlText w:val="%1.%2.%3.%4.%5."/>
      <w:lvlJc w:val="left"/>
      <w:pPr>
        <w:ind w:left="720" w:hanging="720"/>
      </w:pPr>
      <w:rPr>
        <w:rFonts w:ascii="Calibri" w:hAnsi="Calibri" w:cs="Calibri" w:hint="default"/>
        <w:color w:val="000000"/>
      </w:rPr>
    </w:lvl>
    <w:lvl w:ilvl="5">
      <w:start w:val="1"/>
      <w:numFmt w:val="decimal"/>
      <w:lvlText w:val="%1.%2.%3.%4.%5.%6."/>
      <w:lvlJc w:val="left"/>
      <w:pPr>
        <w:ind w:left="1080" w:hanging="1080"/>
      </w:pPr>
      <w:rPr>
        <w:rFonts w:ascii="Calibri" w:hAnsi="Calibri" w:cs="Calibri" w:hint="default"/>
        <w:color w:val="000000"/>
      </w:rPr>
    </w:lvl>
    <w:lvl w:ilvl="6">
      <w:start w:val="1"/>
      <w:numFmt w:val="decimal"/>
      <w:lvlText w:val="%1.%2.%3.%4.%5.%6.%7."/>
      <w:lvlJc w:val="left"/>
      <w:pPr>
        <w:ind w:left="1080" w:hanging="1080"/>
      </w:pPr>
      <w:rPr>
        <w:rFonts w:ascii="Calibri" w:hAnsi="Calibri" w:cs="Calibri" w:hint="default"/>
        <w:color w:val="000000"/>
      </w:rPr>
    </w:lvl>
    <w:lvl w:ilvl="7">
      <w:start w:val="1"/>
      <w:numFmt w:val="decimal"/>
      <w:lvlText w:val="%1.%2.%3.%4.%5.%6.%7.%8."/>
      <w:lvlJc w:val="left"/>
      <w:pPr>
        <w:ind w:left="1080" w:hanging="1080"/>
      </w:pPr>
      <w:rPr>
        <w:rFonts w:ascii="Calibri" w:hAnsi="Calibri" w:cs="Calibri" w:hint="default"/>
        <w:color w:val="000000"/>
      </w:rPr>
    </w:lvl>
    <w:lvl w:ilvl="8">
      <w:start w:val="1"/>
      <w:numFmt w:val="decimal"/>
      <w:lvlText w:val="%1.%2.%3.%4.%5.%6.%7.%8.%9."/>
      <w:lvlJc w:val="left"/>
      <w:pPr>
        <w:ind w:left="1440" w:hanging="1440"/>
      </w:pPr>
      <w:rPr>
        <w:rFonts w:ascii="Calibri" w:hAnsi="Calibri" w:cs="Calibri" w:hint="default"/>
        <w:color w:val="000000"/>
      </w:rPr>
    </w:lvl>
  </w:abstractNum>
  <w:abstractNum w:abstractNumId="36" w15:restartNumberingAfterBreak="0">
    <w:nsid w:val="5C7960BC"/>
    <w:multiLevelType w:val="hybridMultilevel"/>
    <w:tmpl w:val="A07AFC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247059D"/>
    <w:multiLevelType w:val="multilevel"/>
    <w:tmpl w:val="1E4A60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3144218"/>
    <w:multiLevelType w:val="multilevel"/>
    <w:tmpl w:val="71184532"/>
    <w:numStyleLink w:val="myBulletMultilevel"/>
  </w:abstractNum>
  <w:abstractNum w:abstractNumId="39" w15:restartNumberingAfterBreak="0">
    <w:nsid w:val="69AC3E6F"/>
    <w:multiLevelType w:val="multilevel"/>
    <w:tmpl w:val="71184532"/>
    <w:numStyleLink w:val="myBulletMultilevel"/>
  </w:abstractNum>
  <w:abstractNum w:abstractNumId="40" w15:restartNumberingAfterBreak="0">
    <w:nsid w:val="6AF62358"/>
    <w:multiLevelType w:val="multilevel"/>
    <w:tmpl w:val="0602F23E"/>
    <w:lvl w:ilvl="0">
      <w:start w:val="1"/>
      <w:numFmt w:val="decimal"/>
      <w:lvlText w:val="%1"/>
      <w:lvlJc w:val="left"/>
      <w:pPr>
        <w:ind w:left="0" w:hanging="851"/>
      </w:pPr>
      <w:rPr>
        <w:rFonts w:hint="default"/>
      </w:rPr>
    </w:lvl>
    <w:lvl w:ilvl="1">
      <w:start w:val="1"/>
      <w:numFmt w:val="decimal"/>
      <w:lvlText w:val="%1.%2"/>
      <w:lvlJc w:val="left"/>
      <w:pPr>
        <w:ind w:left="0" w:hanging="851"/>
      </w:pPr>
      <w:rPr>
        <w:rFonts w:hint="default"/>
      </w:rPr>
    </w:lvl>
    <w:lvl w:ilvl="2">
      <w:start w:val="1"/>
      <w:numFmt w:val="decimal"/>
      <w:lvlText w:val="%1.%2.%3"/>
      <w:lvlJc w:val="left"/>
      <w:pPr>
        <w:ind w:left="0" w:hanging="851"/>
      </w:pPr>
      <w:rPr>
        <w:rFonts w:hint="default"/>
      </w:rPr>
    </w:lvl>
    <w:lvl w:ilvl="3">
      <w:start w:val="1"/>
      <w:numFmt w:val="decimal"/>
      <w:lvlText w:val="(%4)"/>
      <w:lvlJc w:val="left"/>
      <w:pPr>
        <w:ind w:left="0" w:hanging="851"/>
      </w:pPr>
      <w:rPr>
        <w:rFonts w:hint="default"/>
      </w:rPr>
    </w:lvl>
    <w:lvl w:ilvl="4">
      <w:start w:val="1"/>
      <w:numFmt w:val="lowerLetter"/>
      <w:lvlText w:val="(%5)"/>
      <w:lvlJc w:val="left"/>
      <w:pPr>
        <w:tabs>
          <w:tab w:val="num" w:pos="170"/>
        </w:tabs>
        <w:ind w:left="0" w:hanging="851"/>
      </w:pPr>
      <w:rPr>
        <w:rFonts w:hint="default"/>
      </w:rPr>
    </w:lvl>
    <w:lvl w:ilvl="5">
      <w:start w:val="1"/>
      <w:numFmt w:val="lowerRoman"/>
      <w:lvlText w:val="(%6)"/>
      <w:lvlJc w:val="left"/>
      <w:pPr>
        <w:tabs>
          <w:tab w:val="num" w:pos="170"/>
        </w:tabs>
        <w:ind w:left="0" w:hanging="851"/>
      </w:pPr>
      <w:rPr>
        <w:rFonts w:hint="default"/>
      </w:rPr>
    </w:lvl>
    <w:lvl w:ilvl="6">
      <w:start w:val="1"/>
      <w:numFmt w:val="decimal"/>
      <w:lvlText w:val="%7."/>
      <w:lvlJc w:val="left"/>
      <w:pPr>
        <w:ind w:left="-491" w:hanging="360"/>
      </w:pPr>
    </w:lvl>
    <w:lvl w:ilvl="7">
      <w:start w:val="1"/>
      <w:numFmt w:val="lowerLetter"/>
      <w:lvlText w:val="%8."/>
      <w:lvlJc w:val="left"/>
      <w:pPr>
        <w:tabs>
          <w:tab w:val="num" w:pos="170"/>
        </w:tabs>
        <w:ind w:left="0" w:hanging="851"/>
      </w:pPr>
      <w:rPr>
        <w:rFonts w:hint="default"/>
      </w:rPr>
    </w:lvl>
    <w:lvl w:ilvl="8">
      <w:start w:val="1"/>
      <w:numFmt w:val="lowerRoman"/>
      <w:lvlText w:val="%9."/>
      <w:lvlJc w:val="left"/>
      <w:pPr>
        <w:tabs>
          <w:tab w:val="num" w:pos="170"/>
        </w:tabs>
        <w:ind w:left="0" w:hanging="851"/>
      </w:pPr>
      <w:rPr>
        <w:rFonts w:hint="default"/>
      </w:rPr>
    </w:lvl>
  </w:abstractNum>
  <w:abstractNum w:abstractNumId="41" w15:restartNumberingAfterBreak="0">
    <w:nsid w:val="72806492"/>
    <w:multiLevelType w:val="multilevel"/>
    <w:tmpl w:val="3F646ACE"/>
    <w:numStyleLink w:val="BGDRFW"/>
  </w:abstractNum>
  <w:abstractNum w:abstractNumId="42" w15:restartNumberingAfterBreak="0">
    <w:nsid w:val="73072BBF"/>
    <w:multiLevelType w:val="multilevel"/>
    <w:tmpl w:val="63E001B8"/>
    <w:styleLink w:val="myListFindings"/>
    <w:lvl w:ilvl="0">
      <w:start w:val="1"/>
      <w:numFmt w:val="decimal"/>
      <w:pStyle w:val="myFindings"/>
      <w:lvlText w:val="(F%1)"/>
      <w:lvlJc w:val="right"/>
      <w:pPr>
        <w:ind w:left="0" w:hanging="57"/>
      </w:pPr>
      <w:rPr>
        <w:rFonts w:ascii="Trebuchet MS" w:hAnsi="Trebuchet MS" w:hint="default"/>
        <w:b/>
        <w:i w:val="0"/>
        <w:color w:val="1F3864" w:themeColor="accent5" w:themeShade="80"/>
        <w:sz w:val="20"/>
      </w:rPr>
    </w:lvl>
    <w:lvl w:ilvl="1">
      <w:start w:val="1"/>
      <w:numFmt w:val="none"/>
      <w:lvlText w:val="%2"/>
      <w:lvlJc w:val="left"/>
      <w:pPr>
        <w:ind w:left="0" w:hanging="284"/>
      </w:pPr>
      <w:rPr>
        <w:rFonts w:hint="default"/>
        <w:color w:val="0070C0"/>
      </w:rPr>
    </w:lvl>
    <w:lvl w:ilvl="2">
      <w:start w:val="1"/>
      <w:numFmt w:val="lowerLetter"/>
      <w:lvlRestart w:val="1"/>
      <w:lvlText w:val="%3)"/>
      <w:lvlJc w:val="left"/>
      <w:pPr>
        <w:tabs>
          <w:tab w:val="num" w:pos="794"/>
        </w:tabs>
        <w:ind w:left="454" w:hanging="454"/>
      </w:pPr>
      <w:rPr>
        <w:rFonts w:hint="default"/>
        <w:color w:val="0070C0"/>
      </w:rPr>
    </w:lvl>
    <w:lvl w:ilvl="3">
      <w:start w:val="1"/>
      <w:numFmt w:val="bullet"/>
      <w:lvlText w:val=""/>
      <w:lvlJc w:val="left"/>
      <w:pPr>
        <w:tabs>
          <w:tab w:val="num" w:pos="794"/>
        </w:tabs>
        <w:ind w:left="794" w:hanging="340"/>
      </w:pPr>
      <w:rPr>
        <w:rFonts w:ascii="Wingdings" w:hAnsi="Wingdings" w:hint="default"/>
        <w:color w:val="0070C0"/>
      </w:rPr>
    </w:lvl>
    <w:lvl w:ilvl="4">
      <w:start w:val="1"/>
      <w:numFmt w:val="bullet"/>
      <w:lvlText w:val=""/>
      <w:lvlJc w:val="left"/>
      <w:pPr>
        <w:ind w:left="1021" w:hanging="22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71128A1"/>
    <w:multiLevelType w:val="multilevel"/>
    <w:tmpl w:val="E1BEBF60"/>
    <w:lvl w:ilvl="0">
      <w:start w:val="7"/>
      <w:numFmt w:val="decimal"/>
      <w:lvlText w:val="%1."/>
      <w:lvlJc w:val="left"/>
      <w:pPr>
        <w:ind w:left="360" w:hanging="360"/>
      </w:pPr>
      <w:rPr>
        <w:rFonts w:ascii="Calibri" w:hAnsi="Calibri" w:cs="Calibri" w:hint="default"/>
        <w:color w:val="000000"/>
      </w:rPr>
    </w:lvl>
    <w:lvl w:ilvl="1">
      <w:start w:val="1"/>
      <w:numFmt w:val="decimal"/>
      <w:lvlText w:val="%1.%2."/>
      <w:lvlJc w:val="left"/>
      <w:pPr>
        <w:ind w:left="360" w:hanging="360"/>
      </w:pPr>
      <w:rPr>
        <w:rFonts w:ascii="Calibri" w:hAnsi="Calibri" w:cs="Calibri" w:hint="default"/>
        <w:color w:val="000000"/>
      </w:rPr>
    </w:lvl>
    <w:lvl w:ilvl="2">
      <w:start w:val="1"/>
      <w:numFmt w:val="decimal"/>
      <w:lvlText w:val="%1.%2.%3."/>
      <w:lvlJc w:val="left"/>
      <w:pPr>
        <w:ind w:left="720" w:hanging="720"/>
      </w:pPr>
      <w:rPr>
        <w:rFonts w:ascii="Calibri" w:hAnsi="Calibri" w:cs="Calibri" w:hint="default"/>
        <w:color w:val="000000"/>
      </w:rPr>
    </w:lvl>
    <w:lvl w:ilvl="3">
      <w:start w:val="1"/>
      <w:numFmt w:val="decimal"/>
      <w:lvlText w:val="%1.%2.%3.%4."/>
      <w:lvlJc w:val="left"/>
      <w:pPr>
        <w:ind w:left="720" w:hanging="720"/>
      </w:pPr>
      <w:rPr>
        <w:rFonts w:ascii="Calibri" w:hAnsi="Calibri" w:cs="Calibri" w:hint="default"/>
        <w:color w:val="000000"/>
      </w:rPr>
    </w:lvl>
    <w:lvl w:ilvl="4">
      <w:start w:val="1"/>
      <w:numFmt w:val="decimal"/>
      <w:lvlText w:val="%1.%2.%3.%4.%5."/>
      <w:lvlJc w:val="left"/>
      <w:pPr>
        <w:ind w:left="720" w:hanging="720"/>
      </w:pPr>
      <w:rPr>
        <w:rFonts w:ascii="Calibri" w:hAnsi="Calibri" w:cs="Calibri" w:hint="default"/>
        <w:color w:val="000000"/>
      </w:rPr>
    </w:lvl>
    <w:lvl w:ilvl="5">
      <w:start w:val="1"/>
      <w:numFmt w:val="decimal"/>
      <w:lvlText w:val="%1.%2.%3.%4.%5.%6."/>
      <w:lvlJc w:val="left"/>
      <w:pPr>
        <w:ind w:left="1080" w:hanging="1080"/>
      </w:pPr>
      <w:rPr>
        <w:rFonts w:ascii="Calibri" w:hAnsi="Calibri" w:cs="Calibri" w:hint="default"/>
        <w:color w:val="000000"/>
      </w:rPr>
    </w:lvl>
    <w:lvl w:ilvl="6">
      <w:start w:val="1"/>
      <w:numFmt w:val="decimal"/>
      <w:lvlText w:val="%1.%2.%3.%4.%5.%6.%7."/>
      <w:lvlJc w:val="left"/>
      <w:pPr>
        <w:ind w:left="1080" w:hanging="1080"/>
      </w:pPr>
      <w:rPr>
        <w:rFonts w:ascii="Calibri" w:hAnsi="Calibri" w:cs="Calibri" w:hint="default"/>
        <w:color w:val="000000"/>
      </w:rPr>
    </w:lvl>
    <w:lvl w:ilvl="7">
      <w:start w:val="1"/>
      <w:numFmt w:val="decimal"/>
      <w:lvlText w:val="%1.%2.%3.%4.%5.%6.%7.%8."/>
      <w:lvlJc w:val="left"/>
      <w:pPr>
        <w:ind w:left="1080" w:hanging="1080"/>
      </w:pPr>
      <w:rPr>
        <w:rFonts w:ascii="Calibri" w:hAnsi="Calibri" w:cs="Calibri" w:hint="default"/>
        <w:color w:val="000000"/>
      </w:rPr>
    </w:lvl>
    <w:lvl w:ilvl="8">
      <w:start w:val="1"/>
      <w:numFmt w:val="decimal"/>
      <w:lvlText w:val="%1.%2.%3.%4.%5.%6.%7.%8.%9."/>
      <w:lvlJc w:val="left"/>
      <w:pPr>
        <w:ind w:left="1440" w:hanging="1440"/>
      </w:pPr>
      <w:rPr>
        <w:rFonts w:ascii="Calibri" w:hAnsi="Calibri" w:cs="Calibri" w:hint="default"/>
        <w:color w:val="000000"/>
      </w:rPr>
    </w:lvl>
  </w:abstractNum>
  <w:abstractNum w:abstractNumId="44" w15:restartNumberingAfterBreak="0">
    <w:nsid w:val="78E65F89"/>
    <w:multiLevelType w:val="multilevel"/>
    <w:tmpl w:val="5C42C3CA"/>
    <w:styleLink w:val="myNumbHeadings"/>
    <w:lvl w:ilvl="0">
      <w:start w:val="1"/>
      <w:numFmt w:val="upperRoman"/>
      <w:lvlText w:val="Section %1."/>
      <w:lvlJc w:val="left"/>
      <w:pPr>
        <w:ind w:left="1134" w:hanging="1134"/>
      </w:pPr>
      <w:rPr>
        <w:rFonts w:hint="default"/>
      </w:rPr>
    </w:lvl>
    <w:lvl w:ilvl="1">
      <w:start w:val="1"/>
      <w:numFmt w:val="upperLetter"/>
      <w:lvlText w:val="%2."/>
      <w:lvlJc w:val="left"/>
      <w:pPr>
        <w:tabs>
          <w:tab w:val="num" w:pos="397"/>
        </w:tabs>
        <w:ind w:left="397" w:hanging="397"/>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2.%3.%4"/>
      <w:lvlJc w:val="left"/>
      <w:pPr>
        <w:tabs>
          <w:tab w:val="num" w:pos="1134"/>
        </w:tabs>
        <w:ind w:left="1134" w:hanging="1134"/>
      </w:pPr>
      <w:rPr>
        <w:rFonts w:hint="default"/>
      </w:rPr>
    </w:lvl>
    <w:lvl w:ilvl="4">
      <w:start w:val="1"/>
      <w:numFmt w:val="lowerLetter"/>
      <w:lvlText w:val="(%5)"/>
      <w:lvlJc w:val="left"/>
      <w:pPr>
        <w:tabs>
          <w:tab w:val="num" w:pos="1134"/>
        </w:tabs>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45" w15:restartNumberingAfterBreak="0">
    <w:nsid w:val="7B605A3B"/>
    <w:multiLevelType w:val="multilevel"/>
    <w:tmpl w:val="C6A8BC80"/>
    <w:numStyleLink w:val="myHeadingNumbcMYP"/>
  </w:abstractNum>
  <w:abstractNum w:abstractNumId="46" w15:restartNumberingAfterBreak="0">
    <w:nsid w:val="7DFF7BCF"/>
    <w:multiLevelType w:val="multilevel"/>
    <w:tmpl w:val="71184532"/>
    <w:numStyleLink w:val="myBulletMultilevel"/>
  </w:abstractNum>
  <w:num w:numId="1">
    <w:abstractNumId w:val="34"/>
  </w:num>
  <w:num w:numId="2">
    <w:abstractNumId w:val="1"/>
  </w:num>
  <w:num w:numId="3">
    <w:abstractNumId w:val="6"/>
  </w:num>
  <w:num w:numId="4">
    <w:abstractNumId w:val="24"/>
  </w:num>
  <w:num w:numId="5">
    <w:abstractNumId w:val="27"/>
  </w:num>
  <w:num w:numId="6">
    <w:abstractNumId w:val="45"/>
  </w:num>
  <w:num w:numId="7">
    <w:abstractNumId w:val="26"/>
  </w:num>
  <w:num w:numId="8">
    <w:abstractNumId w:val="7"/>
  </w:num>
  <w:num w:numId="9">
    <w:abstractNumId w:val="30"/>
  </w:num>
  <w:num w:numId="10">
    <w:abstractNumId w:val="45"/>
  </w:num>
  <w:num w:numId="11">
    <w:abstractNumId w:val="0"/>
  </w:num>
  <w:num w:numId="12">
    <w:abstractNumId w:val="22"/>
  </w:num>
  <w:num w:numId="13">
    <w:abstractNumId w:val="13"/>
  </w:num>
  <w:num w:numId="14">
    <w:abstractNumId w:val="41"/>
  </w:num>
  <w:num w:numId="15">
    <w:abstractNumId w:val="12"/>
  </w:num>
  <w:num w:numId="16">
    <w:abstractNumId w:val="38"/>
  </w:num>
  <w:num w:numId="17">
    <w:abstractNumId w:val="39"/>
  </w:num>
  <w:num w:numId="18">
    <w:abstractNumId w:val="2"/>
  </w:num>
  <w:num w:numId="19">
    <w:abstractNumId w:val="32"/>
  </w:num>
  <w:num w:numId="20">
    <w:abstractNumId w:val="25"/>
  </w:num>
  <w:num w:numId="21">
    <w:abstractNumId w:val="46"/>
  </w:num>
  <w:num w:numId="22">
    <w:abstractNumId w:val="19"/>
  </w:num>
  <w:num w:numId="23">
    <w:abstractNumId w:val="5"/>
  </w:num>
  <w:num w:numId="24">
    <w:abstractNumId w:val="18"/>
  </w:num>
  <w:num w:numId="25">
    <w:abstractNumId w:val="17"/>
  </w:num>
  <w:num w:numId="26">
    <w:abstractNumId w:val="9"/>
  </w:num>
  <w:num w:numId="27">
    <w:abstractNumId w:val="29"/>
  </w:num>
  <w:num w:numId="28">
    <w:abstractNumId w:val="31"/>
  </w:num>
  <w:num w:numId="29">
    <w:abstractNumId w:val="33"/>
  </w:num>
  <w:num w:numId="30">
    <w:abstractNumId w:val="42"/>
  </w:num>
  <w:num w:numId="31">
    <w:abstractNumId w:val="15"/>
  </w:num>
  <w:num w:numId="32">
    <w:abstractNumId w:val="44"/>
  </w:num>
  <w:num w:numId="33">
    <w:abstractNumId w:val="28"/>
  </w:num>
  <w:num w:numId="34">
    <w:abstractNumId w:val="11"/>
    <w:lvlOverride w:ilvl="0">
      <w:lvl w:ilvl="0">
        <w:start w:val="1"/>
        <w:numFmt w:val="decimal"/>
        <w:pStyle w:val="myTObj"/>
        <w:lvlText w:val="SO1.%1:"/>
        <w:lvlJc w:val="left"/>
        <w:pPr>
          <w:tabs>
            <w:tab w:val="num" w:pos="1247"/>
          </w:tabs>
          <w:ind w:left="1253" w:hanging="1253"/>
        </w:pPr>
        <w:rPr>
          <w:rFonts w:cs="Times New Roman"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myTStr"/>
        <w:lvlText w:val="Strategy 1.%1.%2:"/>
        <w:lvlJc w:val="left"/>
        <w:pPr>
          <w:tabs>
            <w:tab w:val="num" w:pos="1247"/>
          </w:tabs>
          <w:ind w:left="1253" w:hanging="1253"/>
        </w:pPr>
        <w:rPr>
          <w:rFonts w:ascii="Arial Narrow" w:hAnsi="Arial Narrow" w:hint="default"/>
          <w:b w:val="0"/>
        </w:rPr>
      </w:lvl>
    </w:lvlOverride>
    <w:lvlOverride w:ilvl="2">
      <w:lvl w:ilvl="2">
        <w:start w:val="1"/>
        <w:numFmt w:val="decimal"/>
        <w:pStyle w:val="myTAct"/>
        <w:lvlText w:val="1.1.1.%3:"/>
        <w:lvlJc w:val="left"/>
        <w:pPr>
          <w:tabs>
            <w:tab w:val="num" w:pos="1247"/>
          </w:tabs>
          <w:ind w:left="1253" w:hanging="125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tabs>
            <w:tab w:val="num" w:pos="1247"/>
          </w:tabs>
          <w:ind w:left="1253" w:hanging="1253"/>
        </w:pPr>
        <w:rPr>
          <w:rFonts w:hint="default"/>
        </w:rPr>
      </w:lvl>
    </w:lvlOverride>
    <w:lvlOverride w:ilvl="4">
      <w:lvl w:ilvl="4">
        <w:start w:val="1"/>
        <w:numFmt w:val="lowerLetter"/>
        <w:lvlText w:val="(%5)"/>
        <w:lvlJc w:val="left"/>
        <w:pPr>
          <w:tabs>
            <w:tab w:val="num" w:pos="1247"/>
          </w:tabs>
          <w:ind w:left="1253" w:hanging="1253"/>
        </w:pPr>
        <w:rPr>
          <w:rFonts w:hint="default"/>
        </w:rPr>
      </w:lvl>
    </w:lvlOverride>
    <w:lvlOverride w:ilvl="5">
      <w:lvl w:ilvl="5">
        <w:start w:val="1"/>
        <w:numFmt w:val="lowerRoman"/>
        <w:lvlText w:val="(%6)"/>
        <w:lvlJc w:val="left"/>
        <w:pPr>
          <w:tabs>
            <w:tab w:val="num" w:pos="1247"/>
          </w:tabs>
          <w:ind w:left="1253" w:hanging="1253"/>
        </w:pPr>
        <w:rPr>
          <w:rFonts w:hint="default"/>
        </w:rPr>
      </w:lvl>
    </w:lvlOverride>
    <w:lvlOverride w:ilvl="6">
      <w:lvl w:ilvl="6">
        <w:start w:val="1"/>
        <w:numFmt w:val="decimal"/>
        <w:lvlText w:val="%7."/>
        <w:lvlJc w:val="left"/>
        <w:pPr>
          <w:tabs>
            <w:tab w:val="num" w:pos="1247"/>
          </w:tabs>
          <w:ind w:left="1253" w:hanging="1253"/>
        </w:pPr>
        <w:rPr>
          <w:rFonts w:hint="default"/>
        </w:rPr>
      </w:lvl>
    </w:lvlOverride>
    <w:lvlOverride w:ilvl="7">
      <w:lvl w:ilvl="7">
        <w:start w:val="1"/>
        <w:numFmt w:val="lowerLetter"/>
        <w:lvlText w:val="%8."/>
        <w:lvlJc w:val="left"/>
        <w:pPr>
          <w:tabs>
            <w:tab w:val="num" w:pos="1247"/>
          </w:tabs>
          <w:ind w:left="1253" w:hanging="1253"/>
        </w:pPr>
        <w:rPr>
          <w:rFonts w:hint="default"/>
        </w:rPr>
      </w:lvl>
    </w:lvlOverride>
    <w:lvlOverride w:ilvl="8">
      <w:lvl w:ilvl="8">
        <w:start w:val="1"/>
        <w:numFmt w:val="lowerRoman"/>
        <w:lvlText w:val="%9."/>
        <w:lvlJc w:val="left"/>
        <w:pPr>
          <w:tabs>
            <w:tab w:val="num" w:pos="1247"/>
          </w:tabs>
          <w:ind w:left="1253" w:hanging="1253"/>
        </w:pPr>
        <w:rPr>
          <w:rFonts w:hint="default"/>
        </w:rPr>
      </w:lvl>
    </w:lvlOverride>
  </w:num>
  <w:num w:numId="35">
    <w:abstractNumId w:val="3"/>
  </w:num>
  <w:num w:numId="36">
    <w:abstractNumId w:val="10"/>
  </w:num>
  <w:num w:numId="37">
    <w:abstractNumId w:val="40"/>
  </w:num>
  <w:num w:numId="38">
    <w:abstractNumId w:val="14"/>
    <w:lvlOverride w:ilvl="0">
      <w:lvl w:ilvl="0">
        <w:start w:val="1"/>
        <w:numFmt w:val="upperLetter"/>
        <w:lvlText w:val="Block %1"/>
        <w:lvlJc w:val="left"/>
        <w:pPr>
          <w:ind w:left="567" w:hanging="567"/>
        </w:pPr>
        <w:rPr>
          <w:rFonts w:hint="default"/>
          <w:b/>
          <w:bCs/>
        </w:rPr>
      </w:lvl>
    </w:lvlOverride>
    <w:lvlOverride w:ilvl="1">
      <w:lvl w:ilvl="1">
        <w:start w:val="1"/>
        <w:numFmt w:val="decimal"/>
        <w:lvlText w:val="%1%2"/>
        <w:lvlJc w:val="left"/>
        <w:pPr>
          <w:ind w:left="567" w:hanging="567"/>
        </w:pPr>
        <w:rPr>
          <w:rFonts w:hint="default"/>
          <w:b/>
          <w:bCs/>
        </w:rPr>
      </w:lvl>
    </w:lvlOverride>
  </w:num>
  <w:num w:numId="39">
    <w:abstractNumId w:val="21"/>
  </w:num>
  <w:num w:numId="40">
    <w:abstractNumId w:val="36"/>
  </w:num>
  <w:num w:numId="41">
    <w:abstractNumId w:val="20"/>
  </w:num>
  <w:num w:numId="42">
    <w:abstractNumId w:val="43"/>
  </w:num>
  <w:num w:numId="43">
    <w:abstractNumId w:val="8"/>
  </w:num>
  <w:num w:numId="44">
    <w:abstractNumId w:val="16"/>
  </w:num>
  <w:num w:numId="45">
    <w:abstractNumId w:val="35"/>
  </w:num>
  <w:num w:numId="46">
    <w:abstractNumId w:val="37"/>
  </w:num>
  <w:num w:numId="47">
    <w:abstractNumId w:val="23"/>
  </w:num>
  <w:num w:numId="48">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WyNDQ0NzA1MzMzNTJW0lEKTi0uzszPAykwNKgFAAks3B8tAAAA"/>
  </w:docVars>
  <w:rsids>
    <w:rsidRoot w:val="004A2603"/>
    <w:rsid w:val="000003B0"/>
    <w:rsid w:val="00000C7B"/>
    <w:rsid w:val="00001230"/>
    <w:rsid w:val="00001C16"/>
    <w:rsid w:val="00001C60"/>
    <w:rsid w:val="00001CD5"/>
    <w:rsid w:val="00001FFD"/>
    <w:rsid w:val="00002024"/>
    <w:rsid w:val="00002291"/>
    <w:rsid w:val="00002B03"/>
    <w:rsid w:val="00003976"/>
    <w:rsid w:val="00003C62"/>
    <w:rsid w:val="00004063"/>
    <w:rsid w:val="00004D44"/>
    <w:rsid w:val="0000553A"/>
    <w:rsid w:val="00005A78"/>
    <w:rsid w:val="00005AB5"/>
    <w:rsid w:val="00006349"/>
    <w:rsid w:val="00006CCC"/>
    <w:rsid w:val="00007446"/>
    <w:rsid w:val="000079D0"/>
    <w:rsid w:val="00011BDB"/>
    <w:rsid w:val="00012154"/>
    <w:rsid w:val="00012162"/>
    <w:rsid w:val="00012853"/>
    <w:rsid w:val="00012A6E"/>
    <w:rsid w:val="00012D02"/>
    <w:rsid w:val="00012E0C"/>
    <w:rsid w:val="0001322C"/>
    <w:rsid w:val="0001324A"/>
    <w:rsid w:val="00013286"/>
    <w:rsid w:val="00014D84"/>
    <w:rsid w:val="000153D6"/>
    <w:rsid w:val="00015FC9"/>
    <w:rsid w:val="000169D9"/>
    <w:rsid w:val="00017F2C"/>
    <w:rsid w:val="0002327D"/>
    <w:rsid w:val="0002453B"/>
    <w:rsid w:val="00024B78"/>
    <w:rsid w:val="00025D4A"/>
    <w:rsid w:val="000273DB"/>
    <w:rsid w:val="0002761D"/>
    <w:rsid w:val="00030837"/>
    <w:rsid w:val="00031B2A"/>
    <w:rsid w:val="000322CD"/>
    <w:rsid w:val="00032B97"/>
    <w:rsid w:val="000334EF"/>
    <w:rsid w:val="00033590"/>
    <w:rsid w:val="000345D6"/>
    <w:rsid w:val="000366E2"/>
    <w:rsid w:val="00036BFD"/>
    <w:rsid w:val="00037CFA"/>
    <w:rsid w:val="000406EF"/>
    <w:rsid w:val="00040851"/>
    <w:rsid w:val="00040AF8"/>
    <w:rsid w:val="00040B8A"/>
    <w:rsid w:val="0004155F"/>
    <w:rsid w:val="0004178B"/>
    <w:rsid w:val="00041D4E"/>
    <w:rsid w:val="00041F89"/>
    <w:rsid w:val="00042600"/>
    <w:rsid w:val="00042AFF"/>
    <w:rsid w:val="00042DF2"/>
    <w:rsid w:val="0004353B"/>
    <w:rsid w:val="00043AAA"/>
    <w:rsid w:val="00044D4D"/>
    <w:rsid w:val="000450B0"/>
    <w:rsid w:val="00045895"/>
    <w:rsid w:val="00045C5C"/>
    <w:rsid w:val="00046362"/>
    <w:rsid w:val="00046579"/>
    <w:rsid w:val="000468D7"/>
    <w:rsid w:val="00046D16"/>
    <w:rsid w:val="000477B8"/>
    <w:rsid w:val="00047A2E"/>
    <w:rsid w:val="00050401"/>
    <w:rsid w:val="000505DA"/>
    <w:rsid w:val="00050C68"/>
    <w:rsid w:val="0005135B"/>
    <w:rsid w:val="00051595"/>
    <w:rsid w:val="00051B97"/>
    <w:rsid w:val="000521DD"/>
    <w:rsid w:val="00052914"/>
    <w:rsid w:val="000535E9"/>
    <w:rsid w:val="0005373F"/>
    <w:rsid w:val="000553B8"/>
    <w:rsid w:val="0005626B"/>
    <w:rsid w:val="00056289"/>
    <w:rsid w:val="0005719F"/>
    <w:rsid w:val="00057F5B"/>
    <w:rsid w:val="0006047F"/>
    <w:rsid w:val="00060658"/>
    <w:rsid w:val="00061AAA"/>
    <w:rsid w:val="00062123"/>
    <w:rsid w:val="00062DD0"/>
    <w:rsid w:val="000660A8"/>
    <w:rsid w:val="0006610E"/>
    <w:rsid w:val="00066ECC"/>
    <w:rsid w:val="0007031A"/>
    <w:rsid w:val="00071E96"/>
    <w:rsid w:val="000725FD"/>
    <w:rsid w:val="000743D8"/>
    <w:rsid w:val="00075015"/>
    <w:rsid w:val="00075313"/>
    <w:rsid w:val="00075675"/>
    <w:rsid w:val="0007568E"/>
    <w:rsid w:val="000761C0"/>
    <w:rsid w:val="00076485"/>
    <w:rsid w:val="00076AB1"/>
    <w:rsid w:val="0007747A"/>
    <w:rsid w:val="00080CB4"/>
    <w:rsid w:val="00080CDA"/>
    <w:rsid w:val="00080D5B"/>
    <w:rsid w:val="00081A23"/>
    <w:rsid w:val="00081AF9"/>
    <w:rsid w:val="00081BF9"/>
    <w:rsid w:val="00082CBE"/>
    <w:rsid w:val="0008310C"/>
    <w:rsid w:val="000848BE"/>
    <w:rsid w:val="00086410"/>
    <w:rsid w:val="000866BD"/>
    <w:rsid w:val="00087322"/>
    <w:rsid w:val="00091A70"/>
    <w:rsid w:val="000928BA"/>
    <w:rsid w:val="00093A17"/>
    <w:rsid w:val="0009405D"/>
    <w:rsid w:val="00094FDC"/>
    <w:rsid w:val="000974BE"/>
    <w:rsid w:val="00097C15"/>
    <w:rsid w:val="000A08AB"/>
    <w:rsid w:val="000A0D04"/>
    <w:rsid w:val="000A0D27"/>
    <w:rsid w:val="000A1054"/>
    <w:rsid w:val="000A1507"/>
    <w:rsid w:val="000A1E74"/>
    <w:rsid w:val="000A2561"/>
    <w:rsid w:val="000A3F17"/>
    <w:rsid w:val="000A41F0"/>
    <w:rsid w:val="000A4714"/>
    <w:rsid w:val="000A51B9"/>
    <w:rsid w:val="000A5FA3"/>
    <w:rsid w:val="000A6252"/>
    <w:rsid w:val="000A62BE"/>
    <w:rsid w:val="000B11D4"/>
    <w:rsid w:val="000B25EF"/>
    <w:rsid w:val="000B3DC9"/>
    <w:rsid w:val="000B4007"/>
    <w:rsid w:val="000B4055"/>
    <w:rsid w:val="000B49FF"/>
    <w:rsid w:val="000B4DBA"/>
    <w:rsid w:val="000B5487"/>
    <w:rsid w:val="000B683F"/>
    <w:rsid w:val="000B7110"/>
    <w:rsid w:val="000B7152"/>
    <w:rsid w:val="000C278E"/>
    <w:rsid w:val="000C3744"/>
    <w:rsid w:val="000C4384"/>
    <w:rsid w:val="000C5231"/>
    <w:rsid w:val="000C5485"/>
    <w:rsid w:val="000C5CF7"/>
    <w:rsid w:val="000C6D20"/>
    <w:rsid w:val="000C7CA2"/>
    <w:rsid w:val="000D20C7"/>
    <w:rsid w:val="000D3097"/>
    <w:rsid w:val="000D452D"/>
    <w:rsid w:val="000D62B5"/>
    <w:rsid w:val="000D65FF"/>
    <w:rsid w:val="000D6801"/>
    <w:rsid w:val="000D7C7B"/>
    <w:rsid w:val="000E0CF0"/>
    <w:rsid w:val="000E1F92"/>
    <w:rsid w:val="000E4637"/>
    <w:rsid w:val="000E63F4"/>
    <w:rsid w:val="000F1AFD"/>
    <w:rsid w:val="00100B7F"/>
    <w:rsid w:val="0010191F"/>
    <w:rsid w:val="0010210E"/>
    <w:rsid w:val="00102FC8"/>
    <w:rsid w:val="00103B7E"/>
    <w:rsid w:val="00103DBF"/>
    <w:rsid w:val="00105141"/>
    <w:rsid w:val="001052C7"/>
    <w:rsid w:val="00106B8A"/>
    <w:rsid w:val="00107811"/>
    <w:rsid w:val="001102F9"/>
    <w:rsid w:val="00113285"/>
    <w:rsid w:val="00113B00"/>
    <w:rsid w:val="00113B30"/>
    <w:rsid w:val="00113FDA"/>
    <w:rsid w:val="001141DF"/>
    <w:rsid w:val="00114E75"/>
    <w:rsid w:val="00114F37"/>
    <w:rsid w:val="001202F4"/>
    <w:rsid w:val="001203F0"/>
    <w:rsid w:val="00120CA7"/>
    <w:rsid w:val="00121316"/>
    <w:rsid w:val="001221DF"/>
    <w:rsid w:val="00122A06"/>
    <w:rsid w:val="00125060"/>
    <w:rsid w:val="00125C4D"/>
    <w:rsid w:val="00125D89"/>
    <w:rsid w:val="00125F41"/>
    <w:rsid w:val="00127F48"/>
    <w:rsid w:val="0013005F"/>
    <w:rsid w:val="0013036C"/>
    <w:rsid w:val="00130693"/>
    <w:rsid w:val="00130DEB"/>
    <w:rsid w:val="001315AB"/>
    <w:rsid w:val="00131BF7"/>
    <w:rsid w:val="001324ED"/>
    <w:rsid w:val="001339EE"/>
    <w:rsid w:val="00134354"/>
    <w:rsid w:val="001343FE"/>
    <w:rsid w:val="001351F4"/>
    <w:rsid w:val="001359A9"/>
    <w:rsid w:val="00136A90"/>
    <w:rsid w:val="001405FB"/>
    <w:rsid w:val="001412E0"/>
    <w:rsid w:val="001415E4"/>
    <w:rsid w:val="00141A28"/>
    <w:rsid w:val="00141ABC"/>
    <w:rsid w:val="00142257"/>
    <w:rsid w:val="001425BD"/>
    <w:rsid w:val="00142D92"/>
    <w:rsid w:val="0014397D"/>
    <w:rsid w:val="001445A3"/>
    <w:rsid w:val="00145463"/>
    <w:rsid w:val="00146EB8"/>
    <w:rsid w:val="001477F1"/>
    <w:rsid w:val="001478B3"/>
    <w:rsid w:val="00147A3F"/>
    <w:rsid w:val="001517CE"/>
    <w:rsid w:val="00152182"/>
    <w:rsid w:val="001526E1"/>
    <w:rsid w:val="00154B68"/>
    <w:rsid w:val="00154EF0"/>
    <w:rsid w:val="00155026"/>
    <w:rsid w:val="00155441"/>
    <w:rsid w:val="00155A92"/>
    <w:rsid w:val="00156BB6"/>
    <w:rsid w:val="00156EE5"/>
    <w:rsid w:val="00160629"/>
    <w:rsid w:val="001608CB"/>
    <w:rsid w:val="00161F83"/>
    <w:rsid w:val="00162012"/>
    <w:rsid w:val="0016228F"/>
    <w:rsid w:val="00163F18"/>
    <w:rsid w:val="00164597"/>
    <w:rsid w:val="00164AC7"/>
    <w:rsid w:val="0016556C"/>
    <w:rsid w:val="0016632C"/>
    <w:rsid w:val="00166978"/>
    <w:rsid w:val="00166C1F"/>
    <w:rsid w:val="00167381"/>
    <w:rsid w:val="00167AAB"/>
    <w:rsid w:val="00167B56"/>
    <w:rsid w:val="0017031C"/>
    <w:rsid w:val="00170D81"/>
    <w:rsid w:val="001719D4"/>
    <w:rsid w:val="00171F0D"/>
    <w:rsid w:val="00172E8A"/>
    <w:rsid w:val="00173216"/>
    <w:rsid w:val="001733A2"/>
    <w:rsid w:val="00174D78"/>
    <w:rsid w:val="00174FF8"/>
    <w:rsid w:val="00175419"/>
    <w:rsid w:val="001756F5"/>
    <w:rsid w:val="0017577E"/>
    <w:rsid w:val="00176228"/>
    <w:rsid w:val="001774B8"/>
    <w:rsid w:val="00180AFF"/>
    <w:rsid w:val="00183429"/>
    <w:rsid w:val="0018374D"/>
    <w:rsid w:val="0018434D"/>
    <w:rsid w:val="00184B9B"/>
    <w:rsid w:val="00184BE7"/>
    <w:rsid w:val="00184FDB"/>
    <w:rsid w:val="00185219"/>
    <w:rsid w:val="00185790"/>
    <w:rsid w:val="00185B09"/>
    <w:rsid w:val="00185B8F"/>
    <w:rsid w:val="001902B1"/>
    <w:rsid w:val="00190548"/>
    <w:rsid w:val="00190801"/>
    <w:rsid w:val="00191309"/>
    <w:rsid w:val="00191973"/>
    <w:rsid w:val="0019242B"/>
    <w:rsid w:val="001933A1"/>
    <w:rsid w:val="00193878"/>
    <w:rsid w:val="00194A60"/>
    <w:rsid w:val="00196043"/>
    <w:rsid w:val="00197327"/>
    <w:rsid w:val="00197F0E"/>
    <w:rsid w:val="001A0862"/>
    <w:rsid w:val="001A0BED"/>
    <w:rsid w:val="001A133E"/>
    <w:rsid w:val="001A24DB"/>
    <w:rsid w:val="001A268F"/>
    <w:rsid w:val="001A37DB"/>
    <w:rsid w:val="001A602C"/>
    <w:rsid w:val="001A6267"/>
    <w:rsid w:val="001A6920"/>
    <w:rsid w:val="001A7B30"/>
    <w:rsid w:val="001B025F"/>
    <w:rsid w:val="001B0A97"/>
    <w:rsid w:val="001B145C"/>
    <w:rsid w:val="001B1623"/>
    <w:rsid w:val="001B1EE6"/>
    <w:rsid w:val="001B20F7"/>
    <w:rsid w:val="001B218F"/>
    <w:rsid w:val="001B3429"/>
    <w:rsid w:val="001B48E7"/>
    <w:rsid w:val="001B51B2"/>
    <w:rsid w:val="001B6B3C"/>
    <w:rsid w:val="001C049B"/>
    <w:rsid w:val="001C15B3"/>
    <w:rsid w:val="001C1C24"/>
    <w:rsid w:val="001C236E"/>
    <w:rsid w:val="001C23C5"/>
    <w:rsid w:val="001C23E0"/>
    <w:rsid w:val="001C2DBC"/>
    <w:rsid w:val="001C346D"/>
    <w:rsid w:val="001C4831"/>
    <w:rsid w:val="001C5E63"/>
    <w:rsid w:val="001C5F76"/>
    <w:rsid w:val="001D0829"/>
    <w:rsid w:val="001D1025"/>
    <w:rsid w:val="001D161C"/>
    <w:rsid w:val="001D2398"/>
    <w:rsid w:val="001D310D"/>
    <w:rsid w:val="001D34B3"/>
    <w:rsid w:val="001D3827"/>
    <w:rsid w:val="001D458B"/>
    <w:rsid w:val="001D46A7"/>
    <w:rsid w:val="001D4A6B"/>
    <w:rsid w:val="001D4A71"/>
    <w:rsid w:val="001E06D0"/>
    <w:rsid w:val="001E19B3"/>
    <w:rsid w:val="001E19C8"/>
    <w:rsid w:val="001E2339"/>
    <w:rsid w:val="001E24A2"/>
    <w:rsid w:val="001E3043"/>
    <w:rsid w:val="001E361E"/>
    <w:rsid w:val="001E432A"/>
    <w:rsid w:val="001E4E36"/>
    <w:rsid w:val="001E568E"/>
    <w:rsid w:val="001E60CD"/>
    <w:rsid w:val="001E678F"/>
    <w:rsid w:val="001F0ED6"/>
    <w:rsid w:val="001F11C8"/>
    <w:rsid w:val="001F1654"/>
    <w:rsid w:val="001F1D3E"/>
    <w:rsid w:val="001F2711"/>
    <w:rsid w:val="001F36B6"/>
    <w:rsid w:val="001F3FB8"/>
    <w:rsid w:val="001F4C74"/>
    <w:rsid w:val="001F4F54"/>
    <w:rsid w:val="001F55DA"/>
    <w:rsid w:val="001F6969"/>
    <w:rsid w:val="001F77BB"/>
    <w:rsid w:val="001F7D5F"/>
    <w:rsid w:val="002007F5"/>
    <w:rsid w:val="002017C6"/>
    <w:rsid w:val="00202544"/>
    <w:rsid w:val="002048A1"/>
    <w:rsid w:val="00204FA7"/>
    <w:rsid w:val="0020504C"/>
    <w:rsid w:val="002062E2"/>
    <w:rsid w:val="00206922"/>
    <w:rsid w:val="00206FBB"/>
    <w:rsid w:val="002070CD"/>
    <w:rsid w:val="002072AB"/>
    <w:rsid w:val="00207562"/>
    <w:rsid w:val="0021017C"/>
    <w:rsid w:val="002116EC"/>
    <w:rsid w:val="00211E7B"/>
    <w:rsid w:val="00214344"/>
    <w:rsid w:val="00214517"/>
    <w:rsid w:val="002145A4"/>
    <w:rsid w:val="002145D3"/>
    <w:rsid w:val="0021480E"/>
    <w:rsid w:val="00214866"/>
    <w:rsid w:val="0021503A"/>
    <w:rsid w:val="002150F0"/>
    <w:rsid w:val="00215A8D"/>
    <w:rsid w:val="00215C81"/>
    <w:rsid w:val="00215F51"/>
    <w:rsid w:val="00216586"/>
    <w:rsid w:val="002202E7"/>
    <w:rsid w:val="00221F27"/>
    <w:rsid w:val="00222459"/>
    <w:rsid w:val="002225C3"/>
    <w:rsid w:val="002226A0"/>
    <w:rsid w:val="0022431E"/>
    <w:rsid w:val="002245FA"/>
    <w:rsid w:val="00227695"/>
    <w:rsid w:val="0022769D"/>
    <w:rsid w:val="00227FD8"/>
    <w:rsid w:val="00230067"/>
    <w:rsid w:val="0023191C"/>
    <w:rsid w:val="00231E97"/>
    <w:rsid w:val="00232126"/>
    <w:rsid w:val="00232DB9"/>
    <w:rsid w:val="002337F5"/>
    <w:rsid w:val="002338B5"/>
    <w:rsid w:val="00233FE7"/>
    <w:rsid w:val="0023525F"/>
    <w:rsid w:val="00235AC7"/>
    <w:rsid w:val="00236244"/>
    <w:rsid w:val="00236A43"/>
    <w:rsid w:val="00237461"/>
    <w:rsid w:val="002405FF"/>
    <w:rsid w:val="00240BB7"/>
    <w:rsid w:val="00242083"/>
    <w:rsid w:val="002423A2"/>
    <w:rsid w:val="00242F92"/>
    <w:rsid w:val="002432A5"/>
    <w:rsid w:val="00244156"/>
    <w:rsid w:val="002444D2"/>
    <w:rsid w:val="002470A8"/>
    <w:rsid w:val="00247D4F"/>
    <w:rsid w:val="00250968"/>
    <w:rsid w:val="00250AD4"/>
    <w:rsid w:val="00250C51"/>
    <w:rsid w:val="002519D6"/>
    <w:rsid w:val="00251B92"/>
    <w:rsid w:val="00251C9C"/>
    <w:rsid w:val="002526B4"/>
    <w:rsid w:val="00253E40"/>
    <w:rsid w:val="00253E9F"/>
    <w:rsid w:val="00254C70"/>
    <w:rsid w:val="00254F69"/>
    <w:rsid w:val="002550DB"/>
    <w:rsid w:val="00255628"/>
    <w:rsid w:val="00255AF6"/>
    <w:rsid w:val="0025777E"/>
    <w:rsid w:val="00257851"/>
    <w:rsid w:val="00260DCF"/>
    <w:rsid w:val="0026104D"/>
    <w:rsid w:val="00262359"/>
    <w:rsid w:val="002627FF"/>
    <w:rsid w:val="00262AAF"/>
    <w:rsid w:val="00262B26"/>
    <w:rsid w:val="00266FE1"/>
    <w:rsid w:val="002675D8"/>
    <w:rsid w:val="0027011D"/>
    <w:rsid w:val="0027175A"/>
    <w:rsid w:val="002726B4"/>
    <w:rsid w:val="00275A88"/>
    <w:rsid w:val="00275E93"/>
    <w:rsid w:val="00281234"/>
    <w:rsid w:val="00281332"/>
    <w:rsid w:val="002817CC"/>
    <w:rsid w:val="00282E1B"/>
    <w:rsid w:val="00283B60"/>
    <w:rsid w:val="00283D1E"/>
    <w:rsid w:val="002843F4"/>
    <w:rsid w:val="0028440B"/>
    <w:rsid w:val="00284B50"/>
    <w:rsid w:val="0028501F"/>
    <w:rsid w:val="002855E0"/>
    <w:rsid w:val="00286FCC"/>
    <w:rsid w:val="002929EB"/>
    <w:rsid w:val="00292B19"/>
    <w:rsid w:val="00293200"/>
    <w:rsid w:val="002936D6"/>
    <w:rsid w:val="00293775"/>
    <w:rsid w:val="0029435D"/>
    <w:rsid w:val="00294429"/>
    <w:rsid w:val="00295632"/>
    <w:rsid w:val="0029646F"/>
    <w:rsid w:val="00297057"/>
    <w:rsid w:val="00297B6B"/>
    <w:rsid w:val="00297CE1"/>
    <w:rsid w:val="002A094A"/>
    <w:rsid w:val="002A1CC9"/>
    <w:rsid w:val="002A1F4B"/>
    <w:rsid w:val="002A2D0C"/>
    <w:rsid w:val="002A3300"/>
    <w:rsid w:val="002A3997"/>
    <w:rsid w:val="002A44D0"/>
    <w:rsid w:val="002A713C"/>
    <w:rsid w:val="002A7BBA"/>
    <w:rsid w:val="002B0D45"/>
    <w:rsid w:val="002B158F"/>
    <w:rsid w:val="002B1B13"/>
    <w:rsid w:val="002B1EB5"/>
    <w:rsid w:val="002B29D5"/>
    <w:rsid w:val="002B3C31"/>
    <w:rsid w:val="002B44C1"/>
    <w:rsid w:val="002B55AC"/>
    <w:rsid w:val="002B5CD1"/>
    <w:rsid w:val="002B6389"/>
    <w:rsid w:val="002B7979"/>
    <w:rsid w:val="002C0196"/>
    <w:rsid w:val="002C0787"/>
    <w:rsid w:val="002C0BB9"/>
    <w:rsid w:val="002C3D5B"/>
    <w:rsid w:val="002C4901"/>
    <w:rsid w:val="002C4FEC"/>
    <w:rsid w:val="002C5680"/>
    <w:rsid w:val="002C5A75"/>
    <w:rsid w:val="002C5C9B"/>
    <w:rsid w:val="002C5E58"/>
    <w:rsid w:val="002C5E5E"/>
    <w:rsid w:val="002C6EF1"/>
    <w:rsid w:val="002C79E2"/>
    <w:rsid w:val="002C7D31"/>
    <w:rsid w:val="002D022C"/>
    <w:rsid w:val="002D06A1"/>
    <w:rsid w:val="002D06E7"/>
    <w:rsid w:val="002D0DC7"/>
    <w:rsid w:val="002D144D"/>
    <w:rsid w:val="002D1BB2"/>
    <w:rsid w:val="002D2150"/>
    <w:rsid w:val="002D285D"/>
    <w:rsid w:val="002D42E4"/>
    <w:rsid w:val="002D437A"/>
    <w:rsid w:val="002D451F"/>
    <w:rsid w:val="002D691B"/>
    <w:rsid w:val="002D7A65"/>
    <w:rsid w:val="002D7D68"/>
    <w:rsid w:val="002E04D1"/>
    <w:rsid w:val="002E1998"/>
    <w:rsid w:val="002E1DF5"/>
    <w:rsid w:val="002E26AD"/>
    <w:rsid w:val="002E4675"/>
    <w:rsid w:val="002E48BE"/>
    <w:rsid w:val="002E4D41"/>
    <w:rsid w:val="002E6CF1"/>
    <w:rsid w:val="002F01F9"/>
    <w:rsid w:val="002F1CEE"/>
    <w:rsid w:val="002F2730"/>
    <w:rsid w:val="002F2E3C"/>
    <w:rsid w:val="002F3C28"/>
    <w:rsid w:val="002F404D"/>
    <w:rsid w:val="002F4DB8"/>
    <w:rsid w:val="002F6AE5"/>
    <w:rsid w:val="002F7A28"/>
    <w:rsid w:val="00300352"/>
    <w:rsid w:val="003006CE"/>
    <w:rsid w:val="003016D7"/>
    <w:rsid w:val="00301A5B"/>
    <w:rsid w:val="00301CA0"/>
    <w:rsid w:val="00301F51"/>
    <w:rsid w:val="00302AAA"/>
    <w:rsid w:val="00302FB7"/>
    <w:rsid w:val="00303DCA"/>
    <w:rsid w:val="00304372"/>
    <w:rsid w:val="0030556B"/>
    <w:rsid w:val="00305630"/>
    <w:rsid w:val="003066AA"/>
    <w:rsid w:val="00306A0A"/>
    <w:rsid w:val="003105CC"/>
    <w:rsid w:val="00311827"/>
    <w:rsid w:val="00311F88"/>
    <w:rsid w:val="0031245D"/>
    <w:rsid w:val="00313D05"/>
    <w:rsid w:val="00314285"/>
    <w:rsid w:val="00315B76"/>
    <w:rsid w:val="003161BB"/>
    <w:rsid w:val="0031646C"/>
    <w:rsid w:val="00316D5B"/>
    <w:rsid w:val="00316E44"/>
    <w:rsid w:val="0031714B"/>
    <w:rsid w:val="003174EA"/>
    <w:rsid w:val="0031767C"/>
    <w:rsid w:val="00317AF8"/>
    <w:rsid w:val="003206F1"/>
    <w:rsid w:val="0032080C"/>
    <w:rsid w:val="00320AA5"/>
    <w:rsid w:val="00320E47"/>
    <w:rsid w:val="00321400"/>
    <w:rsid w:val="00321957"/>
    <w:rsid w:val="00321B8A"/>
    <w:rsid w:val="00321EA8"/>
    <w:rsid w:val="00322136"/>
    <w:rsid w:val="003223CF"/>
    <w:rsid w:val="00323F48"/>
    <w:rsid w:val="00324225"/>
    <w:rsid w:val="00324A51"/>
    <w:rsid w:val="003251A6"/>
    <w:rsid w:val="00325503"/>
    <w:rsid w:val="00326ACB"/>
    <w:rsid w:val="00326F81"/>
    <w:rsid w:val="00327D68"/>
    <w:rsid w:val="00330A76"/>
    <w:rsid w:val="00330BA3"/>
    <w:rsid w:val="00331F23"/>
    <w:rsid w:val="00334EEF"/>
    <w:rsid w:val="0033574E"/>
    <w:rsid w:val="00335EE4"/>
    <w:rsid w:val="0033604A"/>
    <w:rsid w:val="00336542"/>
    <w:rsid w:val="00336D02"/>
    <w:rsid w:val="003377C8"/>
    <w:rsid w:val="00337A49"/>
    <w:rsid w:val="00340870"/>
    <w:rsid w:val="00340A89"/>
    <w:rsid w:val="00340C62"/>
    <w:rsid w:val="00341644"/>
    <w:rsid w:val="00343BBC"/>
    <w:rsid w:val="00343C79"/>
    <w:rsid w:val="00343CFC"/>
    <w:rsid w:val="00344C64"/>
    <w:rsid w:val="0034500F"/>
    <w:rsid w:val="00345EB7"/>
    <w:rsid w:val="00347D5D"/>
    <w:rsid w:val="00347F86"/>
    <w:rsid w:val="003506B9"/>
    <w:rsid w:val="003507D0"/>
    <w:rsid w:val="00351006"/>
    <w:rsid w:val="003512E9"/>
    <w:rsid w:val="0035184F"/>
    <w:rsid w:val="003518C3"/>
    <w:rsid w:val="003523B4"/>
    <w:rsid w:val="00352CF6"/>
    <w:rsid w:val="003535D5"/>
    <w:rsid w:val="0035421F"/>
    <w:rsid w:val="003554A3"/>
    <w:rsid w:val="003555DF"/>
    <w:rsid w:val="00356460"/>
    <w:rsid w:val="00356ABB"/>
    <w:rsid w:val="00356E09"/>
    <w:rsid w:val="00357974"/>
    <w:rsid w:val="00357C74"/>
    <w:rsid w:val="00357E7B"/>
    <w:rsid w:val="003600F2"/>
    <w:rsid w:val="0036231B"/>
    <w:rsid w:val="00366F6D"/>
    <w:rsid w:val="00367147"/>
    <w:rsid w:val="003671A7"/>
    <w:rsid w:val="0036725A"/>
    <w:rsid w:val="00367C1A"/>
    <w:rsid w:val="00367F17"/>
    <w:rsid w:val="00370877"/>
    <w:rsid w:val="00370E56"/>
    <w:rsid w:val="003718FC"/>
    <w:rsid w:val="00371F11"/>
    <w:rsid w:val="003722DB"/>
    <w:rsid w:val="00372901"/>
    <w:rsid w:val="00372C83"/>
    <w:rsid w:val="0037313F"/>
    <w:rsid w:val="0037370D"/>
    <w:rsid w:val="00374C59"/>
    <w:rsid w:val="00374C5C"/>
    <w:rsid w:val="00374CE1"/>
    <w:rsid w:val="00377026"/>
    <w:rsid w:val="00377784"/>
    <w:rsid w:val="003777FA"/>
    <w:rsid w:val="00380768"/>
    <w:rsid w:val="00381BDB"/>
    <w:rsid w:val="00382F41"/>
    <w:rsid w:val="003830B4"/>
    <w:rsid w:val="003839D8"/>
    <w:rsid w:val="0038466F"/>
    <w:rsid w:val="00384C4C"/>
    <w:rsid w:val="003854FD"/>
    <w:rsid w:val="00385562"/>
    <w:rsid w:val="00385569"/>
    <w:rsid w:val="00385B72"/>
    <w:rsid w:val="00385F5D"/>
    <w:rsid w:val="00386526"/>
    <w:rsid w:val="003873C2"/>
    <w:rsid w:val="00387B07"/>
    <w:rsid w:val="00390AA2"/>
    <w:rsid w:val="00391B9E"/>
    <w:rsid w:val="003925E3"/>
    <w:rsid w:val="00393284"/>
    <w:rsid w:val="003932C7"/>
    <w:rsid w:val="00393843"/>
    <w:rsid w:val="00395191"/>
    <w:rsid w:val="00396423"/>
    <w:rsid w:val="0039651D"/>
    <w:rsid w:val="00396744"/>
    <w:rsid w:val="00396EEC"/>
    <w:rsid w:val="003978AF"/>
    <w:rsid w:val="003A087A"/>
    <w:rsid w:val="003A0FB8"/>
    <w:rsid w:val="003A12C5"/>
    <w:rsid w:val="003A1BA7"/>
    <w:rsid w:val="003A25CF"/>
    <w:rsid w:val="003A3159"/>
    <w:rsid w:val="003A5266"/>
    <w:rsid w:val="003A6268"/>
    <w:rsid w:val="003A6F78"/>
    <w:rsid w:val="003B0334"/>
    <w:rsid w:val="003B202A"/>
    <w:rsid w:val="003B42A5"/>
    <w:rsid w:val="003B4786"/>
    <w:rsid w:val="003B63B7"/>
    <w:rsid w:val="003B7A64"/>
    <w:rsid w:val="003B7FF3"/>
    <w:rsid w:val="003C0CED"/>
    <w:rsid w:val="003C22DD"/>
    <w:rsid w:val="003C2A4F"/>
    <w:rsid w:val="003C3721"/>
    <w:rsid w:val="003C3D53"/>
    <w:rsid w:val="003C49E7"/>
    <w:rsid w:val="003C4CD7"/>
    <w:rsid w:val="003C5436"/>
    <w:rsid w:val="003C6D90"/>
    <w:rsid w:val="003C766C"/>
    <w:rsid w:val="003C768C"/>
    <w:rsid w:val="003D01D8"/>
    <w:rsid w:val="003D0DCB"/>
    <w:rsid w:val="003D0FFC"/>
    <w:rsid w:val="003D14CD"/>
    <w:rsid w:val="003D1559"/>
    <w:rsid w:val="003D174C"/>
    <w:rsid w:val="003D2263"/>
    <w:rsid w:val="003D238F"/>
    <w:rsid w:val="003D2AC4"/>
    <w:rsid w:val="003D318A"/>
    <w:rsid w:val="003D3812"/>
    <w:rsid w:val="003D55A8"/>
    <w:rsid w:val="003D56D8"/>
    <w:rsid w:val="003D737B"/>
    <w:rsid w:val="003D7C72"/>
    <w:rsid w:val="003E06F8"/>
    <w:rsid w:val="003E0A04"/>
    <w:rsid w:val="003E0B62"/>
    <w:rsid w:val="003E0C50"/>
    <w:rsid w:val="003E1C20"/>
    <w:rsid w:val="003E479D"/>
    <w:rsid w:val="003E4918"/>
    <w:rsid w:val="003E5B33"/>
    <w:rsid w:val="003E5B5F"/>
    <w:rsid w:val="003E5BF0"/>
    <w:rsid w:val="003E7ACB"/>
    <w:rsid w:val="003F0564"/>
    <w:rsid w:val="003F081B"/>
    <w:rsid w:val="003F0E7A"/>
    <w:rsid w:val="003F0F0A"/>
    <w:rsid w:val="003F1CBD"/>
    <w:rsid w:val="003F1D08"/>
    <w:rsid w:val="003F1EFF"/>
    <w:rsid w:val="003F35CA"/>
    <w:rsid w:val="003F35DD"/>
    <w:rsid w:val="003F3832"/>
    <w:rsid w:val="003F39F1"/>
    <w:rsid w:val="003F402D"/>
    <w:rsid w:val="003F5CCF"/>
    <w:rsid w:val="004003A3"/>
    <w:rsid w:val="00400CBF"/>
    <w:rsid w:val="00401EF8"/>
    <w:rsid w:val="00402B82"/>
    <w:rsid w:val="004032F7"/>
    <w:rsid w:val="00404479"/>
    <w:rsid w:val="0040672F"/>
    <w:rsid w:val="00407CC9"/>
    <w:rsid w:val="004102D0"/>
    <w:rsid w:val="00410C43"/>
    <w:rsid w:val="00410CAD"/>
    <w:rsid w:val="00411F17"/>
    <w:rsid w:val="00412136"/>
    <w:rsid w:val="004125B7"/>
    <w:rsid w:val="00413230"/>
    <w:rsid w:val="004138D9"/>
    <w:rsid w:val="004144DE"/>
    <w:rsid w:val="004149ED"/>
    <w:rsid w:val="00414D70"/>
    <w:rsid w:val="0041764D"/>
    <w:rsid w:val="0041793A"/>
    <w:rsid w:val="0042022C"/>
    <w:rsid w:val="0042049B"/>
    <w:rsid w:val="00421AAA"/>
    <w:rsid w:val="004237C7"/>
    <w:rsid w:val="00423B0A"/>
    <w:rsid w:val="00423D8A"/>
    <w:rsid w:val="004249C9"/>
    <w:rsid w:val="00426F1F"/>
    <w:rsid w:val="00427F2C"/>
    <w:rsid w:val="004311DA"/>
    <w:rsid w:val="004313B2"/>
    <w:rsid w:val="00431C5B"/>
    <w:rsid w:val="00431D58"/>
    <w:rsid w:val="00432E7E"/>
    <w:rsid w:val="00433340"/>
    <w:rsid w:val="004339C7"/>
    <w:rsid w:val="00433ED2"/>
    <w:rsid w:val="0043449B"/>
    <w:rsid w:val="00434761"/>
    <w:rsid w:val="00434B2D"/>
    <w:rsid w:val="00434DC7"/>
    <w:rsid w:val="00434F33"/>
    <w:rsid w:val="00434FF2"/>
    <w:rsid w:val="00435447"/>
    <w:rsid w:val="00435493"/>
    <w:rsid w:val="00435AE9"/>
    <w:rsid w:val="0043651D"/>
    <w:rsid w:val="00436D68"/>
    <w:rsid w:val="004379A0"/>
    <w:rsid w:val="00437B62"/>
    <w:rsid w:val="00441138"/>
    <w:rsid w:val="004419CD"/>
    <w:rsid w:val="00442162"/>
    <w:rsid w:val="00442DC5"/>
    <w:rsid w:val="0044351E"/>
    <w:rsid w:val="004435BE"/>
    <w:rsid w:val="00445C63"/>
    <w:rsid w:val="004474AB"/>
    <w:rsid w:val="00447FC4"/>
    <w:rsid w:val="0045059D"/>
    <w:rsid w:val="00450F2A"/>
    <w:rsid w:val="004510C7"/>
    <w:rsid w:val="0045116D"/>
    <w:rsid w:val="0045133D"/>
    <w:rsid w:val="0045224E"/>
    <w:rsid w:val="004522CF"/>
    <w:rsid w:val="00452B58"/>
    <w:rsid w:val="00454DD5"/>
    <w:rsid w:val="00455CB8"/>
    <w:rsid w:val="00455F95"/>
    <w:rsid w:val="00460D0C"/>
    <w:rsid w:val="00461542"/>
    <w:rsid w:val="00465B19"/>
    <w:rsid w:val="0046699F"/>
    <w:rsid w:val="00470443"/>
    <w:rsid w:val="004705FD"/>
    <w:rsid w:val="004717EA"/>
    <w:rsid w:val="00471940"/>
    <w:rsid w:val="004720FA"/>
    <w:rsid w:val="004720FC"/>
    <w:rsid w:val="00472572"/>
    <w:rsid w:val="00473A5D"/>
    <w:rsid w:val="00473D4C"/>
    <w:rsid w:val="004744AE"/>
    <w:rsid w:val="00475F5C"/>
    <w:rsid w:val="00476176"/>
    <w:rsid w:val="0047736A"/>
    <w:rsid w:val="00477A5D"/>
    <w:rsid w:val="00477EB5"/>
    <w:rsid w:val="0048040C"/>
    <w:rsid w:val="00480CA5"/>
    <w:rsid w:val="00480D19"/>
    <w:rsid w:val="00481173"/>
    <w:rsid w:val="0048204A"/>
    <w:rsid w:val="0048303F"/>
    <w:rsid w:val="00484A4F"/>
    <w:rsid w:val="0048558C"/>
    <w:rsid w:val="004905AD"/>
    <w:rsid w:val="00490CD5"/>
    <w:rsid w:val="00491223"/>
    <w:rsid w:val="00491853"/>
    <w:rsid w:val="0049199C"/>
    <w:rsid w:val="00491A43"/>
    <w:rsid w:val="004923D1"/>
    <w:rsid w:val="00493476"/>
    <w:rsid w:val="00494C31"/>
    <w:rsid w:val="00495103"/>
    <w:rsid w:val="00495488"/>
    <w:rsid w:val="00495B48"/>
    <w:rsid w:val="0049626E"/>
    <w:rsid w:val="00496F73"/>
    <w:rsid w:val="0049769E"/>
    <w:rsid w:val="004A069A"/>
    <w:rsid w:val="004A0BAE"/>
    <w:rsid w:val="004A0E18"/>
    <w:rsid w:val="004A15F0"/>
    <w:rsid w:val="004A2603"/>
    <w:rsid w:val="004A26A1"/>
    <w:rsid w:val="004A2C22"/>
    <w:rsid w:val="004A3351"/>
    <w:rsid w:val="004A3EA9"/>
    <w:rsid w:val="004A5154"/>
    <w:rsid w:val="004A6B4C"/>
    <w:rsid w:val="004A7192"/>
    <w:rsid w:val="004A780E"/>
    <w:rsid w:val="004B1292"/>
    <w:rsid w:val="004B13D1"/>
    <w:rsid w:val="004B1D90"/>
    <w:rsid w:val="004B25A7"/>
    <w:rsid w:val="004B301E"/>
    <w:rsid w:val="004B4051"/>
    <w:rsid w:val="004B4273"/>
    <w:rsid w:val="004B5502"/>
    <w:rsid w:val="004B7516"/>
    <w:rsid w:val="004B769D"/>
    <w:rsid w:val="004C01B3"/>
    <w:rsid w:val="004C079C"/>
    <w:rsid w:val="004C0D29"/>
    <w:rsid w:val="004C2C4E"/>
    <w:rsid w:val="004C31DE"/>
    <w:rsid w:val="004C45EE"/>
    <w:rsid w:val="004C5180"/>
    <w:rsid w:val="004C5286"/>
    <w:rsid w:val="004C57DD"/>
    <w:rsid w:val="004C601F"/>
    <w:rsid w:val="004C6990"/>
    <w:rsid w:val="004C74E7"/>
    <w:rsid w:val="004C7A71"/>
    <w:rsid w:val="004C7BE3"/>
    <w:rsid w:val="004D056D"/>
    <w:rsid w:val="004D16DF"/>
    <w:rsid w:val="004D1C32"/>
    <w:rsid w:val="004D3CD7"/>
    <w:rsid w:val="004D407A"/>
    <w:rsid w:val="004D4C6E"/>
    <w:rsid w:val="004D55A0"/>
    <w:rsid w:val="004D639C"/>
    <w:rsid w:val="004D6ACD"/>
    <w:rsid w:val="004D7148"/>
    <w:rsid w:val="004D72F4"/>
    <w:rsid w:val="004D747A"/>
    <w:rsid w:val="004D7778"/>
    <w:rsid w:val="004E1DDF"/>
    <w:rsid w:val="004E3992"/>
    <w:rsid w:val="004E4D72"/>
    <w:rsid w:val="004E5ABC"/>
    <w:rsid w:val="004E5BCF"/>
    <w:rsid w:val="004F0C01"/>
    <w:rsid w:val="004F1453"/>
    <w:rsid w:val="004F18A6"/>
    <w:rsid w:val="004F2022"/>
    <w:rsid w:val="004F2394"/>
    <w:rsid w:val="004F42FB"/>
    <w:rsid w:val="004F47B2"/>
    <w:rsid w:val="004F4A15"/>
    <w:rsid w:val="004F50E0"/>
    <w:rsid w:val="004F55DC"/>
    <w:rsid w:val="004F56F6"/>
    <w:rsid w:val="004F5779"/>
    <w:rsid w:val="004F5861"/>
    <w:rsid w:val="004F58FD"/>
    <w:rsid w:val="004F7B58"/>
    <w:rsid w:val="00500872"/>
    <w:rsid w:val="005008F1"/>
    <w:rsid w:val="00501EAF"/>
    <w:rsid w:val="005020E8"/>
    <w:rsid w:val="00502F85"/>
    <w:rsid w:val="00503F18"/>
    <w:rsid w:val="0050516E"/>
    <w:rsid w:val="00505366"/>
    <w:rsid w:val="00505640"/>
    <w:rsid w:val="005063CD"/>
    <w:rsid w:val="0050688A"/>
    <w:rsid w:val="00506E50"/>
    <w:rsid w:val="005070AA"/>
    <w:rsid w:val="00507F4A"/>
    <w:rsid w:val="00510C4B"/>
    <w:rsid w:val="00510DFA"/>
    <w:rsid w:val="0051257E"/>
    <w:rsid w:val="00512723"/>
    <w:rsid w:val="005129F3"/>
    <w:rsid w:val="00513771"/>
    <w:rsid w:val="00513904"/>
    <w:rsid w:val="00513AA7"/>
    <w:rsid w:val="00514F7E"/>
    <w:rsid w:val="00515FBF"/>
    <w:rsid w:val="00517B28"/>
    <w:rsid w:val="00517DD0"/>
    <w:rsid w:val="0052044D"/>
    <w:rsid w:val="005213CF"/>
    <w:rsid w:val="00522BA8"/>
    <w:rsid w:val="005234C9"/>
    <w:rsid w:val="005235F1"/>
    <w:rsid w:val="0052395C"/>
    <w:rsid w:val="00524541"/>
    <w:rsid w:val="005249B5"/>
    <w:rsid w:val="00525D6A"/>
    <w:rsid w:val="00526CCA"/>
    <w:rsid w:val="00526FBF"/>
    <w:rsid w:val="005305EE"/>
    <w:rsid w:val="00530B01"/>
    <w:rsid w:val="00531696"/>
    <w:rsid w:val="00532260"/>
    <w:rsid w:val="00533025"/>
    <w:rsid w:val="00533339"/>
    <w:rsid w:val="0053355C"/>
    <w:rsid w:val="005338CD"/>
    <w:rsid w:val="005353DB"/>
    <w:rsid w:val="0053658F"/>
    <w:rsid w:val="00536F68"/>
    <w:rsid w:val="005406FA"/>
    <w:rsid w:val="00541059"/>
    <w:rsid w:val="00541DD5"/>
    <w:rsid w:val="00542D84"/>
    <w:rsid w:val="00542EC7"/>
    <w:rsid w:val="00543750"/>
    <w:rsid w:val="005439DB"/>
    <w:rsid w:val="005440FB"/>
    <w:rsid w:val="00545F0F"/>
    <w:rsid w:val="00546108"/>
    <w:rsid w:val="005468E8"/>
    <w:rsid w:val="005469F2"/>
    <w:rsid w:val="00546B40"/>
    <w:rsid w:val="00550775"/>
    <w:rsid w:val="00550AEF"/>
    <w:rsid w:val="00551019"/>
    <w:rsid w:val="005522DF"/>
    <w:rsid w:val="00554755"/>
    <w:rsid w:val="00554925"/>
    <w:rsid w:val="00554BAB"/>
    <w:rsid w:val="00554E65"/>
    <w:rsid w:val="00555388"/>
    <w:rsid w:val="00556350"/>
    <w:rsid w:val="005563EE"/>
    <w:rsid w:val="00556762"/>
    <w:rsid w:val="0055732A"/>
    <w:rsid w:val="00560489"/>
    <w:rsid w:val="005613C7"/>
    <w:rsid w:val="005617DF"/>
    <w:rsid w:val="00562C6B"/>
    <w:rsid w:val="00563346"/>
    <w:rsid w:val="0056412A"/>
    <w:rsid w:val="00564822"/>
    <w:rsid w:val="00564E54"/>
    <w:rsid w:val="00565429"/>
    <w:rsid w:val="0056759F"/>
    <w:rsid w:val="0056777B"/>
    <w:rsid w:val="00567C32"/>
    <w:rsid w:val="0057070E"/>
    <w:rsid w:val="00570B11"/>
    <w:rsid w:val="00572806"/>
    <w:rsid w:val="00573AAB"/>
    <w:rsid w:val="00573B19"/>
    <w:rsid w:val="00573FE2"/>
    <w:rsid w:val="0057408E"/>
    <w:rsid w:val="0057451F"/>
    <w:rsid w:val="00574C91"/>
    <w:rsid w:val="00574CD0"/>
    <w:rsid w:val="00576E35"/>
    <w:rsid w:val="005772D9"/>
    <w:rsid w:val="00577604"/>
    <w:rsid w:val="00577AF1"/>
    <w:rsid w:val="0058027C"/>
    <w:rsid w:val="00580DD5"/>
    <w:rsid w:val="00581360"/>
    <w:rsid w:val="00581402"/>
    <w:rsid w:val="0058387C"/>
    <w:rsid w:val="00583C56"/>
    <w:rsid w:val="00583F74"/>
    <w:rsid w:val="00584679"/>
    <w:rsid w:val="00584A29"/>
    <w:rsid w:val="00584BCA"/>
    <w:rsid w:val="00585179"/>
    <w:rsid w:val="00585D61"/>
    <w:rsid w:val="0058645C"/>
    <w:rsid w:val="00586D6C"/>
    <w:rsid w:val="005874D5"/>
    <w:rsid w:val="00587C97"/>
    <w:rsid w:val="00591914"/>
    <w:rsid w:val="00591DDA"/>
    <w:rsid w:val="00592410"/>
    <w:rsid w:val="00593794"/>
    <w:rsid w:val="00593D08"/>
    <w:rsid w:val="00594549"/>
    <w:rsid w:val="005948B9"/>
    <w:rsid w:val="005961B9"/>
    <w:rsid w:val="00596D1A"/>
    <w:rsid w:val="00597553"/>
    <w:rsid w:val="00597BC8"/>
    <w:rsid w:val="005A013C"/>
    <w:rsid w:val="005A1049"/>
    <w:rsid w:val="005A1188"/>
    <w:rsid w:val="005A2281"/>
    <w:rsid w:val="005A22FD"/>
    <w:rsid w:val="005A23E9"/>
    <w:rsid w:val="005A359A"/>
    <w:rsid w:val="005A3C3F"/>
    <w:rsid w:val="005A3D27"/>
    <w:rsid w:val="005A446C"/>
    <w:rsid w:val="005A4CB6"/>
    <w:rsid w:val="005A57CB"/>
    <w:rsid w:val="005B0E6B"/>
    <w:rsid w:val="005B178F"/>
    <w:rsid w:val="005B2BEA"/>
    <w:rsid w:val="005B2EA7"/>
    <w:rsid w:val="005B32CF"/>
    <w:rsid w:val="005B39C3"/>
    <w:rsid w:val="005B43C6"/>
    <w:rsid w:val="005B6BC9"/>
    <w:rsid w:val="005B710F"/>
    <w:rsid w:val="005B71AD"/>
    <w:rsid w:val="005C0543"/>
    <w:rsid w:val="005C111A"/>
    <w:rsid w:val="005C1390"/>
    <w:rsid w:val="005C159B"/>
    <w:rsid w:val="005C15EA"/>
    <w:rsid w:val="005C197E"/>
    <w:rsid w:val="005C199C"/>
    <w:rsid w:val="005C2715"/>
    <w:rsid w:val="005C303D"/>
    <w:rsid w:val="005C30C1"/>
    <w:rsid w:val="005C4AD0"/>
    <w:rsid w:val="005C4BB1"/>
    <w:rsid w:val="005C5FCA"/>
    <w:rsid w:val="005C648C"/>
    <w:rsid w:val="005C6501"/>
    <w:rsid w:val="005C6E3E"/>
    <w:rsid w:val="005D176A"/>
    <w:rsid w:val="005D20A9"/>
    <w:rsid w:val="005D3D7B"/>
    <w:rsid w:val="005D420F"/>
    <w:rsid w:val="005D4897"/>
    <w:rsid w:val="005D4961"/>
    <w:rsid w:val="005D518C"/>
    <w:rsid w:val="005D53BC"/>
    <w:rsid w:val="005D640C"/>
    <w:rsid w:val="005D699F"/>
    <w:rsid w:val="005E0224"/>
    <w:rsid w:val="005E0E12"/>
    <w:rsid w:val="005E2ACA"/>
    <w:rsid w:val="005E2B12"/>
    <w:rsid w:val="005E37DD"/>
    <w:rsid w:val="005E498C"/>
    <w:rsid w:val="005E4CDD"/>
    <w:rsid w:val="005F1C80"/>
    <w:rsid w:val="005F1E09"/>
    <w:rsid w:val="005F26CA"/>
    <w:rsid w:val="005F2AF6"/>
    <w:rsid w:val="005F3C2D"/>
    <w:rsid w:val="005F4AFF"/>
    <w:rsid w:val="005F4D69"/>
    <w:rsid w:val="005F4E1B"/>
    <w:rsid w:val="005F5738"/>
    <w:rsid w:val="005F6D1A"/>
    <w:rsid w:val="005F6D34"/>
    <w:rsid w:val="005F762D"/>
    <w:rsid w:val="005F785F"/>
    <w:rsid w:val="005F7965"/>
    <w:rsid w:val="005F7E6A"/>
    <w:rsid w:val="006001E1"/>
    <w:rsid w:val="0060025E"/>
    <w:rsid w:val="006006C9"/>
    <w:rsid w:val="0060071E"/>
    <w:rsid w:val="00601292"/>
    <w:rsid w:val="00601516"/>
    <w:rsid w:val="00601F64"/>
    <w:rsid w:val="006028C9"/>
    <w:rsid w:val="00602FAA"/>
    <w:rsid w:val="00603126"/>
    <w:rsid w:val="006035D3"/>
    <w:rsid w:val="006036B0"/>
    <w:rsid w:val="0060590A"/>
    <w:rsid w:val="00605B08"/>
    <w:rsid w:val="006064A9"/>
    <w:rsid w:val="00606553"/>
    <w:rsid w:val="00607774"/>
    <w:rsid w:val="00607D2E"/>
    <w:rsid w:val="00611C0D"/>
    <w:rsid w:val="006121B4"/>
    <w:rsid w:val="00612393"/>
    <w:rsid w:val="00612A41"/>
    <w:rsid w:val="00612DCC"/>
    <w:rsid w:val="0061323D"/>
    <w:rsid w:val="00613DED"/>
    <w:rsid w:val="00616DDB"/>
    <w:rsid w:val="00617565"/>
    <w:rsid w:val="00617597"/>
    <w:rsid w:val="006178DD"/>
    <w:rsid w:val="00617C86"/>
    <w:rsid w:val="006209CD"/>
    <w:rsid w:val="00620B6E"/>
    <w:rsid w:val="00620E24"/>
    <w:rsid w:val="0062114B"/>
    <w:rsid w:val="00621884"/>
    <w:rsid w:val="006219CB"/>
    <w:rsid w:val="00622511"/>
    <w:rsid w:val="00624678"/>
    <w:rsid w:val="00624760"/>
    <w:rsid w:val="00625343"/>
    <w:rsid w:val="00626FD2"/>
    <w:rsid w:val="006278EF"/>
    <w:rsid w:val="00630883"/>
    <w:rsid w:val="00631106"/>
    <w:rsid w:val="00633B56"/>
    <w:rsid w:val="006341A1"/>
    <w:rsid w:val="006345E1"/>
    <w:rsid w:val="0063492A"/>
    <w:rsid w:val="006362F7"/>
    <w:rsid w:val="006365FC"/>
    <w:rsid w:val="00636903"/>
    <w:rsid w:val="00636F5F"/>
    <w:rsid w:val="00637134"/>
    <w:rsid w:val="006372AC"/>
    <w:rsid w:val="006378F6"/>
    <w:rsid w:val="00637F0D"/>
    <w:rsid w:val="006409BE"/>
    <w:rsid w:val="006419C1"/>
    <w:rsid w:val="00643489"/>
    <w:rsid w:val="0064349B"/>
    <w:rsid w:val="00643771"/>
    <w:rsid w:val="00643DD8"/>
    <w:rsid w:val="00644B63"/>
    <w:rsid w:val="00645795"/>
    <w:rsid w:val="006457C3"/>
    <w:rsid w:val="006463F7"/>
    <w:rsid w:val="00647C28"/>
    <w:rsid w:val="006500D7"/>
    <w:rsid w:val="00651038"/>
    <w:rsid w:val="006515CF"/>
    <w:rsid w:val="0065412D"/>
    <w:rsid w:val="006551E6"/>
    <w:rsid w:val="0065581F"/>
    <w:rsid w:val="00655AD8"/>
    <w:rsid w:val="00656829"/>
    <w:rsid w:val="00656B58"/>
    <w:rsid w:val="00656F8F"/>
    <w:rsid w:val="00656FFB"/>
    <w:rsid w:val="00657360"/>
    <w:rsid w:val="00657EFE"/>
    <w:rsid w:val="00657FBB"/>
    <w:rsid w:val="00660202"/>
    <w:rsid w:val="00660EF3"/>
    <w:rsid w:val="00660F31"/>
    <w:rsid w:val="00661FCF"/>
    <w:rsid w:val="0066320C"/>
    <w:rsid w:val="00663EE3"/>
    <w:rsid w:val="00664541"/>
    <w:rsid w:val="00665F44"/>
    <w:rsid w:val="006662BD"/>
    <w:rsid w:val="0066651A"/>
    <w:rsid w:val="006666BB"/>
    <w:rsid w:val="0066674A"/>
    <w:rsid w:val="0066679E"/>
    <w:rsid w:val="00666937"/>
    <w:rsid w:val="006703AA"/>
    <w:rsid w:val="0067065F"/>
    <w:rsid w:val="0067099F"/>
    <w:rsid w:val="00670F1C"/>
    <w:rsid w:val="00672731"/>
    <w:rsid w:val="0067286F"/>
    <w:rsid w:val="0067298D"/>
    <w:rsid w:val="006736D0"/>
    <w:rsid w:val="00673F34"/>
    <w:rsid w:val="00674D4F"/>
    <w:rsid w:val="00675B64"/>
    <w:rsid w:val="00675DC6"/>
    <w:rsid w:val="006801E8"/>
    <w:rsid w:val="00680C80"/>
    <w:rsid w:val="0068416A"/>
    <w:rsid w:val="006846D3"/>
    <w:rsid w:val="00684761"/>
    <w:rsid w:val="00685ECB"/>
    <w:rsid w:val="00686CE1"/>
    <w:rsid w:val="00687087"/>
    <w:rsid w:val="0068757F"/>
    <w:rsid w:val="006876E2"/>
    <w:rsid w:val="00687A41"/>
    <w:rsid w:val="006905CB"/>
    <w:rsid w:val="00690D6A"/>
    <w:rsid w:val="0069133E"/>
    <w:rsid w:val="00691BE8"/>
    <w:rsid w:val="00691FD9"/>
    <w:rsid w:val="006920A5"/>
    <w:rsid w:val="006921F3"/>
    <w:rsid w:val="0069428C"/>
    <w:rsid w:val="00694291"/>
    <w:rsid w:val="00695FCD"/>
    <w:rsid w:val="0069690D"/>
    <w:rsid w:val="00697B6A"/>
    <w:rsid w:val="006A0A0A"/>
    <w:rsid w:val="006A0A2E"/>
    <w:rsid w:val="006A18EB"/>
    <w:rsid w:val="006A1BAB"/>
    <w:rsid w:val="006A1D8D"/>
    <w:rsid w:val="006A28D2"/>
    <w:rsid w:val="006A336B"/>
    <w:rsid w:val="006A4AAA"/>
    <w:rsid w:val="006A6004"/>
    <w:rsid w:val="006A6027"/>
    <w:rsid w:val="006A6D1D"/>
    <w:rsid w:val="006A7797"/>
    <w:rsid w:val="006A7B6B"/>
    <w:rsid w:val="006B0313"/>
    <w:rsid w:val="006B0C1E"/>
    <w:rsid w:val="006B10B1"/>
    <w:rsid w:val="006B23EC"/>
    <w:rsid w:val="006B24F3"/>
    <w:rsid w:val="006B3F0A"/>
    <w:rsid w:val="006B434F"/>
    <w:rsid w:val="006B4B1B"/>
    <w:rsid w:val="006B4B4B"/>
    <w:rsid w:val="006B57F1"/>
    <w:rsid w:val="006B5F49"/>
    <w:rsid w:val="006B66F5"/>
    <w:rsid w:val="006B678D"/>
    <w:rsid w:val="006C1942"/>
    <w:rsid w:val="006C323B"/>
    <w:rsid w:val="006C3742"/>
    <w:rsid w:val="006C496E"/>
    <w:rsid w:val="006C59B8"/>
    <w:rsid w:val="006C5C4D"/>
    <w:rsid w:val="006C5DD3"/>
    <w:rsid w:val="006D0CD1"/>
    <w:rsid w:val="006D14BF"/>
    <w:rsid w:val="006D1D80"/>
    <w:rsid w:val="006D2164"/>
    <w:rsid w:val="006D4738"/>
    <w:rsid w:val="006D4750"/>
    <w:rsid w:val="006D51B1"/>
    <w:rsid w:val="006D67C2"/>
    <w:rsid w:val="006D7C15"/>
    <w:rsid w:val="006E040A"/>
    <w:rsid w:val="006E085B"/>
    <w:rsid w:val="006E4E94"/>
    <w:rsid w:val="006E6951"/>
    <w:rsid w:val="006E6C94"/>
    <w:rsid w:val="006E6D64"/>
    <w:rsid w:val="006E7B18"/>
    <w:rsid w:val="006F0B67"/>
    <w:rsid w:val="006F0C2E"/>
    <w:rsid w:val="006F11C3"/>
    <w:rsid w:val="006F2249"/>
    <w:rsid w:val="006F254D"/>
    <w:rsid w:val="006F2905"/>
    <w:rsid w:val="006F76B9"/>
    <w:rsid w:val="006F77B1"/>
    <w:rsid w:val="00700061"/>
    <w:rsid w:val="0070168A"/>
    <w:rsid w:val="0070678A"/>
    <w:rsid w:val="00706CA7"/>
    <w:rsid w:val="007073D8"/>
    <w:rsid w:val="00707607"/>
    <w:rsid w:val="00707983"/>
    <w:rsid w:val="00707CCB"/>
    <w:rsid w:val="007100BE"/>
    <w:rsid w:val="0071061F"/>
    <w:rsid w:val="00710AB9"/>
    <w:rsid w:val="00710D21"/>
    <w:rsid w:val="00712F0E"/>
    <w:rsid w:val="007157FE"/>
    <w:rsid w:val="00715FF2"/>
    <w:rsid w:val="00717574"/>
    <w:rsid w:val="007176A8"/>
    <w:rsid w:val="00720212"/>
    <w:rsid w:val="0072226A"/>
    <w:rsid w:val="00723041"/>
    <w:rsid w:val="00724763"/>
    <w:rsid w:val="007253C3"/>
    <w:rsid w:val="007262C1"/>
    <w:rsid w:val="00726346"/>
    <w:rsid w:val="00730379"/>
    <w:rsid w:val="00730797"/>
    <w:rsid w:val="00730AB7"/>
    <w:rsid w:val="00730F96"/>
    <w:rsid w:val="007326A6"/>
    <w:rsid w:val="00733147"/>
    <w:rsid w:val="00733DEE"/>
    <w:rsid w:val="00733EDA"/>
    <w:rsid w:val="00734511"/>
    <w:rsid w:val="00735043"/>
    <w:rsid w:val="00735EC0"/>
    <w:rsid w:val="0073604B"/>
    <w:rsid w:val="007369EA"/>
    <w:rsid w:val="00737CBF"/>
    <w:rsid w:val="00737EB2"/>
    <w:rsid w:val="00741155"/>
    <w:rsid w:val="0074177C"/>
    <w:rsid w:val="0074251A"/>
    <w:rsid w:val="007428A6"/>
    <w:rsid w:val="00742C72"/>
    <w:rsid w:val="00742ED4"/>
    <w:rsid w:val="00743061"/>
    <w:rsid w:val="00743AEA"/>
    <w:rsid w:val="00743DE4"/>
    <w:rsid w:val="007441AB"/>
    <w:rsid w:val="00744AAC"/>
    <w:rsid w:val="0074544B"/>
    <w:rsid w:val="00745B12"/>
    <w:rsid w:val="007502DD"/>
    <w:rsid w:val="0075036F"/>
    <w:rsid w:val="007504F4"/>
    <w:rsid w:val="0075075C"/>
    <w:rsid w:val="00752B82"/>
    <w:rsid w:val="0075413C"/>
    <w:rsid w:val="00754E01"/>
    <w:rsid w:val="00755109"/>
    <w:rsid w:val="007553A8"/>
    <w:rsid w:val="00757C3D"/>
    <w:rsid w:val="00757DF9"/>
    <w:rsid w:val="00760BD9"/>
    <w:rsid w:val="0076203C"/>
    <w:rsid w:val="007620C2"/>
    <w:rsid w:val="0076272E"/>
    <w:rsid w:val="00762872"/>
    <w:rsid w:val="007628FF"/>
    <w:rsid w:val="00763488"/>
    <w:rsid w:val="0076383E"/>
    <w:rsid w:val="00766603"/>
    <w:rsid w:val="00766AD7"/>
    <w:rsid w:val="00766D50"/>
    <w:rsid w:val="0077072F"/>
    <w:rsid w:val="007718B6"/>
    <w:rsid w:val="00771C25"/>
    <w:rsid w:val="00771CD1"/>
    <w:rsid w:val="00771FF0"/>
    <w:rsid w:val="00772944"/>
    <w:rsid w:val="0077332E"/>
    <w:rsid w:val="0077335D"/>
    <w:rsid w:val="00773F15"/>
    <w:rsid w:val="007742DE"/>
    <w:rsid w:val="007743B1"/>
    <w:rsid w:val="00776A4B"/>
    <w:rsid w:val="00776ADE"/>
    <w:rsid w:val="007771A0"/>
    <w:rsid w:val="00780CFF"/>
    <w:rsid w:val="00780D89"/>
    <w:rsid w:val="007810E6"/>
    <w:rsid w:val="0078158E"/>
    <w:rsid w:val="0078168D"/>
    <w:rsid w:val="0078212D"/>
    <w:rsid w:val="0078259D"/>
    <w:rsid w:val="007832BF"/>
    <w:rsid w:val="00783EEF"/>
    <w:rsid w:val="007847A9"/>
    <w:rsid w:val="00784917"/>
    <w:rsid w:val="00785F83"/>
    <w:rsid w:val="00787346"/>
    <w:rsid w:val="007906E0"/>
    <w:rsid w:val="0079071C"/>
    <w:rsid w:val="007911FE"/>
    <w:rsid w:val="0079158A"/>
    <w:rsid w:val="0079181C"/>
    <w:rsid w:val="00793242"/>
    <w:rsid w:val="00793EA1"/>
    <w:rsid w:val="00793EC5"/>
    <w:rsid w:val="0079441B"/>
    <w:rsid w:val="007949AD"/>
    <w:rsid w:val="0079657C"/>
    <w:rsid w:val="007A05B0"/>
    <w:rsid w:val="007A13D4"/>
    <w:rsid w:val="007A13EA"/>
    <w:rsid w:val="007A2377"/>
    <w:rsid w:val="007A2556"/>
    <w:rsid w:val="007A2860"/>
    <w:rsid w:val="007A29CC"/>
    <w:rsid w:val="007A2CE6"/>
    <w:rsid w:val="007A3DCF"/>
    <w:rsid w:val="007A4611"/>
    <w:rsid w:val="007A46BA"/>
    <w:rsid w:val="007A47AB"/>
    <w:rsid w:val="007A5AE5"/>
    <w:rsid w:val="007A6197"/>
    <w:rsid w:val="007A676F"/>
    <w:rsid w:val="007A6B87"/>
    <w:rsid w:val="007A6D51"/>
    <w:rsid w:val="007A6E47"/>
    <w:rsid w:val="007A6F73"/>
    <w:rsid w:val="007B1210"/>
    <w:rsid w:val="007B14D2"/>
    <w:rsid w:val="007B15D2"/>
    <w:rsid w:val="007B1CB1"/>
    <w:rsid w:val="007B1E7D"/>
    <w:rsid w:val="007B39D5"/>
    <w:rsid w:val="007B54ED"/>
    <w:rsid w:val="007B5BF5"/>
    <w:rsid w:val="007B6082"/>
    <w:rsid w:val="007B635C"/>
    <w:rsid w:val="007B6969"/>
    <w:rsid w:val="007B6EBB"/>
    <w:rsid w:val="007B70BA"/>
    <w:rsid w:val="007B7420"/>
    <w:rsid w:val="007C0396"/>
    <w:rsid w:val="007C0D23"/>
    <w:rsid w:val="007C0DB7"/>
    <w:rsid w:val="007C0EF8"/>
    <w:rsid w:val="007C1D2B"/>
    <w:rsid w:val="007C3021"/>
    <w:rsid w:val="007C34B4"/>
    <w:rsid w:val="007C3854"/>
    <w:rsid w:val="007C4229"/>
    <w:rsid w:val="007C4B9B"/>
    <w:rsid w:val="007C5121"/>
    <w:rsid w:val="007C7D0D"/>
    <w:rsid w:val="007D1226"/>
    <w:rsid w:val="007D235F"/>
    <w:rsid w:val="007D2A6C"/>
    <w:rsid w:val="007D34CF"/>
    <w:rsid w:val="007D6E3B"/>
    <w:rsid w:val="007D7772"/>
    <w:rsid w:val="007E0098"/>
    <w:rsid w:val="007E024D"/>
    <w:rsid w:val="007E0587"/>
    <w:rsid w:val="007E0C25"/>
    <w:rsid w:val="007E2085"/>
    <w:rsid w:val="007E2932"/>
    <w:rsid w:val="007E3DAA"/>
    <w:rsid w:val="007E5022"/>
    <w:rsid w:val="007E5520"/>
    <w:rsid w:val="007E5655"/>
    <w:rsid w:val="007E579B"/>
    <w:rsid w:val="007E597B"/>
    <w:rsid w:val="007E6191"/>
    <w:rsid w:val="007E7693"/>
    <w:rsid w:val="007E7DA6"/>
    <w:rsid w:val="007F01CC"/>
    <w:rsid w:val="007F038F"/>
    <w:rsid w:val="007F0BDD"/>
    <w:rsid w:val="007F0D85"/>
    <w:rsid w:val="007F161C"/>
    <w:rsid w:val="007F1802"/>
    <w:rsid w:val="007F2716"/>
    <w:rsid w:val="007F329B"/>
    <w:rsid w:val="007F71CA"/>
    <w:rsid w:val="008001F3"/>
    <w:rsid w:val="008002A9"/>
    <w:rsid w:val="0080217A"/>
    <w:rsid w:val="00802FE3"/>
    <w:rsid w:val="00803000"/>
    <w:rsid w:val="0080404A"/>
    <w:rsid w:val="00805864"/>
    <w:rsid w:val="00805E45"/>
    <w:rsid w:val="0080725D"/>
    <w:rsid w:val="008075DA"/>
    <w:rsid w:val="00807BA9"/>
    <w:rsid w:val="00810485"/>
    <w:rsid w:val="00810664"/>
    <w:rsid w:val="00810671"/>
    <w:rsid w:val="00810AD9"/>
    <w:rsid w:val="00810DCF"/>
    <w:rsid w:val="00811058"/>
    <w:rsid w:val="008121AF"/>
    <w:rsid w:val="00812DB7"/>
    <w:rsid w:val="008136A7"/>
    <w:rsid w:val="008157C8"/>
    <w:rsid w:val="0081589C"/>
    <w:rsid w:val="00815911"/>
    <w:rsid w:val="00815FE3"/>
    <w:rsid w:val="008218DD"/>
    <w:rsid w:val="00821EB3"/>
    <w:rsid w:val="008221B2"/>
    <w:rsid w:val="00822735"/>
    <w:rsid w:val="00822A69"/>
    <w:rsid w:val="00824A1D"/>
    <w:rsid w:val="00824A4B"/>
    <w:rsid w:val="00824FF0"/>
    <w:rsid w:val="00825B0D"/>
    <w:rsid w:val="008277B8"/>
    <w:rsid w:val="00827D64"/>
    <w:rsid w:val="0083097C"/>
    <w:rsid w:val="00832E30"/>
    <w:rsid w:val="0083386C"/>
    <w:rsid w:val="00833F3E"/>
    <w:rsid w:val="00835898"/>
    <w:rsid w:val="008359BB"/>
    <w:rsid w:val="00835A67"/>
    <w:rsid w:val="00836FF4"/>
    <w:rsid w:val="008402B5"/>
    <w:rsid w:val="008409D5"/>
    <w:rsid w:val="00840C0E"/>
    <w:rsid w:val="008413E5"/>
    <w:rsid w:val="00841E47"/>
    <w:rsid w:val="00843769"/>
    <w:rsid w:val="00843770"/>
    <w:rsid w:val="00843BEC"/>
    <w:rsid w:val="00844496"/>
    <w:rsid w:val="0084514A"/>
    <w:rsid w:val="008463DE"/>
    <w:rsid w:val="008475BF"/>
    <w:rsid w:val="00850143"/>
    <w:rsid w:val="008506A4"/>
    <w:rsid w:val="00850A7D"/>
    <w:rsid w:val="00850C68"/>
    <w:rsid w:val="0085102E"/>
    <w:rsid w:val="00851121"/>
    <w:rsid w:val="00851134"/>
    <w:rsid w:val="0085217C"/>
    <w:rsid w:val="008529CC"/>
    <w:rsid w:val="00852C33"/>
    <w:rsid w:val="00854357"/>
    <w:rsid w:val="00854715"/>
    <w:rsid w:val="0085519A"/>
    <w:rsid w:val="00855EB8"/>
    <w:rsid w:val="00856CC3"/>
    <w:rsid w:val="0086174E"/>
    <w:rsid w:val="00861B25"/>
    <w:rsid w:val="00863AB5"/>
    <w:rsid w:val="00864B3F"/>
    <w:rsid w:val="0086537C"/>
    <w:rsid w:val="00865DF3"/>
    <w:rsid w:val="008661E8"/>
    <w:rsid w:val="0086669D"/>
    <w:rsid w:val="00870C0A"/>
    <w:rsid w:val="0087191C"/>
    <w:rsid w:val="00871C7B"/>
    <w:rsid w:val="00872764"/>
    <w:rsid w:val="0087278C"/>
    <w:rsid w:val="008730D4"/>
    <w:rsid w:val="00873AC1"/>
    <w:rsid w:val="00873B28"/>
    <w:rsid w:val="00875BC3"/>
    <w:rsid w:val="00876137"/>
    <w:rsid w:val="00876BD1"/>
    <w:rsid w:val="00876C15"/>
    <w:rsid w:val="008772F4"/>
    <w:rsid w:val="0087739C"/>
    <w:rsid w:val="008773AD"/>
    <w:rsid w:val="008773AF"/>
    <w:rsid w:val="00877730"/>
    <w:rsid w:val="00877EA6"/>
    <w:rsid w:val="00880863"/>
    <w:rsid w:val="00881522"/>
    <w:rsid w:val="00881848"/>
    <w:rsid w:val="00881A3D"/>
    <w:rsid w:val="00881D8C"/>
    <w:rsid w:val="00882955"/>
    <w:rsid w:val="00882B17"/>
    <w:rsid w:val="00883B46"/>
    <w:rsid w:val="00885254"/>
    <w:rsid w:val="00885C74"/>
    <w:rsid w:val="00886D2D"/>
    <w:rsid w:val="00886EE2"/>
    <w:rsid w:val="00887016"/>
    <w:rsid w:val="008870C8"/>
    <w:rsid w:val="00890AB0"/>
    <w:rsid w:val="00890EC1"/>
    <w:rsid w:val="0089211E"/>
    <w:rsid w:val="00892D80"/>
    <w:rsid w:val="00893866"/>
    <w:rsid w:val="00893A05"/>
    <w:rsid w:val="008951EF"/>
    <w:rsid w:val="00896103"/>
    <w:rsid w:val="008961BA"/>
    <w:rsid w:val="00896D0F"/>
    <w:rsid w:val="0089736F"/>
    <w:rsid w:val="00897F4B"/>
    <w:rsid w:val="008A114B"/>
    <w:rsid w:val="008A161F"/>
    <w:rsid w:val="008A3C3B"/>
    <w:rsid w:val="008A41B6"/>
    <w:rsid w:val="008A4676"/>
    <w:rsid w:val="008A4A70"/>
    <w:rsid w:val="008A4CB9"/>
    <w:rsid w:val="008A4F7E"/>
    <w:rsid w:val="008A5043"/>
    <w:rsid w:val="008A5A7A"/>
    <w:rsid w:val="008B03D0"/>
    <w:rsid w:val="008B0597"/>
    <w:rsid w:val="008B09CF"/>
    <w:rsid w:val="008B0C9D"/>
    <w:rsid w:val="008B0E0D"/>
    <w:rsid w:val="008B1302"/>
    <w:rsid w:val="008B1BA3"/>
    <w:rsid w:val="008B281A"/>
    <w:rsid w:val="008B2A2A"/>
    <w:rsid w:val="008B41C1"/>
    <w:rsid w:val="008B48D0"/>
    <w:rsid w:val="008B54CD"/>
    <w:rsid w:val="008B56FC"/>
    <w:rsid w:val="008B6C4F"/>
    <w:rsid w:val="008B72B3"/>
    <w:rsid w:val="008B760A"/>
    <w:rsid w:val="008C0D58"/>
    <w:rsid w:val="008C1DC9"/>
    <w:rsid w:val="008C21FA"/>
    <w:rsid w:val="008C4888"/>
    <w:rsid w:val="008C6087"/>
    <w:rsid w:val="008C614A"/>
    <w:rsid w:val="008C62CA"/>
    <w:rsid w:val="008C7B5A"/>
    <w:rsid w:val="008D0A34"/>
    <w:rsid w:val="008D0C64"/>
    <w:rsid w:val="008D1DEE"/>
    <w:rsid w:val="008D61BD"/>
    <w:rsid w:val="008D6456"/>
    <w:rsid w:val="008D6529"/>
    <w:rsid w:val="008D6F84"/>
    <w:rsid w:val="008D765A"/>
    <w:rsid w:val="008D7BF8"/>
    <w:rsid w:val="008D7DF0"/>
    <w:rsid w:val="008D7F63"/>
    <w:rsid w:val="008E1314"/>
    <w:rsid w:val="008E1EEF"/>
    <w:rsid w:val="008E2808"/>
    <w:rsid w:val="008E5491"/>
    <w:rsid w:val="008E753C"/>
    <w:rsid w:val="008E7BA3"/>
    <w:rsid w:val="008E7BAE"/>
    <w:rsid w:val="008F0264"/>
    <w:rsid w:val="008F0C4D"/>
    <w:rsid w:val="008F125D"/>
    <w:rsid w:val="008F1405"/>
    <w:rsid w:val="008F304A"/>
    <w:rsid w:val="008F3344"/>
    <w:rsid w:val="008F485D"/>
    <w:rsid w:val="008F4AD7"/>
    <w:rsid w:val="008F4B83"/>
    <w:rsid w:val="008F4EF1"/>
    <w:rsid w:val="008F69EB"/>
    <w:rsid w:val="008F7379"/>
    <w:rsid w:val="008F760A"/>
    <w:rsid w:val="008F7AD2"/>
    <w:rsid w:val="009009BE"/>
    <w:rsid w:val="0090104F"/>
    <w:rsid w:val="00901419"/>
    <w:rsid w:val="0090219A"/>
    <w:rsid w:val="00902BF6"/>
    <w:rsid w:val="00903395"/>
    <w:rsid w:val="009048E9"/>
    <w:rsid w:val="009055A9"/>
    <w:rsid w:val="00905C89"/>
    <w:rsid w:val="009064B0"/>
    <w:rsid w:val="0090732E"/>
    <w:rsid w:val="00907EDB"/>
    <w:rsid w:val="00911273"/>
    <w:rsid w:val="009128DA"/>
    <w:rsid w:val="00912D33"/>
    <w:rsid w:val="00913B00"/>
    <w:rsid w:val="00914702"/>
    <w:rsid w:val="00915420"/>
    <w:rsid w:val="00915BED"/>
    <w:rsid w:val="00916970"/>
    <w:rsid w:val="009176B7"/>
    <w:rsid w:val="00917B26"/>
    <w:rsid w:val="00917FAB"/>
    <w:rsid w:val="00920760"/>
    <w:rsid w:val="009208A3"/>
    <w:rsid w:val="00920D3D"/>
    <w:rsid w:val="00920E68"/>
    <w:rsid w:val="00920EBD"/>
    <w:rsid w:val="00921A22"/>
    <w:rsid w:val="00921C1C"/>
    <w:rsid w:val="00922F20"/>
    <w:rsid w:val="00922F64"/>
    <w:rsid w:val="00923075"/>
    <w:rsid w:val="009230E0"/>
    <w:rsid w:val="0092347D"/>
    <w:rsid w:val="0092409D"/>
    <w:rsid w:val="00924D33"/>
    <w:rsid w:val="0092507B"/>
    <w:rsid w:val="009253FE"/>
    <w:rsid w:val="009254C1"/>
    <w:rsid w:val="009255A2"/>
    <w:rsid w:val="00925994"/>
    <w:rsid w:val="00925C90"/>
    <w:rsid w:val="009264D4"/>
    <w:rsid w:val="00926758"/>
    <w:rsid w:val="009311CD"/>
    <w:rsid w:val="00931319"/>
    <w:rsid w:val="00931698"/>
    <w:rsid w:val="009317F3"/>
    <w:rsid w:val="00931E79"/>
    <w:rsid w:val="00931EE8"/>
    <w:rsid w:val="00932DEF"/>
    <w:rsid w:val="00934BB7"/>
    <w:rsid w:val="0093598D"/>
    <w:rsid w:val="00936205"/>
    <w:rsid w:val="009369ED"/>
    <w:rsid w:val="00936BCC"/>
    <w:rsid w:val="00937D6E"/>
    <w:rsid w:val="009402A1"/>
    <w:rsid w:val="00940D9E"/>
    <w:rsid w:val="00941383"/>
    <w:rsid w:val="009441F3"/>
    <w:rsid w:val="00944715"/>
    <w:rsid w:val="00944B7F"/>
    <w:rsid w:val="00945530"/>
    <w:rsid w:val="009456B3"/>
    <w:rsid w:val="009459E0"/>
    <w:rsid w:val="0094608D"/>
    <w:rsid w:val="009463FB"/>
    <w:rsid w:val="00946672"/>
    <w:rsid w:val="00946B20"/>
    <w:rsid w:val="00946F4B"/>
    <w:rsid w:val="00946FF5"/>
    <w:rsid w:val="0095050A"/>
    <w:rsid w:val="00950566"/>
    <w:rsid w:val="0095145F"/>
    <w:rsid w:val="00951C5C"/>
    <w:rsid w:val="00952C4C"/>
    <w:rsid w:val="009549E3"/>
    <w:rsid w:val="00954E14"/>
    <w:rsid w:val="00955382"/>
    <w:rsid w:val="009555B8"/>
    <w:rsid w:val="00956C08"/>
    <w:rsid w:val="00956CBD"/>
    <w:rsid w:val="00956E97"/>
    <w:rsid w:val="00957344"/>
    <w:rsid w:val="00957399"/>
    <w:rsid w:val="0096262B"/>
    <w:rsid w:val="009640BE"/>
    <w:rsid w:val="00964147"/>
    <w:rsid w:val="00964968"/>
    <w:rsid w:val="00964F32"/>
    <w:rsid w:val="00966C71"/>
    <w:rsid w:val="00967024"/>
    <w:rsid w:val="009674B7"/>
    <w:rsid w:val="009675F1"/>
    <w:rsid w:val="00970440"/>
    <w:rsid w:val="00971121"/>
    <w:rsid w:val="0097234F"/>
    <w:rsid w:val="0097243B"/>
    <w:rsid w:val="00973409"/>
    <w:rsid w:val="00974234"/>
    <w:rsid w:val="009745AF"/>
    <w:rsid w:val="00975E22"/>
    <w:rsid w:val="009768EF"/>
    <w:rsid w:val="00976FAA"/>
    <w:rsid w:val="00977A06"/>
    <w:rsid w:val="00977EB6"/>
    <w:rsid w:val="0098013D"/>
    <w:rsid w:val="00980330"/>
    <w:rsid w:val="00980332"/>
    <w:rsid w:val="009816FD"/>
    <w:rsid w:val="00982593"/>
    <w:rsid w:val="00982B16"/>
    <w:rsid w:val="00982C77"/>
    <w:rsid w:val="009830C6"/>
    <w:rsid w:val="00983808"/>
    <w:rsid w:val="00983D88"/>
    <w:rsid w:val="0098418E"/>
    <w:rsid w:val="00985894"/>
    <w:rsid w:val="00987091"/>
    <w:rsid w:val="00990C70"/>
    <w:rsid w:val="0099293F"/>
    <w:rsid w:val="00993111"/>
    <w:rsid w:val="00993866"/>
    <w:rsid w:val="00994544"/>
    <w:rsid w:val="00994C07"/>
    <w:rsid w:val="00994D35"/>
    <w:rsid w:val="00994F76"/>
    <w:rsid w:val="0099530B"/>
    <w:rsid w:val="009957E4"/>
    <w:rsid w:val="009959D8"/>
    <w:rsid w:val="00995BFA"/>
    <w:rsid w:val="00995C29"/>
    <w:rsid w:val="00995D2D"/>
    <w:rsid w:val="00996621"/>
    <w:rsid w:val="009973B1"/>
    <w:rsid w:val="009A15D8"/>
    <w:rsid w:val="009A171A"/>
    <w:rsid w:val="009A49DA"/>
    <w:rsid w:val="009A50DF"/>
    <w:rsid w:val="009A568A"/>
    <w:rsid w:val="009A59CC"/>
    <w:rsid w:val="009A5EBF"/>
    <w:rsid w:val="009B01C4"/>
    <w:rsid w:val="009B0EEB"/>
    <w:rsid w:val="009B11B1"/>
    <w:rsid w:val="009B15A5"/>
    <w:rsid w:val="009B1B31"/>
    <w:rsid w:val="009B1C46"/>
    <w:rsid w:val="009B23BF"/>
    <w:rsid w:val="009B2A86"/>
    <w:rsid w:val="009B34A9"/>
    <w:rsid w:val="009B41E8"/>
    <w:rsid w:val="009B42E4"/>
    <w:rsid w:val="009B5C61"/>
    <w:rsid w:val="009B5D53"/>
    <w:rsid w:val="009B5F24"/>
    <w:rsid w:val="009B6553"/>
    <w:rsid w:val="009C13C5"/>
    <w:rsid w:val="009C1748"/>
    <w:rsid w:val="009C18EA"/>
    <w:rsid w:val="009C19B9"/>
    <w:rsid w:val="009C244E"/>
    <w:rsid w:val="009C24E4"/>
    <w:rsid w:val="009C2D2E"/>
    <w:rsid w:val="009C3172"/>
    <w:rsid w:val="009C3DE0"/>
    <w:rsid w:val="009C680A"/>
    <w:rsid w:val="009C7386"/>
    <w:rsid w:val="009D020B"/>
    <w:rsid w:val="009D0DEC"/>
    <w:rsid w:val="009D1565"/>
    <w:rsid w:val="009D1C8D"/>
    <w:rsid w:val="009D2E8E"/>
    <w:rsid w:val="009D2ECA"/>
    <w:rsid w:val="009D3C92"/>
    <w:rsid w:val="009D3F12"/>
    <w:rsid w:val="009D6106"/>
    <w:rsid w:val="009D69C0"/>
    <w:rsid w:val="009D6E1C"/>
    <w:rsid w:val="009D724E"/>
    <w:rsid w:val="009D7C80"/>
    <w:rsid w:val="009D7CE5"/>
    <w:rsid w:val="009E03A8"/>
    <w:rsid w:val="009E06FE"/>
    <w:rsid w:val="009E15F3"/>
    <w:rsid w:val="009E20BB"/>
    <w:rsid w:val="009E2C98"/>
    <w:rsid w:val="009E2DDF"/>
    <w:rsid w:val="009E2F32"/>
    <w:rsid w:val="009E34CD"/>
    <w:rsid w:val="009E4174"/>
    <w:rsid w:val="009E48DF"/>
    <w:rsid w:val="009E4AD4"/>
    <w:rsid w:val="009E4C7F"/>
    <w:rsid w:val="009E516F"/>
    <w:rsid w:val="009E5875"/>
    <w:rsid w:val="009E5CDC"/>
    <w:rsid w:val="009E6442"/>
    <w:rsid w:val="009E66AF"/>
    <w:rsid w:val="009E66EF"/>
    <w:rsid w:val="009E71BB"/>
    <w:rsid w:val="009F1440"/>
    <w:rsid w:val="009F1C28"/>
    <w:rsid w:val="009F4A26"/>
    <w:rsid w:val="009F5409"/>
    <w:rsid w:val="009F59EC"/>
    <w:rsid w:val="009F5AF1"/>
    <w:rsid w:val="009F6020"/>
    <w:rsid w:val="009F62C1"/>
    <w:rsid w:val="009F73E8"/>
    <w:rsid w:val="009F7E72"/>
    <w:rsid w:val="00A0031A"/>
    <w:rsid w:val="00A00AA0"/>
    <w:rsid w:val="00A016D9"/>
    <w:rsid w:val="00A018A4"/>
    <w:rsid w:val="00A01C86"/>
    <w:rsid w:val="00A02FE3"/>
    <w:rsid w:val="00A03192"/>
    <w:rsid w:val="00A03B7D"/>
    <w:rsid w:val="00A045D3"/>
    <w:rsid w:val="00A05E93"/>
    <w:rsid w:val="00A05F85"/>
    <w:rsid w:val="00A060F4"/>
    <w:rsid w:val="00A0749C"/>
    <w:rsid w:val="00A077B0"/>
    <w:rsid w:val="00A116EE"/>
    <w:rsid w:val="00A1488A"/>
    <w:rsid w:val="00A14F5E"/>
    <w:rsid w:val="00A1525E"/>
    <w:rsid w:val="00A162AA"/>
    <w:rsid w:val="00A16BED"/>
    <w:rsid w:val="00A1700F"/>
    <w:rsid w:val="00A1764A"/>
    <w:rsid w:val="00A21BD5"/>
    <w:rsid w:val="00A21F58"/>
    <w:rsid w:val="00A21F85"/>
    <w:rsid w:val="00A22EBA"/>
    <w:rsid w:val="00A23CBF"/>
    <w:rsid w:val="00A2740F"/>
    <w:rsid w:val="00A27BE9"/>
    <w:rsid w:val="00A27E15"/>
    <w:rsid w:val="00A31DF8"/>
    <w:rsid w:val="00A321DD"/>
    <w:rsid w:val="00A3264A"/>
    <w:rsid w:val="00A32786"/>
    <w:rsid w:val="00A329F7"/>
    <w:rsid w:val="00A33E26"/>
    <w:rsid w:val="00A33ECF"/>
    <w:rsid w:val="00A341EC"/>
    <w:rsid w:val="00A34734"/>
    <w:rsid w:val="00A35FD9"/>
    <w:rsid w:val="00A366D2"/>
    <w:rsid w:val="00A377B7"/>
    <w:rsid w:val="00A378AA"/>
    <w:rsid w:val="00A40C29"/>
    <w:rsid w:val="00A42766"/>
    <w:rsid w:val="00A42825"/>
    <w:rsid w:val="00A42BC1"/>
    <w:rsid w:val="00A42C89"/>
    <w:rsid w:val="00A4317E"/>
    <w:rsid w:val="00A4348D"/>
    <w:rsid w:val="00A43994"/>
    <w:rsid w:val="00A4428D"/>
    <w:rsid w:val="00A449DF"/>
    <w:rsid w:val="00A44B0D"/>
    <w:rsid w:val="00A45091"/>
    <w:rsid w:val="00A477EB"/>
    <w:rsid w:val="00A47BCB"/>
    <w:rsid w:val="00A50A44"/>
    <w:rsid w:val="00A50D77"/>
    <w:rsid w:val="00A5112C"/>
    <w:rsid w:val="00A52032"/>
    <w:rsid w:val="00A52153"/>
    <w:rsid w:val="00A53066"/>
    <w:rsid w:val="00A5354A"/>
    <w:rsid w:val="00A54083"/>
    <w:rsid w:val="00A54FFB"/>
    <w:rsid w:val="00A55495"/>
    <w:rsid w:val="00A5716F"/>
    <w:rsid w:val="00A578BC"/>
    <w:rsid w:val="00A57ABF"/>
    <w:rsid w:val="00A61E20"/>
    <w:rsid w:val="00A61F81"/>
    <w:rsid w:val="00A620C0"/>
    <w:rsid w:val="00A628C1"/>
    <w:rsid w:val="00A6342E"/>
    <w:rsid w:val="00A63BB3"/>
    <w:rsid w:val="00A6438D"/>
    <w:rsid w:val="00A65417"/>
    <w:rsid w:val="00A65614"/>
    <w:rsid w:val="00A666E0"/>
    <w:rsid w:val="00A6723D"/>
    <w:rsid w:val="00A674B8"/>
    <w:rsid w:val="00A70853"/>
    <w:rsid w:val="00A715FD"/>
    <w:rsid w:val="00A71B8F"/>
    <w:rsid w:val="00A731B7"/>
    <w:rsid w:val="00A731FF"/>
    <w:rsid w:val="00A74365"/>
    <w:rsid w:val="00A74551"/>
    <w:rsid w:val="00A75C40"/>
    <w:rsid w:val="00A7605F"/>
    <w:rsid w:val="00A76624"/>
    <w:rsid w:val="00A76E07"/>
    <w:rsid w:val="00A77E5B"/>
    <w:rsid w:val="00A80B26"/>
    <w:rsid w:val="00A81ABA"/>
    <w:rsid w:val="00A822E3"/>
    <w:rsid w:val="00A82691"/>
    <w:rsid w:val="00A83778"/>
    <w:rsid w:val="00A83E16"/>
    <w:rsid w:val="00A84703"/>
    <w:rsid w:val="00A8484F"/>
    <w:rsid w:val="00A84897"/>
    <w:rsid w:val="00A851CF"/>
    <w:rsid w:val="00A85331"/>
    <w:rsid w:val="00A85C56"/>
    <w:rsid w:val="00A86065"/>
    <w:rsid w:val="00A8795D"/>
    <w:rsid w:val="00A91C81"/>
    <w:rsid w:val="00A92D9F"/>
    <w:rsid w:val="00A932A6"/>
    <w:rsid w:val="00A93597"/>
    <w:rsid w:val="00A94658"/>
    <w:rsid w:val="00A94D13"/>
    <w:rsid w:val="00A977F5"/>
    <w:rsid w:val="00A97E4D"/>
    <w:rsid w:val="00AA0E8B"/>
    <w:rsid w:val="00AA13F0"/>
    <w:rsid w:val="00AA1DD0"/>
    <w:rsid w:val="00AA1F3A"/>
    <w:rsid w:val="00AA23F9"/>
    <w:rsid w:val="00AA3BCA"/>
    <w:rsid w:val="00AA4160"/>
    <w:rsid w:val="00AA540A"/>
    <w:rsid w:val="00AA5484"/>
    <w:rsid w:val="00AA5FEF"/>
    <w:rsid w:val="00AA640E"/>
    <w:rsid w:val="00AA730B"/>
    <w:rsid w:val="00AA7590"/>
    <w:rsid w:val="00AA7CD8"/>
    <w:rsid w:val="00AB0809"/>
    <w:rsid w:val="00AB1072"/>
    <w:rsid w:val="00AB12F6"/>
    <w:rsid w:val="00AB14FB"/>
    <w:rsid w:val="00AB225F"/>
    <w:rsid w:val="00AB2E65"/>
    <w:rsid w:val="00AB4A60"/>
    <w:rsid w:val="00AB4D16"/>
    <w:rsid w:val="00AB63B8"/>
    <w:rsid w:val="00AB6CC4"/>
    <w:rsid w:val="00AB6E4E"/>
    <w:rsid w:val="00AB744D"/>
    <w:rsid w:val="00AC0177"/>
    <w:rsid w:val="00AC0ACB"/>
    <w:rsid w:val="00AC144C"/>
    <w:rsid w:val="00AC3674"/>
    <w:rsid w:val="00AC3B09"/>
    <w:rsid w:val="00AC4354"/>
    <w:rsid w:val="00AC5811"/>
    <w:rsid w:val="00AC5BEB"/>
    <w:rsid w:val="00AC6FEB"/>
    <w:rsid w:val="00AC752A"/>
    <w:rsid w:val="00AC7831"/>
    <w:rsid w:val="00AC784E"/>
    <w:rsid w:val="00AC7E92"/>
    <w:rsid w:val="00AD0E65"/>
    <w:rsid w:val="00AD23DA"/>
    <w:rsid w:val="00AD3947"/>
    <w:rsid w:val="00AD3E9C"/>
    <w:rsid w:val="00AD484B"/>
    <w:rsid w:val="00AD4E70"/>
    <w:rsid w:val="00AD547F"/>
    <w:rsid w:val="00AD6218"/>
    <w:rsid w:val="00AD6A8F"/>
    <w:rsid w:val="00AD6CBC"/>
    <w:rsid w:val="00AD6CEB"/>
    <w:rsid w:val="00AD77A7"/>
    <w:rsid w:val="00AD7E37"/>
    <w:rsid w:val="00AE029E"/>
    <w:rsid w:val="00AE03EC"/>
    <w:rsid w:val="00AE0B9F"/>
    <w:rsid w:val="00AE1F88"/>
    <w:rsid w:val="00AE2538"/>
    <w:rsid w:val="00AE3725"/>
    <w:rsid w:val="00AE3F88"/>
    <w:rsid w:val="00AE4AF7"/>
    <w:rsid w:val="00AE5B24"/>
    <w:rsid w:val="00AF0130"/>
    <w:rsid w:val="00AF04D6"/>
    <w:rsid w:val="00AF0C85"/>
    <w:rsid w:val="00AF108C"/>
    <w:rsid w:val="00AF153A"/>
    <w:rsid w:val="00AF204F"/>
    <w:rsid w:val="00AF2AEF"/>
    <w:rsid w:val="00AF2F68"/>
    <w:rsid w:val="00AF308F"/>
    <w:rsid w:val="00AF317E"/>
    <w:rsid w:val="00AF320B"/>
    <w:rsid w:val="00AF44B4"/>
    <w:rsid w:val="00AF44BB"/>
    <w:rsid w:val="00AF4981"/>
    <w:rsid w:val="00AF50A6"/>
    <w:rsid w:val="00AF5736"/>
    <w:rsid w:val="00AF6103"/>
    <w:rsid w:val="00AF68C4"/>
    <w:rsid w:val="00AF6FB4"/>
    <w:rsid w:val="00AF6FFA"/>
    <w:rsid w:val="00AF745F"/>
    <w:rsid w:val="00AF7DBE"/>
    <w:rsid w:val="00B0028A"/>
    <w:rsid w:val="00B00906"/>
    <w:rsid w:val="00B00D51"/>
    <w:rsid w:val="00B01424"/>
    <w:rsid w:val="00B014C5"/>
    <w:rsid w:val="00B019A6"/>
    <w:rsid w:val="00B02D5A"/>
    <w:rsid w:val="00B0523C"/>
    <w:rsid w:val="00B05373"/>
    <w:rsid w:val="00B06054"/>
    <w:rsid w:val="00B069EE"/>
    <w:rsid w:val="00B06B48"/>
    <w:rsid w:val="00B10025"/>
    <w:rsid w:val="00B115F2"/>
    <w:rsid w:val="00B11B53"/>
    <w:rsid w:val="00B15D75"/>
    <w:rsid w:val="00B1643F"/>
    <w:rsid w:val="00B1680D"/>
    <w:rsid w:val="00B16E3D"/>
    <w:rsid w:val="00B16E63"/>
    <w:rsid w:val="00B1765C"/>
    <w:rsid w:val="00B20187"/>
    <w:rsid w:val="00B203A3"/>
    <w:rsid w:val="00B212A0"/>
    <w:rsid w:val="00B219D2"/>
    <w:rsid w:val="00B21DF3"/>
    <w:rsid w:val="00B21E66"/>
    <w:rsid w:val="00B21EDF"/>
    <w:rsid w:val="00B23D78"/>
    <w:rsid w:val="00B23ECB"/>
    <w:rsid w:val="00B24A39"/>
    <w:rsid w:val="00B24FBA"/>
    <w:rsid w:val="00B25172"/>
    <w:rsid w:val="00B251EC"/>
    <w:rsid w:val="00B255FB"/>
    <w:rsid w:val="00B26786"/>
    <w:rsid w:val="00B267B4"/>
    <w:rsid w:val="00B26FE9"/>
    <w:rsid w:val="00B3162B"/>
    <w:rsid w:val="00B3169D"/>
    <w:rsid w:val="00B32C5F"/>
    <w:rsid w:val="00B33C00"/>
    <w:rsid w:val="00B33C9C"/>
    <w:rsid w:val="00B33CF5"/>
    <w:rsid w:val="00B33F14"/>
    <w:rsid w:val="00B3443B"/>
    <w:rsid w:val="00B34599"/>
    <w:rsid w:val="00B34844"/>
    <w:rsid w:val="00B3629C"/>
    <w:rsid w:val="00B36694"/>
    <w:rsid w:val="00B3708E"/>
    <w:rsid w:val="00B37638"/>
    <w:rsid w:val="00B37F08"/>
    <w:rsid w:val="00B41345"/>
    <w:rsid w:val="00B418AD"/>
    <w:rsid w:val="00B422D4"/>
    <w:rsid w:val="00B4237D"/>
    <w:rsid w:val="00B42574"/>
    <w:rsid w:val="00B435DF"/>
    <w:rsid w:val="00B43F2D"/>
    <w:rsid w:val="00B44216"/>
    <w:rsid w:val="00B44D8C"/>
    <w:rsid w:val="00B451E8"/>
    <w:rsid w:val="00B462A4"/>
    <w:rsid w:val="00B462CD"/>
    <w:rsid w:val="00B4776C"/>
    <w:rsid w:val="00B5030D"/>
    <w:rsid w:val="00B50922"/>
    <w:rsid w:val="00B50AE8"/>
    <w:rsid w:val="00B50F0B"/>
    <w:rsid w:val="00B51C02"/>
    <w:rsid w:val="00B5355B"/>
    <w:rsid w:val="00B53D98"/>
    <w:rsid w:val="00B54966"/>
    <w:rsid w:val="00B54D63"/>
    <w:rsid w:val="00B55D8F"/>
    <w:rsid w:val="00B56003"/>
    <w:rsid w:val="00B56837"/>
    <w:rsid w:val="00B579CC"/>
    <w:rsid w:val="00B604FE"/>
    <w:rsid w:val="00B61662"/>
    <w:rsid w:val="00B61ECB"/>
    <w:rsid w:val="00B622BC"/>
    <w:rsid w:val="00B62F11"/>
    <w:rsid w:val="00B639D5"/>
    <w:rsid w:val="00B63C94"/>
    <w:rsid w:val="00B640A0"/>
    <w:rsid w:val="00B64695"/>
    <w:rsid w:val="00B650BA"/>
    <w:rsid w:val="00B65216"/>
    <w:rsid w:val="00B66347"/>
    <w:rsid w:val="00B664B3"/>
    <w:rsid w:val="00B664CF"/>
    <w:rsid w:val="00B66A5A"/>
    <w:rsid w:val="00B674CE"/>
    <w:rsid w:val="00B67BC7"/>
    <w:rsid w:val="00B712DB"/>
    <w:rsid w:val="00B71838"/>
    <w:rsid w:val="00B7275B"/>
    <w:rsid w:val="00B7300C"/>
    <w:rsid w:val="00B732F6"/>
    <w:rsid w:val="00B73B52"/>
    <w:rsid w:val="00B73E8A"/>
    <w:rsid w:val="00B73FE0"/>
    <w:rsid w:val="00B74188"/>
    <w:rsid w:val="00B7432B"/>
    <w:rsid w:val="00B74F94"/>
    <w:rsid w:val="00B751D3"/>
    <w:rsid w:val="00B75227"/>
    <w:rsid w:val="00B757D5"/>
    <w:rsid w:val="00B7698F"/>
    <w:rsid w:val="00B771F2"/>
    <w:rsid w:val="00B77EF5"/>
    <w:rsid w:val="00B8001A"/>
    <w:rsid w:val="00B800BA"/>
    <w:rsid w:val="00B80F5E"/>
    <w:rsid w:val="00B8163E"/>
    <w:rsid w:val="00B83727"/>
    <w:rsid w:val="00B83B81"/>
    <w:rsid w:val="00B83E8E"/>
    <w:rsid w:val="00B8476D"/>
    <w:rsid w:val="00B84F96"/>
    <w:rsid w:val="00B857C9"/>
    <w:rsid w:val="00B858C0"/>
    <w:rsid w:val="00B85ED7"/>
    <w:rsid w:val="00B86292"/>
    <w:rsid w:val="00B862A1"/>
    <w:rsid w:val="00B86D3A"/>
    <w:rsid w:val="00B9126C"/>
    <w:rsid w:val="00B91564"/>
    <w:rsid w:val="00B91B12"/>
    <w:rsid w:val="00B91FA6"/>
    <w:rsid w:val="00B9250D"/>
    <w:rsid w:val="00B93382"/>
    <w:rsid w:val="00B94BB6"/>
    <w:rsid w:val="00B94BCA"/>
    <w:rsid w:val="00B950E1"/>
    <w:rsid w:val="00B95639"/>
    <w:rsid w:val="00B95912"/>
    <w:rsid w:val="00B95B5B"/>
    <w:rsid w:val="00B9733A"/>
    <w:rsid w:val="00BA0A8C"/>
    <w:rsid w:val="00BA1F39"/>
    <w:rsid w:val="00BA21E2"/>
    <w:rsid w:val="00BA25DD"/>
    <w:rsid w:val="00BA3BDE"/>
    <w:rsid w:val="00BA4EDC"/>
    <w:rsid w:val="00BA5025"/>
    <w:rsid w:val="00BA529C"/>
    <w:rsid w:val="00BA5B55"/>
    <w:rsid w:val="00BA5DFF"/>
    <w:rsid w:val="00BA5F1B"/>
    <w:rsid w:val="00BA64C8"/>
    <w:rsid w:val="00BA655C"/>
    <w:rsid w:val="00BA657B"/>
    <w:rsid w:val="00BA6D63"/>
    <w:rsid w:val="00BA6E12"/>
    <w:rsid w:val="00BB0C32"/>
    <w:rsid w:val="00BB10CA"/>
    <w:rsid w:val="00BB2884"/>
    <w:rsid w:val="00BB5CDB"/>
    <w:rsid w:val="00BB658C"/>
    <w:rsid w:val="00BB6972"/>
    <w:rsid w:val="00BC09EB"/>
    <w:rsid w:val="00BC1C36"/>
    <w:rsid w:val="00BC208F"/>
    <w:rsid w:val="00BC27EA"/>
    <w:rsid w:val="00BC3032"/>
    <w:rsid w:val="00BC30F1"/>
    <w:rsid w:val="00BC352C"/>
    <w:rsid w:val="00BC37C3"/>
    <w:rsid w:val="00BC4677"/>
    <w:rsid w:val="00BC48B2"/>
    <w:rsid w:val="00BC5190"/>
    <w:rsid w:val="00BC5915"/>
    <w:rsid w:val="00BC5F04"/>
    <w:rsid w:val="00BC64E3"/>
    <w:rsid w:val="00BC6C57"/>
    <w:rsid w:val="00BC7B0B"/>
    <w:rsid w:val="00BC7B2B"/>
    <w:rsid w:val="00BD0373"/>
    <w:rsid w:val="00BD04D3"/>
    <w:rsid w:val="00BD0D76"/>
    <w:rsid w:val="00BD14CA"/>
    <w:rsid w:val="00BD1665"/>
    <w:rsid w:val="00BD1707"/>
    <w:rsid w:val="00BD32C1"/>
    <w:rsid w:val="00BD3BC9"/>
    <w:rsid w:val="00BD3FC0"/>
    <w:rsid w:val="00BD4165"/>
    <w:rsid w:val="00BD5CD1"/>
    <w:rsid w:val="00BD6256"/>
    <w:rsid w:val="00BD6295"/>
    <w:rsid w:val="00BD6485"/>
    <w:rsid w:val="00BD6D3B"/>
    <w:rsid w:val="00BD6E88"/>
    <w:rsid w:val="00BD71C6"/>
    <w:rsid w:val="00BD7211"/>
    <w:rsid w:val="00BE0073"/>
    <w:rsid w:val="00BE0857"/>
    <w:rsid w:val="00BE1A73"/>
    <w:rsid w:val="00BE1DF5"/>
    <w:rsid w:val="00BE233C"/>
    <w:rsid w:val="00BE29B6"/>
    <w:rsid w:val="00BE394F"/>
    <w:rsid w:val="00BE3D2C"/>
    <w:rsid w:val="00BE46F7"/>
    <w:rsid w:val="00BE5D04"/>
    <w:rsid w:val="00BE7166"/>
    <w:rsid w:val="00BE79F3"/>
    <w:rsid w:val="00BF0C85"/>
    <w:rsid w:val="00BF1124"/>
    <w:rsid w:val="00BF1D9F"/>
    <w:rsid w:val="00BF214D"/>
    <w:rsid w:val="00BF21D9"/>
    <w:rsid w:val="00BF221B"/>
    <w:rsid w:val="00BF2B0F"/>
    <w:rsid w:val="00BF2B7A"/>
    <w:rsid w:val="00BF35AA"/>
    <w:rsid w:val="00BF4EB8"/>
    <w:rsid w:val="00BF7457"/>
    <w:rsid w:val="00BF7D9A"/>
    <w:rsid w:val="00C001F8"/>
    <w:rsid w:val="00C002EE"/>
    <w:rsid w:val="00C00345"/>
    <w:rsid w:val="00C0076D"/>
    <w:rsid w:val="00C00EF3"/>
    <w:rsid w:val="00C025BE"/>
    <w:rsid w:val="00C02BEF"/>
    <w:rsid w:val="00C043C7"/>
    <w:rsid w:val="00C04615"/>
    <w:rsid w:val="00C04A0E"/>
    <w:rsid w:val="00C05711"/>
    <w:rsid w:val="00C0647B"/>
    <w:rsid w:val="00C067C5"/>
    <w:rsid w:val="00C07AB7"/>
    <w:rsid w:val="00C07B6A"/>
    <w:rsid w:val="00C07BA8"/>
    <w:rsid w:val="00C100EB"/>
    <w:rsid w:val="00C104B8"/>
    <w:rsid w:val="00C10A86"/>
    <w:rsid w:val="00C10C22"/>
    <w:rsid w:val="00C11071"/>
    <w:rsid w:val="00C110B1"/>
    <w:rsid w:val="00C11F0A"/>
    <w:rsid w:val="00C1211C"/>
    <w:rsid w:val="00C12566"/>
    <w:rsid w:val="00C12AD1"/>
    <w:rsid w:val="00C12EBE"/>
    <w:rsid w:val="00C130EE"/>
    <w:rsid w:val="00C158AA"/>
    <w:rsid w:val="00C16A82"/>
    <w:rsid w:val="00C16BDC"/>
    <w:rsid w:val="00C16F8B"/>
    <w:rsid w:val="00C170CD"/>
    <w:rsid w:val="00C1740C"/>
    <w:rsid w:val="00C17E35"/>
    <w:rsid w:val="00C20F2E"/>
    <w:rsid w:val="00C2218D"/>
    <w:rsid w:val="00C22DA9"/>
    <w:rsid w:val="00C230F3"/>
    <w:rsid w:val="00C24B1D"/>
    <w:rsid w:val="00C24C25"/>
    <w:rsid w:val="00C25A12"/>
    <w:rsid w:val="00C26E65"/>
    <w:rsid w:val="00C273F6"/>
    <w:rsid w:val="00C27E0A"/>
    <w:rsid w:val="00C30BDE"/>
    <w:rsid w:val="00C30F70"/>
    <w:rsid w:val="00C3182D"/>
    <w:rsid w:val="00C318CA"/>
    <w:rsid w:val="00C31AE4"/>
    <w:rsid w:val="00C3282A"/>
    <w:rsid w:val="00C32BDF"/>
    <w:rsid w:val="00C34D3B"/>
    <w:rsid w:val="00C35220"/>
    <w:rsid w:val="00C40EC5"/>
    <w:rsid w:val="00C419D0"/>
    <w:rsid w:val="00C42395"/>
    <w:rsid w:val="00C42778"/>
    <w:rsid w:val="00C430D3"/>
    <w:rsid w:val="00C4344B"/>
    <w:rsid w:val="00C44BEE"/>
    <w:rsid w:val="00C454CD"/>
    <w:rsid w:val="00C45A56"/>
    <w:rsid w:val="00C46B31"/>
    <w:rsid w:val="00C46DAD"/>
    <w:rsid w:val="00C51E70"/>
    <w:rsid w:val="00C53D10"/>
    <w:rsid w:val="00C5415B"/>
    <w:rsid w:val="00C54654"/>
    <w:rsid w:val="00C549BB"/>
    <w:rsid w:val="00C54AE0"/>
    <w:rsid w:val="00C54EBA"/>
    <w:rsid w:val="00C55C53"/>
    <w:rsid w:val="00C5663B"/>
    <w:rsid w:val="00C56946"/>
    <w:rsid w:val="00C56C39"/>
    <w:rsid w:val="00C56F05"/>
    <w:rsid w:val="00C575F6"/>
    <w:rsid w:val="00C577B8"/>
    <w:rsid w:val="00C577D2"/>
    <w:rsid w:val="00C57D2D"/>
    <w:rsid w:val="00C57D97"/>
    <w:rsid w:val="00C61F11"/>
    <w:rsid w:val="00C620FC"/>
    <w:rsid w:val="00C63482"/>
    <w:rsid w:val="00C634D8"/>
    <w:rsid w:val="00C64DC3"/>
    <w:rsid w:val="00C6795C"/>
    <w:rsid w:val="00C67F52"/>
    <w:rsid w:val="00C70254"/>
    <w:rsid w:val="00C70397"/>
    <w:rsid w:val="00C719A9"/>
    <w:rsid w:val="00C71FE6"/>
    <w:rsid w:val="00C73359"/>
    <w:rsid w:val="00C734F6"/>
    <w:rsid w:val="00C73C60"/>
    <w:rsid w:val="00C75DDE"/>
    <w:rsid w:val="00C75F4B"/>
    <w:rsid w:val="00C76F55"/>
    <w:rsid w:val="00C80D21"/>
    <w:rsid w:val="00C812CE"/>
    <w:rsid w:val="00C82570"/>
    <w:rsid w:val="00C82EBE"/>
    <w:rsid w:val="00C82F24"/>
    <w:rsid w:val="00C83DD9"/>
    <w:rsid w:val="00C842CA"/>
    <w:rsid w:val="00C85130"/>
    <w:rsid w:val="00C852D9"/>
    <w:rsid w:val="00C856F2"/>
    <w:rsid w:val="00C85932"/>
    <w:rsid w:val="00C86E89"/>
    <w:rsid w:val="00C87E9B"/>
    <w:rsid w:val="00C91086"/>
    <w:rsid w:val="00C916E8"/>
    <w:rsid w:val="00C92420"/>
    <w:rsid w:val="00C92DE3"/>
    <w:rsid w:val="00C93556"/>
    <w:rsid w:val="00C93A55"/>
    <w:rsid w:val="00C946FC"/>
    <w:rsid w:val="00C9558E"/>
    <w:rsid w:val="00C9590C"/>
    <w:rsid w:val="00C9594B"/>
    <w:rsid w:val="00C95EA3"/>
    <w:rsid w:val="00C96724"/>
    <w:rsid w:val="00C97135"/>
    <w:rsid w:val="00CA06F0"/>
    <w:rsid w:val="00CA0D46"/>
    <w:rsid w:val="00CA1354"/>
    <w:rsid w:val="00CA137F"/>
    <w:rsid w:val="00CA2F47"/>
    <w:rsid w:val="00CA3BCB"/>
    <w:rsid w:val="00CA4532"/>
    <w:rsid w:val="00CA499B"/>
    <w:rsid w:val="00CA5187"/>
    <w:rsid w:val="00CA5581"/>
    <w:rsid w:val="00CA6BC4"/>
    <w:rsid w:val="00CA7049"/>
    <w:rsid w:val="00CA739F"/>
    <w:rsid w:val="00CA7E7A"/>
    <w:rsid w:val="00CB113D"/>
    <w:rsid w:val="00CB168E"/>
    <w:rsid w:val="00CB1BA4"/>
    <w:rsid w:val="00CB2FC3"/>
    <w:rsid w:val="00CB3286"/>
    <w:rsid w:val="00CB4164"/>
    <w:rsid w:val="00CB53E0"/>
    <w:rsid w:val="00CB552D"/>
    <w:rsid w:val="00CC0682"/>
    <w:rsid w:val="00CC1CA2"/>
    <w:rsid w:val="00CC1CB9"/>
    <w:rsid w:val="00CC346F"/>
    <w:rsid w:val="00CC3A1D"/>
    <w:rsid w:val="00CC3F81"/>
    <w:rsid w:val="00CC3F9E"/>
    <w:rsid w:val="00CC52C1"/>
    <w:rsid w:val="00CC5BDB"/>
    <w:rsid w:val="00CC6684"/>
    <w:rsid w:val="00CC6B44"/>
    <w:rsid w:val="00CC6FC4"/>
    <w:rsid w:val="00CC788F"/>
    <w:rsid w:val="00CD00B4"/>
    <w:rsid w:val="00CD2FE6"/>
    <w:rsid w:val="00CD3355"/>
    <w:rsid w:val="00CD41BC"/>
    <w:rsid w:val="00CD441A"/>
    <w:rsid w:val="00CD4C52"/>
    <w:rsid w:val="00CD59A9"/>
    <w:rsid w:val="00CD5FC4"/>
    <w:rsid w:val="00CD6AB2"/>
    <w:rsid w:val="00CD70B6"/>
    <w:rsid w:val="00CD7165"/>
    <w:rsid w:val="00CD746D"/>
    <w:rsid w:val="00CD7D01"/>
    <w:rsid w:val="00CD7FFC"/>
    <w:rsid w:val="00CE0169"/>
    <w:rsid w:val="00CE01D3"/>
    <w:rsid w:val="00CE024E"/>
    <w:rsid w:val="00CE0A50"/>
    <w:rsid w:val="00CE0BE4"/>
    <w:rsid w:val="00CE1CA0"/>
    <w:rsid w:val="00CE2C2B"/>
    <w:rsid w:val="00CE369C"/>
    <w:rsid w:val="00CE45A7"/>
    <w:rsid w:val="00CE4FCB"/>
    <w:rsid w:val="00CE565F"/>
    <w:rsid w:val="00CE5CBF"/>
    <w:rsid w:val="00CE5E2D"/>
    <w:rsid w:val="00CE7AA5"/>
    <w:rsid w:val="00CE7AD8"/>
    <w:rsid w:val="00CF01ED"/>
    <w:rsid w:val="00CF05FD"/>
    <w:rsid w:val="00CF1217"/>
    <w:rsid w:val="00CF13B1"/>
    <w:rsid w:val="00CF1490"/>
    <w:rsid w:val="00CF1DD5"/>
    <w:rsid w:val="00CF30C7"/>
    <w:rsid w:val="00CF3E82"/>
    <w:rsid w:val="00CF4FCD"/>
    <w:rsid w:val="00CF61EA"/>
    <w:rsid w:val="00CF635A"/>
    <w:rsid w:val="00CF68F5"/>
    <w:rsid w:val="00CF6BCE"/>
    <w:rsid w:val="00CF7693"/>
    <w:rsid w:val="00D0026A"/>
    <w:rsid w:val="00D0080D"/>
    <w:rsid w:val="00D00A3C"/>
    <w:rsid w:val="00D00B66"/>
    <w:rsid w:val="00D021ED"/>
    <w:rsid w:val="00D02655"/>
    <w:rsid w:val="00D030FA"/>
    <w:rsid w:val="00D05014"/>
    <w:rsid w:val="00D055E3"/>
    <w:rsid w:val="00D060C6"/>
    <w:rsid w:val="00D06E2F"/>
    <w:rsid w:val="00D06F22"/>
    <w:rsid w:val="00D0730A"/>
    <w:rsid w:val="00D10187"/>
    <w:rsid w:val="00D1077D"/>
    <w:rsid w:val="00D1083E"/>
    <w:rsid w:val="00D10C07"/>
    <w:rsid w:val="00D13DC3"/>
    <w:rsid w:val="00D14BFF"/>
    <w:rsid w:val="00D14C63"/>
    <w:rsid w:val="00D16C8F"/>
    <w:rsid w:val="00D175CA"/>
    <w:rsid w:val="00D177D8"/>
    <w:rsid w:val="00D20F8F"/>
    <w:rsid w:val="00D21254"/>
    <w:rsid w:val="00D215B8"/>
    <w:rsid w:val="00D21750"/>
    <w:rsid w:val="00D21D3A"/>
    <w:rsid w:val="00D22026"/>
    <w:rsid w:val="00D22D5C"/>
    <w:rsid w:val="00D24267"/>
    <w:rsid w:val="00D2459B"/>
    <w:rsid w:val="00D25B70"/>
    <w:rsid w:val="00D260A5"/>
    <w:rsid w:val="00D27A5F"/>
    <w:rsid w:val="00D3043C"/>
    <w:rsid w:val="00D32D54"/>
    <w:rsid w:val="00D32DA8"/>
    <w:rsid w:val="00D33A61"/>
    <w:rsid w:val="00D3491E"/>
    <w:rsid w:val="00D34954"/>
    <w:rsid w:val="00D35081"/>
    <w:rsid w:val="00D36144"/>
    <w:rsid w:val="00D367AD"/>
    <w:rsid w:val="00D367E9"/>
    <w:rsid w:val="00D36A70"/>
    <w:rsid w:val="00D36F9C"/>
    <w:rsid w:val="00D36FE2"/>
    <w:rsid w:val="00D41234"/>
    <w:rsid w:val="00D41389"/>
    <w:rsid w:val="00D41639"/>
    <w:rsid w:val="00D41A19"/>
    <w:rsid w:val="00D41AF4"/>
    <w:rsid w:val="00D41B55"/>
    <w:rsid w:val="00D42068"/>
    <w:rsid w:val="00D443D7"/>
    <w:rsid w:val="00D4544E"/>
    <w:rsid w:val="00D455B3"/>
    <w:rsid w:val="00D46B2E"/>
    <w:rsid w:val="00D46FB3"/>
    <w:rsid w:val="00D470F3"/>
    <w:rsid w:val="00D47332"/>
    <w:rsid w:val="00D473F8"/>
    <w:rsid w:val="00D4794E"/>
    <w:rsid w:val="00D50373"/>
    <w:rsid w:val="00D50C6B"/>
    <w:rsid w:val="00D50EF9"/>
    <w:rsid w:val="00D51084"/>
    <w:rsid w:val="00D5249D"/>
    <w:rsid w:val="00D53D44"/>
    <w:rsid w:val="00D54E4B"/>
    <w:rsid w:val="00D5500D"/>
    <w:rsid w:val="00D557ED"/>
    <w:rsid w:val="00D55D78"/>
    <w:rsid w:val="00D56331"/>
    <w:rsid w:val="00D56498"/>
    <w:rsid w:val="00D57112"/>
    <w:rsid w:val="00D6010A"/>
    <w:rsid w:val="00D61378"/>
    <w:rsid w:val="00D61EC1"/>
    <w:rsid w:val="00D6290F"/>
    <w:rsid w:val="00D63E13"/>
    <w:rsid w:val="00D64A44"/>
    <w:rsid w:val="00D64A5C"/>
    <w:rsid w:val="00D64F2D"/>
    <w:rsid w:val="00D65E35"/>
    <w:rsid w:val="00D667A3"/>
    <w:rsid w:val="00D66951"/>
    <w:rsid w:val="00D67D83"/>
    <w:rsid w:val="00D71314"/>
    <w:rsid w:val="00D7138D"/>
    <w:rsid w:val="00D71755"/>
    <w:rsid w:val="00D71E8F"/>
    <w:rsid w:val="00D7212E"/>
    <w:rsid w:val="00D72B5B"/>
    <w:rsid w:val="00D73022"/>
    <w:rsid w:val="00D7320E"/>
    <w:rsid w:val="00D73F39"/>
    <w:rsid w:val="00D75181"/>
    <w:rsid w:val="00D76119"/>
    <w:rsid w:val="00D76E8D"/>
    <w:rsid w:val="00D77277"/>
    <w:rsid w:val="00D77599"/>
    <w:rsid w:val="00D80429"/>
    <w:rsid w:val="00D8135F"/>
    <w:rsid w:val="00D813CB"/>
    <w:rsid w:val="00D81729"/>
    <w:rsid w:val="00D8231C"/>
    <w:rsid w:val="00D83730"/>
    <w:rsid w:val="00D84EA8"/>
    <w:rsid w:val="00D851BA"/>
    <w:rsid w:val="00D85F5C"/>
    <w:rsid w:val="00D86694"/>
    <w:rsid w:val="00D86979"/>
    <w:rsid w:val="00D90176"/>
    <w:rsid w:val="00D90A36"/>
    <w:rsid w:val="00D917D6"/>
    <w:rsid w:val="00D93F94"/>
    <w:rsid w:val="00D95E1C"/>
    <w:rsid w:val="00D965EF"/>
    <w:rsid w:val="00D97139"/>
    <w:rsid w:val="00D9715C"/>
    <w:rsid w:val="00D9773A"/>
    <w:rsid w:val="00D97F12"/>
    <w:rsid w:val="00DA017A"/>
    <w:rsid w:val="00DA09C8"/>
    <w:rsid w:val="00DA1188"/>
    <w:rsid w:val="00DA1EBC"/>
    <w:rsid w:val="00DA3BD1"/>
    <w:rsid w:val="00DA3EF7"/>
    <w:rsid w:val="00DA44E5"/>
    <w:rsid w:val="00DA4912"/>
    <w:rsid w:val="00DA491C"/>
    <w:rsid w:val="00DA49E8"/>
    <w:rsid w:val="00DA6ECC"/>
    <w:rsid w:val="00DA757A"/>
    <w:rsid w:val="00DA76B0"/>
    <w:rsid w:val="00DB04A9"/>
    <w:rsid w:val="00DB07C0"/>
    <w:rsid w:val="00DB135A"/>
    <w:rsid w:val="00DB2357"/>
    <w:rsid w:val="00DB34F9"/>
    <w:rsid w:val="00DB408A"/>
    <w:rsid w:val="00DB41B1"/>
    <w:rsid w:val="00DB4577"/>
    <w:rsid w:val="00DB4BD3"/>
    <w:rsid w:val="00DB4D59"/>
    <w:rsid w:val="00DB548E"/>
    <w:rsid w:val="00DB5597"/>
    <w:rsid w:val="00DB5D5C"/>
    <w:rsid w:val="00DB5DAF"/>
    <w:rsid w:val="00DB642B"/>
    <w:rsid w:val="00DB688C"/>
    <w:rsid w:val="00DB74CB"/>
    <w:rsid w:val="00DC03E0"/>
    <w:rsid w:val="00DC04A3"/>
    <w:rsid w:val="00DC130D"/>
    <w:rsid w:val="00DC2023"/>
    <w:rsid w:val="00DC28BA"/>
    <w:rsid w:val="00DC357F"/>
    <w:rsid w:val="00DC39A8"/>
    <w:rsid w:val="00DC3E18"/>
    <w:rsid w:val="00DC4077"/>
    <w:rsid w:val="00DC46EF"/>
    <w:rsid w:val="00DC4B49"/>
    <w:rsid w:val="00DC4CBF"/>
    <w:rsid w:val="00DC6BC6"/>
    <w:rsid w:val="00DD142C"/>
    <w:rsid w:val="00DD147E"/>
    <w:rsid w:val="00DD2197"/>
    <w:rsid w:val="00DD220D"/>
    <w:rsid w:val="00DD2412"/>
    <w:rsid w:val="00DD34BC"/>
    <w:rsid w:val="00DD36D1"/>
    <w:rsid w:val="00DD41D8"/>
    <w:rsid w:val="00DD547A"/>
    <w:rsid w:val="00DD653C"/>
    <w:rsid w:val="00DD7377"/>
    <w:rsid w:val="00DD759D"/>
    <w:rsid w:val="00DD7CCB"/>
    <w:rsid w:val="00DE07AF"/>
    <w:rsid w:val="00DE096E"/>
    <w:rsid w:val="00DE116F"/>
    <w:rsid w:val="00DE1809"/>
    <w:rsid w:val="00DE1CDC"/>
    <w:rsid w:val="00DE2EFA"/>
    <w:rsid w:val="00DE3BC3"/>
    <w:rsid w:val="00DE3CA2"/>
    <w:rsid w:val="00DE3CA5"/>
    <w:rsid w:val="00DE4179"/>
    <w:rsid w:val="00DE42FD"/>
    <w:rsid w:val="00DE4B64"/>
    <w:rsid w:val="00DE4F1F"/>
    <w:rsid w:val="00DE650F"/>
    <w:rsid w:val="00DE6E9D"/>
    <w:rsid w:val="00DE70EF"/>
    <w:rsid w:val="00DF0D04"/>
    <w:rsid w:val="00DF0F1F"/>
    <w:rsid w:val="00DF1327"/>
    <w:rsid w:val="00DF144E"/>
    <w:rsid w:val="00DF18EA"/>
    <w:rsid w:val="00DF2BCE"/>
    <w:rsid w:val="00DF3115"/>
    <w:rsid w:val="00DF38FC"/>
    <w:rsid w:val="00DF3F55"/>
    <w:rsid w:val="00DF44D1"/>
    <w:rsid w:val="00DF5B79"/>
    <w:rsid w:val="00DF5F70"/>
    <w:rsid w:val="00DF612A"/>
    <w:rsid w:val="00DF6D5B"/>
    <w:rsid w:val="00DF7AA1"/>
    <w:rsid w:val="00E00189"/>
    <w:rsid w:val="00E01B3B"/>
    <w:rsid w:val="00E027A9"/>
    <w:rsid w:val="00E03810"/>
    <w:rsid w:val="00E03C73"/>
    <w:rsid w:val="00E04D78"/>
    <w:rsid w:val="00E05479"/>
    <w:rsid w:val="00E060A9"/>
    <w:rsid w:val="00E061A4"/>
    <w:rsid w:val="00E0690D"/>
    <w:rsid w:val="00E069A3"/>
    <w:rsid w:val="00E074AA"/>
    <w:rsid w:val="00E07A99"/>
    <w:rsid w:val="00E07CB0"/>
    <w:rsid w:val="00E11188"/>
    <w:rsid w:val="00E122D8"/>
    <w:rsid w:val="00E12751"/>
    <w:rsid w:val="00E127E2"/>
    <w:rsid w:val="00E12912"/>
    <w:rsid w:val="00E13655"/>
    <w:rsid w:val="00E13944"/>
    <w:rsid w:val="00E13B6F"/>
    <w:rsid w:val="00E144E2"/>
    <w:rsid w:val="00E14796"/>
    <w:rsid w:val="00E1739D"/>
    <w:rsid w:val="00E204AF"/>
    <w:rsid w:val="00E2088D"/>
    <w:rsid w:val="00E21371"/>
    <w:rsid w:val="00E21383"/>
    <w:rsid w:val="00E2378F"/>
    <w:rsid w:val="00E23A41"/>
    <w:rsid w:val="00E250FB"/>
    <w:rsid w:val="00E260BE"/>
    <w:rsid w:val="00E3029A"/>
    <w:rsid w:val="00E30815"/>
    <w:rsid w:val="00E30E7A"/>
    <w:rsid w:val="00E31072"/>
    <w:rsid w:val="00E3117B"/>
    <w:rsid w:val="00E3255A"/>
    <w:rsid w:val="00E338C2"/>
    <w:rsid w:val="00E3439F"/>
    <w:rsid w:val="00E34934"/>
    <w:rsid w:val="00E34ECF"/>
    <w:rsid w:val="00E354A4"/>
    <w:rsid w:val="00E35A4D"/>
    <w:rsid w:val="00E35B06"/>
    <w:rsid w:val="00E373EA"/>
    <w:rsid w:val="00E3779D"/>
    <w:rsid w:val="00E40370"/>
    <w:rsid w:val="00E40EFD"/>
    <w:rsid w:val="00E41259"/>
    <w:rsid w:val="00E41597"/>
    <w:rsid w:val="00E4177C"/>
    <w:rsid w:val="00E4197A"/>
    <w:rsid w:val="00E41C8C"/>
    <w:rsid w:val="00E423A2"/>
    <w:rsid w:val="00E42AF0"/>
    <w:rsid w:val="00E4311A"/>
    <w:rsid w:val="00E44218"/>
    <w:rsid w:val="00E44C30"/>
    <w:rsid w:val="00E45994"/>
    <w:rsid w:val="00E45BB2"/>
    <w:rsid w:val="00E47DDD"/>
    <w:rsid w:val="00E5033F"/>
    <w:rsid w:val="00E506AC"/>
    <w:rsid w:val="00E50B14"/>
    <w:rsid w:val="00E50E8D"/>
    <w:rsid w:val="00E51051"/>
    <w:rsid w:val="00E534D2"/>
    <w:rsid w:val="00E53AD9"/>
    <w:rsid w:val="00E53CE1"/>
    <w:rsid w:val="00E53D03"/>
    <w:rsid w:val="00E53F20"/>
    <w:rsid w:val="00E549FD"/>
    <w:rsid w:val="00E56189"/>
    <w:rsid w:val="00E568E6"/>
    <w:rsid w:val="00E56F95"/>
    <w:rsid w:val="00E60054"/>
    <w:rsid w:val="00E609D8"/>
    <w:rsid w:val="00E61143"/>
    <w:rsid w:val="00E61955"/>
    <w:rsid w:val="00E6203B"/>
    <w:rsid w:val="00E6203D"/>
    <w:rsid w:val="00E64E75"/>
    <w:rsid w:val="00E65A8F"/>
    <w:rsid w:val="00E66E4F"/>
    <w:rsid w:val="00E66F14"/>
    <w:rsid w:val="00E67397"/>
    <w:rsid w:val="00E67D2D"/>
    <w:rsid w:val="00E708A9"/>
    <w:rsid w:val="00E717CB"/>
    <w:rsid w:val="00E719C7"/>
    <w:rsid w:val="00E72332"/>
    <w:rsid w:val="00E7273A"/>
    <w:rsid w:val="00E72F75"/>
    <w:rsid w:val="00E74EC2"/>
    <w:rsid w:val="00E752DC"/>
    <w:rsid w:val="00E76022"/>
    <w:rsid w:val="00E764EA"/>
    <w:rsid w:val="00E770D2"/>
    <w:rsid w:val="00E77378"/>
    <w:rsid w:val="00E77D19"/>
    <w:rsid w:val="00E802AF"/>
    <w:rsid w:val="00E80569"/>
    <w:rsid w:val="00E81563"/>
    <w:rsid w:val="00E818F2"/>
    <w:rsid w:val="00E82591"/>
    <w:rsid w:val="00E8268A"/>
    <w:rsid w:val="00E8457D"/>
    <w:rsid w:val="00E84851"/>
    <w:rsid w:val="00E8588A"/>
    <w:rsid w:val="00E85AF3"/>
    <w:rsid w:val="00E86748"/>
    <w:rsid w:val="00E86E7C"/>
    <w:rsid w:val="00E873E5"/>
    <w:rsid w:val="00E90D5B"/>
    <w:rsid w:val="00E9134F"/>
    <w:rsid w:val="00E92B55"/>
    <w:rsid w:val="00E93DF3"/>
    <w:rsid w:val="00E94706"/>
    <w:rsid w:val="00E95293"/>
    <w:rsid w:val="00E95489"/>
    <w:rsid w:val="00E9583E"/>
    <w:rsid w:val="00E9768E"/>
    <w:rsid w:val="00E97F76"/>
    <w:rsid w:val="00EA00C0"/>
    <w:rsid w:val="00EA02DC"/>
    <w:rsid w:val="00EA2B23"/>
    <w:rsid w:val="00EA3A11"/>
    <w:rsid w:val="00EA404A"/>
    <w:rsid w:val="00EA4116"/>
    <w:rsid w:val="00EA497A"/>
    <w:rsid w:val="00EA4C7D"/>
    <w:rsid w:val="00EA70B6"/>
    <w:rsid w:val="00EB00D2"/>
    <w:rsid w:val="00EB0D31"/>
    <w:rsid w:val="00EB158A"/>
    <w:rsid w:val="00EB198F"/>
    <w:rsid w:val="00EB1FA0"/>
    <w:rsid w:val="00EB2F65"/>
    <w:rsid w:val="00EB2F95"/>
    <w:rsid w:val="00EB379E"/>
    <w:rsid w:val="00EB3D45"/>
    <w:rsid w:val="00EB53FC"/>
    <w:rsid w:val="00EB6CBB"/>
    <w:rsid w:val="00EC02FA"/>
    <w:rsid w:val="00EC0FC7"/>
    <w:rsid w:val="00EC1718"/>
    <w:rsid w:val="00EC2209"/>
    <w:rsid w:val="00EC22D3"/>
    <w:rsid w:val="00EC289A"/>
    <w:rsid w:val="00EC3265"/>
    <w:rsid w:val="00EC3889"/>
    <w:rsid w:val="00EC588B"/>
    <w:rsid w:val="00EC623E"/>
    <w:rsid w:val="00EC7C00"/>
    <w:rsid w:val="00EC7D33"/>
    <w:rsid w:val="00ED0AEE"/>
    <w:rsid w:val="00ED1146"/>
    <w:rsid w:val="00ED13A3"/>
    <w:rsid w:val="00ED1654"/>
    <w:rsid w:val="00ED16D8"/>
    <w:rsid w:val="00ED1955"/>
    <w:rsid w:val="00ED1AC0"/>
    <w:rsid w:val="00ED2360"/>
    <w:rsid w:val="00ED2596"/>
    <w:rsid w:val="00ED26FC"/>
    <w:rsid w:val="00ED2743"/>
    <w:rsid w:val="00ED2913"/>
    <w:rsid w:val="00ED3A98"/>
    <w:rsid w:val="00ED3CDB"/>
    <w:rsid w:val="00ED431C"/>
    <w:rsid w:val="00ED4497"/>
    <w:rsid w:val="00ED47C8"/>
    <w:rsid w:val="00ED618A"/>
    <w:rsid w:val="00ED6B0F"/>
    <w:rsid w:val="00ED7FCA"/>
    <w:rsid w:val="00EE06C7"/>
    <w:rsid w:val="00EE0870"/>
    <w:rsid w:val="00EE2854"/>
    <w:rsid w:val="00EE32A4"/>
    <w:rsid w:val="00EE4075"/>
    <w:rsid w:val="00EE4465"/>
    <w:rsid w:val="00EE4C26"/>
    <w:rsid w:val="00EE52CB"/>
    <w:rsid w:val="00EE5496"/>
    <w:rsid w:val="00EE5758"/>
    <w:rsid w:val="00EE58A4"/>
    <w:rsid w:val="00EE5B9B"/>
    <w:rsid w:val="00EE5CED"/>
    <w:rsid w:val="00EE6012"/>
    <w:rsid w:val="00EE61B5"/>
    <w:rsid w:val="00EE6555"/>
    <w:rsid w:val="00EE6C0B"/>
    <w:rsid w:val="00EE7EE0"/>
    <w:rsid w:val="00EE7F09"/>
    <w:rsid w:val="00EF03F2"/>
    <w:rsid w:val="00EF0953"/>
    <w:rsid w:val="00EF0EC9"/>
    <w:rsid w:val="00EF1030"/>
    <w:rsid w:val="00EF2583"/>
    <w:rsid w:val="00EF45D8"/>
    <w:rsid w:val="00EF4C2D"/>
    <w:rsid w:val="00EF4F51"/>
    <w:rsid w:val="00EF56B3"/>
    <w:rsid w:val="00EF6FB8"/>
    <w:rsid w:val="00EF7DF0"/>
    <w:rsid w:val="00F02C56"/>
    <w:rsid w:val="00F02D8C"/>
    <w:rsid w:val="00F030E8"/>
    <w:rsid w:val="00F035AB"/>
    <w:rsid w:val="00F04607"/>
    <w:rsid w:val="00F04E11"/>
    <w:rsid w:val="00F05123"/>
    <w:rsid w:val="00F07CAD"/>
    <w:rsid w:val="00F107B2"/>
    <w:rsid w:val="00F10AAA"/>
    <w:rsid w:val="00F11A5B"/>
    <w:rsid w:val="00F127D0"/>
    <w:rsid w:val="00F137AC"/>
    <w:rsid w:val="00F14D31"/>
    <w:rsid w:val="00F15D6B"/>
    <w:rsid w:val="00F162BD"/>
    <w:rsid w:val="00F16797"/>
    <w:rsid w:val="00F16B39"/>
    <w:rsid w:val="00F16B89"/>
    <w:rsid w:val="00F16FB4"/>
    <w:rsid w:val="00F17352"/>
    <w:rsid w:val="00F208D0"/>
    <w:rsid w:val="00F20991"/>
    <w:rsid w:val="00F210A3"/>
    <w:rsid w:val="00F21844"/>
    <w:rsid w:val="00F21FCC"/>
    <w:rsid w:val="00F2219B"/>
    <w:rsid w:val="00F22394"/>
    <w:rsid w:val="00F22B91"/>
    <w:rsid w:val="00F24205"/>
    <w:rsid w:val="00F25B33"/>
    <w:rsid w:val="00F26F52"/>
    <w:rsid w:val="00F2765C"/>
    <w:rsid w:val="00F31F4F"/>
    <w:rsid w:val="00F32155"/>
    <w:rsid w:val="00F32253"/>
    <w:rsid w:val="00F32AC9"/>
    <w:rsid w:val="00F3306A"/>
    <w:rsid w:val="00F338CE"/>
    <w:rsid w:val="00F33FDC"/>
    <w:rsid w:val="00F34FF1"/>
    <w:rsid w:val="00F354AC"/>
    <w:rsid w:val="00F36723"/>
    <w:rsid w:val="00F369E8"/>
    <w:rsid w:val="00F37476"/>
    <w:rsid w:val="00F4034F"/>
    <w:rsid w:val="00F410A1"/>
    <w:rsid w:val="00F4140E"/>
    <w:rsid w:val="00F4228D"/>
    <w:rsid w:val="00F4275B"/>
    <w:rsid w:val="00F42F97"/>
    <w:rsid w:val="00F43621"/>
    <w:rsid w:val="00F43C7D"/>
    <w:rsid w:val="00F43CEF"/>
    <w:rsid w:val="00F43CF7"/>
    <w:rsid w:val="00F444E0"/>
    <w:rsid w:val="00F448CE"/>
    <w:rsid w:val="00F45046"/>
    <w:rsid w:val="00F45C45"/>
    <w:rsid w:val="00F4610A"/>
    <w:rsid w:val="00F4776B"/>
    <w:rsid w:val="00F47CD9"/>
    <w:rsid w:val="00F51F47"/>
    <w:rsid w:val="00F5252E"/>
    <w:rsid w:val="00F52DA3"/>
    <w:rsid w:val="00F53029"/>
    <w:rsid w:val="00F55CDA"/>
    <w:rsid w:val="00F55EE5"/>
    <w:rsid w:val="00F565E8"/>
    <w:rsid w:val="00F56A28"/>
    <w:rsid w:val="00F57213"/>
    <w:rsid w:val="00F57272"/>
    <w:rsid w:val="00F578F5"/>
    <w:rsid w:val="00F6046E"/>
    <w:rsid w:val="00F61129"/>
    <w:rsid w:val="00F614A7"/>
    <w:rsid w:val="00F61BC0"/>
    <w:rsid w:val="00F61CC4"/>
    <w:rsid w:val="00F629A2"/>
    <w:rsid w:val="00F62CB7"/>
    <w:rsid w:val="00F63CEF"/>
    <w:rsid w:val="00F64CFE"/>
    <w:rsid w:val="00F65255"/>
    <w:rsid w:val="00F6544D"/>
    <w:rsid w:val="00F66B04"/>
    <w:rsid w:val="00F719DD"/>
    <w:rsid w:val="00F728EE"/>
    <w:rsid w:val="00F72EC7"/>
    <w:rsid w:val="00F739F3"/>
    <w:rsid w:val="00F756AD"/>
    <w:rsid w:val="00F75A0D"/>
    <w:rsid w:val="00F75E25"/>
    <w:rsid w:val="00F7760B"/>
    <w:rsid w:val="00F777CF"/>
    <w:rsid w:val="00F801EE"/>
    <w:rsid w:val="00F804FA"/>
    <w:rsid w:val="00F80D43"/>
    <w:rsid w:val="00F8169A"/>
    <w:rsid w:val="00F81796"/>
    <w:rsid w:val="00F81B45"/>
    <w:rsid w:val="00F82031"/>
    <w:rsid w:val="00F82233"/>
    <w:rsid w:val="00F8226C"/>
    <w:rsid w:val="00F83157"/>
    <w:rsid w:val="00F831EF"/>
    <w:rsid w:val="00F834E9"/>
    <w:rsid w:val="00F8416F"/>
    <w:rsid w:val="00F843B1"/>
    <w:rsid w:val="00F8450F"/>
    <w:rsid w:val="00F853DC"/>
    <w:rsid w:val="00F86A84"/>
    <w:rsid w:val="00F87BFD"/>
    <w:rsid w:val="00F9196B"/>
    <w:rsid w:val="00F922EE"/>
    <w:rsid w:val="00F930E5"/>
    <w:rsid w:val="00F934CD"/>
    <w:rsid w:val="00F93744"/>
    <w:rsid w:val="00F93AC8"/>
    <w:rsid w:val="00F9497C"/>
    <w:rsid w:val="00F9688E"/>
    <w:rsid w:val="00F9718D"/>
    <w:rsid w:val="00F97BEF"/>
    <w:rsid w:val="00F97F52"/>
    <w:rsid w:val="00FA0B7A"/>
    <w:rsid w:val="00FA13BC"/>
    <w:rsid w:val="00FA19B3"/>
    <w:rsid w:val="00FA27DD"/>
    <w:rsid w:val="00FA29E0"/>
    <w:rsid w:val="00FA2A49"/>
    <w:rsid w:val="00FA2F43"/>
    <w:rsid w:val="00FA45BD"/>
    <w:rsid w:val="00FA599D"/>
    <w:rsid w:val="00FA689C"/>
    <w:rsid w:val="00FB088F"/>
    <w:rsid w:val="00FB0A00"/>
    <w:rsid w:val="00FB0F3A"/>
    <w:rsid w:val="00FB1AF1"/>
    <w:rsid w:val="00FB2016"/>
    <w:rsid w:val="00FB25FB"/>
    <w:rsid w:val="00FB2F91"/>
    <w:rsid w:val="00FB3E25"/>
    <w:rsid w:val="00FB443C"/>
    <w:rsid w:val="00FB4511"/>
    <w:rsid w:val="00FB494C"/>
    <w:rsid w:val="00FB5224"/>
    <w:rsid w:val="00FB5572"/>
    <w:rsid w:val="00FB576D"/>
    <w:rsid w:val="00FB5819"/>
    <w:rsid w:val="00FB5847"/>
    <w:rsid w:val="00FB6FDB"/>
    <w:rsid w:val="00FB7244"/>
    <w:rsid w:val="00FB7721"/>
    <w:rsid w:val="00FB78FA"/>
    <w:rsid w:val="00FC0E32"/>
    <w:rsid w:val="00FC1C54"/>
    <w:rsid w:val="00FC1F29"/>
    <w:rsid w:val="00FC29AD"/>
    <w:rsid w:val="00FC4347"/>
    <w:rsid w:val="00FC676B"/>
    <w:rsid w:val="00FC6B6C"/>
    <w:rsid w:val="00FC7523"/>
    <w:rsid w:val="00FC771E"/>
    <w:rsid w:val="00FC7B15"/>
    <w:rsid w:val="00FD0968"/>
    <w:rsid w:val="00FD0D91"/>
    <w:rsid w:val="00FD1461"/>
    <w:rsid w:val="00FD3590"/>
    <w:rsid w:val="00FD3C88"/>
    <w:rsid w:val="00FD5762"/>
    <w:rsid w:val="00FD5ACA"/>
    <w:rsid w:val="00FE10F7"/>
    <w:rsid w:val="00FE187C"/>
    <w:rsid w:val="00FE1E34"/>
    <w:rsid w:val="00FE1FEE"/>
    <w:rsid w:val="00FE2A76"/>
    <w:rsid w:val="00FE2D2C"/>
    <w:rsid w:val="00FE378B"/>
    <w:rsid w:val="00FE5116"/>
    <w:rsid w:val="00FE6396"/>
    <w:rsid w:val="00FE78DB"/>
    <w:rsid w:val="00FF017B"/>
    <w:rsid w:val="00FF0C67"/>
    <w:rsid w:val="00FF10D3"/>
    <w:rsid w:val="00FF1103"/>
    <w:rsid w:val="00FF22A7"/>
    <w:rsid w:val="00FF2D4E"/>
    <w:rsid w:val="00FF2F3F"/>
    <w:rsid w:val="00FF3AC2"/>
    <w:rsid w:val="00FF4552"/>
    <w:rsid w:val="00FF4AFE"/>
    <w:rsid w:val="00FF5202"/>
    <w:rsid w:val="00FF57CE"/>
    <w:rsid w:val="00FF6C3E"/>
    <w:rsid w:val="00FF75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D6562"/>
  <w15:docId w15:val="{32C884E3-5C1C-4969-A059-77506668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0"/>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E2378F"/>
    <w:pPr>
      <w:keepNext/>
      <w:keepLines/>
      <w:numPr>
        <w:numId w:val="6"/>
      </w:numPr>
      <w:spacing w:before="120" w:after="60"/>
      <w:outlineLvl w:val="0"/>
    </w:pPr>
    <w:rPr>
      <w:rFonts w:asciiTheme="majorHAnsi" w:eastAsiaTheme="majorEastAsia" w:hAnsiTheme="majorHAnsi" w:cstheme="majorBidi"/>
      <w:color w:val="2F5496" w:themeColor="accent5" w:themeShade="BF"/>
      <w:sz w:val="36"/>
      <w:szCs w:val="32"/>
    </w:rPr>
  </w:style>
  <w:style w:type="paragraph" w:styleId="Heading2">
    <w:name w:val="heading 2"/>
    <w:basedOn w:val="Normal"/>
    <w:next w:val="BodyText"/>
    <w:link w:val="Heading2Char"/>
    <w:uiPriority w:val="9"/>
    <w:unhideWhenUsed/>
    <w:qFormat/>
    <w:rsid w:val="006F77B1"/>
    <w:pPr>
      <w:keepNext/>
      <w:keepLines/>
      <w:numPr>
        <w:ilvl w:val="1"/>
        <w:numId w:val="6"/>
      </w:numPr>
      <w:spacing w:before="40" w:after="0"/>
      <w:outlineLvl w:val="1"/>
    </w:pPr>
    <w:rPr>
      <w:rFonts w:asciiTheme="majorHAnsi" w:eastAsiaTheme="majorEastAsia" w:hAnsiTheme="majorHAnsi" w:cstheme="majorBidi"/>
      <w:color w:val="1F4E79" w:themeColor="accent1" w:themeShade="80"/>
      <w:sz w:val="32"/>
      <w:szCs w:val="26"/>
    </w:rPr>
  </w:style>
  <w:style w:type="paragraph" w:styleId="Heading3">
    <w:name w:val="heading 3"/>
    <w:basedOn w:val="Normal"/>
    <w:next w:val="BodyText"/>
    <w:link w:val="Heading3Char"/>
    <w:uiPriority w:val="9"/>
    <w:unhideWhenUsed/>
    <w:qFormat/>
    <w:rsid w:val="006F77B1"/>
    <w:pPr>
      <w:keepNext/>
      <w:keepLines/>
      <w:numPr>
        <w:ilvl w:val="2"/>
        <w:numId w:val="6"/>
      </w:numPr>
      <w:spacing w:before="40" w:after="0"/>
      <w:outlineLvl w:val="2"/>
    </w:pPr>
    <w:rPr>
      <w:rFonts w:asciiTheme="majorHAnsi" w:eastAsiaTheme="majorEastAsia" w:hAnsiTheme="majorHAnsi" w:cstheme="majorBidi"/>
      <w:color w:val="1F3864" w:themeColor="accent5" w:themeShade="80"/>
      <w:sz w:val="28"/>
      <w:szCs w:val="24"/>
    </w:rPr>
  </w:style>
  <w:style w:type="paragraph" w:styleId="Heading4">
    <w:name w:val="heading 4"/>
    <w:basedOn w:val="Normal"/>
    <w:next w:val="BodyText"/>
    <w:link w:val="Heading4Char"/>
    <w:uiPriority w:val="9"/>
    <w:unhideWhenUsed/>
    <w:qFormat/>
    <w:rsid w:val="009B01C4"/>
    <w:pPr>
      <w:keepNext/>
      <w:keepLines/>
      <w:numPr>
        <w:ilvl w:val="3"/>
        <w:numId w:val="6"/>
      </w:numPr>
      <w:spacing w:before="40" w:after="0"/>
      <w:outlineLvl w:val="3"/>
    </w:pPr>
    <w:rPr>
      <w:rFonts w:asciiTheme="majorHAnsi" w:eastAsiaTheme="majorEastAsia" w:hAnsiTheme="majorHAnsi" w:cstheme="majorBidi"/>
      <w:iCs/>
      <w:color w:val="1F3864" w:themeColor="accent5" w:themeShade="80"/>
      <w:sz w:val="24"/>
    </w:rPr>
  </w:style>
  <w:style w:type="paragraph" w:styleId="Heading5">
    <w:name w:val="heading 5"/>
    <w:basedOn w:val="Normal"/>
    <w:next w:val="Normal"/>
    <w:link w:val="Heading5Char"/>
    <w:uiPriority w:val="9"/>
    <w:unhideWhenUsed/>
    <w:qFormat/>
    <w:rsid w:val="00F80D43"/>
    <w:pPr>
      <w:keepNext/>
      <w:keepLines/>
      <w:tabs>
        <w:tab w:val="num" w:pos="1134"/>
      </w:tabs>
      <w:spacing w:before="200"/>
      <w:ind w:left="1134" w:hanging="1134"/>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393284"/>
    <w:pPr>
      <w:spacing w:before="120" w:after="120"/>
      <w:ind w:firstLine="720"/>
      <w:jc w:val="both"/>
    </w:pPr>
  </w:style>
  <w:style w:type="character" w:customStyle="1" w:styleId="BodyTextChar">
    <w:name w:val="Body Text Char"/>
    <w:basedOn w:val="DefaultParagraphFont"/>
    <w:link w:val="BodyText"/>
    <w:uiPriority w:val="99"/>
    <w:rsid w:val="00393284"/>
  </w:style>
  <w:style w:type="paragraph" w:customStyle="1" w:styleId="BodyTextT">
    <w:name w:val="Body Text T"/>
    <w:basedOn w:val="Normal"/>
    <w:rsid w:val="00DF3F55"/>
    <w:pPr>
      <w:spacing w:before="20" w:after="40" w:line="240" w:lineRule="auto"/>
    </w:pPr>
    <w:rPr>
      <w:rFonts w:eastAsia="Times New Roman" w:cs="Times New Roman"/>
      <w:bCs/>
      <w:sz w:val="18"/>
      <w:szCs w:val="24"/>
    </w:rPr>
  </w:style>
  <w:style w:type="table" w:customStyle="1" w:styleId="GridTable1Light-Accent11">
    <w:name w:val="Grid Table 1 Light - Accent 11"/>
    <w:basedOn w:val="TableNormal"/>
    <w:uiPriority w:val="46"/>
    <w:rsid w:val="00CA0D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pPr>
        <w:keepNext/>
        <w:widowControl/>
        <w:wordWrap/>
      </w:pPr>
      <w:rPr>
        <w:b/>
        <w:bCs/>
      </w:rPr>
      <w:tblPr/>
      <w:trPr>
        <w:cantSplit/>
        <w:tblHeader/>
      </w:tr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A0D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pPr>
        <w:keepNext/>
        <w:widowControl/>
        <w:wordWrap/>
      </w:pPr>
      <w:rPr>
        <w:b/>
        <w:bCs/>
      </w:rPr>
      <w:tblPr/>
      <w:trPr>
        <w:cantSplit/>
        <w:tblHeader/>
      </w:tr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A0D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pPr>
        <w:keepNext/>
        <w:widowControl/>
        <w:wordWrap/>
      </w:pPr>
      <w:rPr>
        <w:b/>
        <w:bCs/>
      </w:rPr>
      <w:tblPr/>
      <w:trPr>
        <w:cantSplit/>
        <w:tblHeader/>
      </w:tr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CA0D4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pPr>
        <w:keepNext/>
        <w:widowControl/>
        <w:wordWrap/>
      </w:pPr>
      <w:rPr>
        <w:b/>
        <w:bCs/>
      </w:rPr>
      <w:tblPr/>
      <w:trPr>
        <w:cantSplit/>
        <w:tblHeader/>
      </w:tr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A0D4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rPr>
      <w:cantSplit/>
      <w:tblHeader/>
    </w:trPr>
    <w:tblStylePr w:type="firstRow">
      <w:pPr>
        <w:keepNext/>
        <w:widowControl/>
        <w:wordWrap/>
      </w:pPr>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A0D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cantSplit/>
    </w:trPr>
    <w:tblStylePr w:type="firstRow">
      <w:pPr>
        <w:keepNext/>
        <w:widowControl/>
        <w:wordWrap/>
      </w:pPr>
      <w:rPr>
        <w:b/>
        <w:bCs/>
      </w:rPr>
      <w:tblPr/>
      <w:trPr>
        <w:tblHeader/>
      </w:tr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ListBulletT">
    <w:name w:val="List Bullet T"/>
    <w:basedOn w:val="Normal"/>
    <w:qFormat/>
    <w:rsid w:val="00CA0D46"/>
    <w:pPr>
      <w:numPr>
        <w:numId w:val="1"/>
      </w:numPr>
      <w:spacing w:before="20" w:after="40" w:line="240" w:lineRule="auto"/>
    </w:pPr>
    <w:rPr>
      <w:rFonts w:eastAsia="Calibri" w:cs="Times New Roman"/>
      <w:kern w:val="20"/>
      <w:sz w:val="20"/>
    </w:rPr>
  </w:style>
  <w:style w:type="paragraph" w:customStyle="1" w:styleId="ListNumberT">
    <w:name w:val="List Number T"/>
    <w:basedOn w:val="Normal"/>
    <w:qFormat/>
    <w:rsid w:val="002B158F"/>
    <w:pPr>
      <w:numPr>
        <w:numId w:val="19"/>
      </w:numPr>
      <w:tabs>
        <w:tab w:val="left" w:pos="1260"/>
        <w:tab w:val="left" w:pos="1440"/>
      </w:tabs>
      <w:spacing w:before="20" w:after="40" w:line="240" w:lineRule="auto"/>
    </w:pPr>
    <w:rPr>
      <w:rFonts w:eastAsia="Times New Roman" w:cs="Times New Roman"/>
      <w:bCs/>
      <w:sz w:val="18"/>
      <w:szCs w:val="24"/>
    </w:rPr>
  </w:style>
  <w:style w:type="numbering" w:customStyle="1" w:styleId="myBulletMultilevel">
    <w:name w:val="myBullet_Multilevel"/>
    <w:uiPriority w:val="99"/>
    <w:rsid w:val="00496F73"/>
    <w:pPr>
      <w:numPr>
        <w:numId w:val="2"/>
      </w:numPr>
    </w:pPr>
  </w:style>
  <w:style w:type="numbering" w:customStyle="1" w:styleId="myNumberBulletsMultilevel">
    <w:name w:val="myNumber_Bullets_Multilevel"/>
    <w:uiPriority w:val="99"/>
    <w:rsid w:val="00CA0D46"/>
    <w:pPr>
      <w:numPr>
        <w:numId w:val="3"/>
      </w:numPr>
    </w:pPr>
  </w:style>
  <w:style w:type="numbering" w:customStyle="1" w:styleId="myNumbersMultilevel">
    <w:name w:val="myNumbers_Multilevel"/>
    <w:uiPriority w:val="99"/>
    <w:rsid w:val="00496F73"/>
    <w:pPr>
      <w:numPr>
        <w:numId w:val="4"/>
      </w:numPr>
    </w:pPr>
  </w:style>
  <w:style w:type="table" w:customStyle="1" w:styleId="PlainTable11">
    <w:name w:val="Plain Table 11"/>
    <w:basedOn w:val="TableNormal"/>
    <w:uiPriority w:val="41"/>
    <w:rsid w:val="00CA0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widowControl/>
        <w:wordWrap/>
      </w:pPr>
      <w:rPr>
        <w:b/>
        <w:bCs/>
      </w:rPr>
      <w:tblPr/>
      <w:trPr>
        <w:cantSplit/>
        <w:tblHeader/>
      </w:t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A0D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pPr>
        <w:keepNext/>
        <w:widowControl/>
        <w:wordWrap/>
      </w:pPr>
      <w:rPr>
        <w:b/>
        <w:bCs/>
      </w:rPr>
      <w:tblPr/>
      <w:trPr>
        <w:cantSplit/>
        <w:tblHeader/>
      </w:tr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CA0D46"/>
    <w:pPr>
      <w:spacing w:after="0" w:line="240" w:lineRule="auto"/>
    </w:pPr>
    <w:tblPr>
      <w:tblStyleRowBandSize w:val="1"/>
      <w:tblStyleColBandSize w:val="1"/>
    </w:tblPr>
    <w:tblStylePr w:type="firstRow">
      <w:pPr>
        <w:keepNext/>
        <w:widowControl/>
        <w:wordWrap/>
      </w:pPr>
      <w:rPr>
        <w:rFonts w:asciiTheme="majorHAnsi" w:eastAsiaTheme="majorEastAsia" w:hAnsiTheme="majorHAnsi" w:cstheme="majorBidi"/>
        <w:i/>
        <w:iCs/>
        <w:sz w:val="26"/>
      </w:rPr>
      <w:tblPr/>
      <w:trPr>
        <w:cantSplit/>
        <w:tblHeader/>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link w:val="SubtitleChar"/>
    <w:uiPriority w:val="99"/>
    <w:qFormat/>
    <w:rsid w:val="009B01C4"/>
    <w:pPr>
      <w:numPr>
        <w:ilvl w:val="1"/>
      </w:numPr>
    </w:pPr>
    <w:rPr>
      <w:rFonts w:eastAsiaTheme="minorEastAsia"/>
      <w:color w:val="5A5A5A" w:themeColor="text1" w:themeTint="A5"/>
      <w:spacing w:val="10"/>
      <w:sz w:val="36"/>
    </w:rPr>
  </w:style>
  <w:style w:type="character" w:customStyle="1" w:styleId="SubtitleChar">
    <w:name w:val="Subtitle Char"/>
    <w:basedOn w:val="DefaultParagraphFont"/>
    <w:link w:val="Subtitle"/>
    <w:uiPriority w:val="99"/>
    <w:rsid w:val="009B01C4"/>
    <w:rPr>
      <w:rFonts w:eastAsiaTheme="minorEastAsia"/>
      <w:color w:val="5A5A5A" w:themeColor="text1" w:themeTint="A5"/>
      <w:spacing w:val="10"/>
      <w:sz w:val="36"/>
    </w:rPr>
  </w:style>
  <w:style w:type="table" w:styleId="TableGrid">
    <w:name w:val="Table Grid"/>
    <w:aliases w:val="Table Grid CEPA,notes"/>
    <w:basedOn w:val="TableNormal"/>
    <w:uiPriority w:val="39"/>
    <w:rsid w:val="00CA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idowControl/>
        <w:wordWrap/>
      </w:pPr>
      <w:tblPr/>
      <w:trPr>
        <w:cantSplit/>
        <w:tblHeader/>
      </w:trPr>
    </w:tblStylePr>
  </w:style>
  <w:style w:type="table" w:customStyle="1" w:styleId="TableGridLight1">
    <w:name w:val="Table Grid Light1"/>
    <w:basedOn w:val="TableNormal"/>
    <w:uiPriority w:val="40"/>
    <w:rsid w:val="00CA0D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widowControl/>
        <w:wordWrap/>
      </w:pPr>
      <w:tblPr/>
      <w:trPr>
        <w:cantSplit/>
        <w:tblHeader/>
      </w:trPr>
    </w:tblStylePr>
  </w:style>
  <w:style w:type="paragraph" w:styleId="Title">
    <w:name w:val="Title"/>
    <w:basedOn w:val="Normal"/>
    <w:next w:val="Normal"/>
    <w:link w:val="TitleChar"/>
    <w:uiPriority w:val="10"/>
    <w:qFormat/>
    <w:rsid w:val="00435AE9"/>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435AE9"/>
    <w:rPr>
      <w:rFonts w:asciiTheme="majorHAnsi" w:eastAsiaTheme="majorEastAsia" w:hAnsiTheme="majorHAnsi" w:cstheme="majorBidi"/>
      <w:spacing w:val="-10"/>
      <w:kern w:val="28"/>
      <w:sz w:val="40"/>
      <w:szCs w:val="56"/>
    </w:rPr>
  </w:style>
  <w:style w:type="paragraph" w:styleId="ListParagraph">
    <w:name w:val="List Paragraph"/>
    <w:aliases w:val="Citation List,List Paragraph (numbered (a)),References,ReferencesCxSpLast,lp1,Bullet List,FooterText,List Paragraph1,Colorful List Accent 1"/>
    <w:basedOn w:val="Normal"/>
    <w:link w:val="ListParagraphChar"/>
    <w:uiPriority w:val="34"/>
    <w:qFormat/>
    <w:rsid w:val="00BA5025"/>
    <w:pPr>
      <w:ind w:left="720"/>
      <w:contextualSpacing/>
    </w:pPr>
  </w:style>
  <w:style w:type="character" w:customStyle="1" w:styleId="Heading1Char">
    <w:name w:val="Heading 1 Char"/>
    <w:basedOn w:val="DefaultParagraphFont"/>
    <w:link w:val="Heading1"/>
    <w:uiPriority w:val="9"/>
    <w:rsid w:val="00E2378F"/>
    <w:rPr>
      <w:rFonts w:asciiTheme="majorHAnsi" w:eastAsiaTheme="majorEastAsia" w:hAnsiTheme="majorHAnsi" w:cstheme="majorBidi"/>
      <w:color w:val="2F5496" w:themeColor="accent5" w:themeShade="BF"/>
      <w:sz w:val="36"/>
      <w:szCs w:val="32"/>
    </w:rPr>
  </w:style>
  <w:style w:type="character" w:customStyle="1" w:styleId="Heading2Char">
    <w:name w:val="Heading 2 Char"/>
    <w:basedOn w:val="DefaultParagraphFont"/>
    <w:link w:val="Heading2"/>
    <w:uiPriority w:val="9"/>
    <w:rsid w:val="009B01C4"/>
    <w:rPr>
      <w:rFonts w:asciiTheme="majorHAnsi" w:eastAsiaTheme="majorEastAsia" w:hAnsiTheme="majorHAnsi" w:cstheme="majorBidi"/>
      <w:color w:val="1F4E79" w:themeColor="accent1" w:themeShade="80"/>
      <w:sz w:val="32"/>
      <w:szCs w:val="26"/>
    </w:rPr>
  </w:style>
  <w:style w:type="character" w:customStyle="1" w:styleId="Heading3Char">
    <w:name w:val="Heading 3 Char"/>
    <w:basedOn w:val="DefaultParagraphFont"/>
    <w:link w:val="Heading3"/>
    <w:uiPriority w:val="9"/>
    <w:rsid w:val="009B01C4"/>
    <w:rPr>
      <w:rFonts w:asciiTheme="majorHAnsi" w:eastAsiaTheme="majorEastAsia" w:hAnsiTheme="majorHAnsi" w:cstheme="majorBidi"/>
      <w:color w:val="1F3864" w:themeColor="accent5" w:themeShade="80"/>
      <w:sz w:val="28"/>
      <w:szCs w:val="24"/>
    </w:rPr>
  </w:style>
  <w:style w:type="paragraph" w:styleId="Header">
    <w:name w:val="header"/>
    <w:basedOn w:val="Normal"/>
    <w:link w:val="HeaderChar"/>
    <w:uiPriority w:val="99"/>
    <w:unhideWhenUsed/>
    <w:rsid w:val="00242083"/>
    <w:pPr>
      <w:tabs>
        <w:tab w:val="center" w:pos="4680"/>
        <w:tab w:val="right" w:pos="9360"/>
      </w:tabs>
      <w:spacing w:after="0" w:line="240" w:lineRule="auto"/>
    </w:pPr>
    <w:rPr>
      <w:color w:val="1F3864" w:themeColor="accent5" w:themeShade="80"/>
      <w:sz w:val="20"/>
    </w:rPr>
  </w:style>
  <w:style w:type="character" w:customStyle="1" w:styleId="HeaderChar">
    <w:name w:val="Header Char"/>
    <w:basedOn w:val="DefaultParagraphFont"/>
    <w:link w:val="Header"/>
    <w:uiPriority w:val="99"/>
    <w:rsid w:val="00242083"/>
    <w:rPr>
      <w:color w:val="1F3864" w:themeColor="accent5" w:themeShade="80"/>
      <w:sz w:val="20"/>
    </w:rPr>
  </w:style>
  <w:style w:type="paragraph" w:styleId="Footer">
    <w:name w:val="footer"/>
    <w:basedOn w:val="Normal"/>
    <w:link w:val="FooterChar"/>
    <w:uiPriority w:val="99"/>
    <w:unhideWhenUsed/>
    <w:rsid w:val="002420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083"/>
  </w:style>
  <w:style w:type="paragraph" w:styleId="FootnoteText">
    <w:name w:val="footnote text"/>
    <w:aliases w:val="single space,footnote text,FOOTNOTES,fn,Footnote Text1,Fodnotetekst Tegn,Fodnotetekst Tegn Char,footnote text Char Char Char,Fodnotetekst Tegn Char1,single space Char1,footnote text Char Char1,f,Geneva 9,Footnote,ADB"/>
    <w:basedOn w:val="Normal"/>
    <w:link w:val="FootnoteTextChar"/>
    <w:uiPriority w:val="99"/>
    <w:unhideWhenUsed/>
    <w:qFormat/>
    <w:rsid w:val="00D0026A"/>
    <w:pPr>
      <w:tabs>
        <w:tab w:val="left" w:pos="227"/>
      </w:tabs>
      <w:spacing w:after="0" w:line="240" w:lineRule="auto"/>
      <w:ind w:left="227" w:hanging="227"/>
    </w:pPr>
    <w:rPr>
      <w:sz w:val="18"/>
      <w:szCs w:val="20"/>
    </w:rPr>
  </w:style>
  <w:style w:type="character" w:customStyle="1" w:styleId="FootnoteTextChar">
    <w:name w:val="Footnote Text Char"/>
    <w:aliases w:val="single space Char,footnote text Char,FOOTNOTES Char,fn Char,Footnote Text1 Char,Fodnotetekst Tegn Char2,Fodnotetekst Tegn Char Char,footnote text Char Char Char Char,Fodnotetekst Tegn Char1 Char,single space Char1 Char,f Char,ADB Char"/>
    <w:basedOn w:val="DefaultParagraphFont"/>
    <w:link w:val="FootnoteText"/>
    <w:uiPriority w:val="99"/>
    <w:rsid w:val="00D0026A"/>
    <w:rPr>
      <w:sz w:val="18"/>
      <w:szCs w:val="20"/>
    </w:rPr>
  </w:style>
  <w:style w:type="character" w:styleId="FootnoteReference">
    <w:name w:val="footnote reference"/>
    <w:basedOn w:val="DefaultParagraphFont"/>
    <w:uiPriority w:val="99"/>
    <w:unhideWhenUsed/>
    <w:rsid w:val="00C54EBA"/>
    <w:rPr>
      <w:vertAlign w:val="superscript"/>
    </w:rPr>
  </w:style>
  <w:style w:type="character" w:customStyle="1" w:styleId="Heading4Char">
    <w:name w:val="Heading 4 Char"/>
    <w:basedOn w:val="DefaultParagraphFont"/>
    <w:link w:val="Heading4"/>
    <w:uiPriority w:val="9"/>
    <w:rsid w:val="009B01C4"/>
    <w:rPr>
      <w:rFonts w:asciiTheme="majorHAnsi" w:eastAsiaTheme="majorEastAsia" w:hAnsiTheme="majorHAnsi" w:cstheme="majorBidi"/>
      <w:iCs/>
      <w:color w:val="1F3864" w:themeColor="accent5" w:themeShade="80"/>
      <w:sz w:val="24"/>
    </w:rPr>
  </w:style>
  <w:style w:type="numbering" w:customStyle="1" w:styleId="myHeadingNumbcMYP">
    <w:name w:val="myHeadingNumb_cMYP"/>
    <w:uiPriority w:val="99"/>
    <w:rsid w:val="006F77B1"/>
    <w:pPr>
      <w:numPr>
        <w:numId w:val="5"/>
      </w:numPr>
    </w:pPr>
  </w:style>
  <w:style w:type="paragraph" w:styleId="TOC1">
    <w:name w:val="toc 1"/>
    <w:basedOn w:val="Normal"/>
    <w:next w:val="Normal"/>
    <w:autoRedefine/>
    <w:uiPriority w:val="39"/>
    <w:unhideWhenUsed/>
    <w:rsid w:val="00001230"/>
    <w:pPr>
      <w:tabs>
        <w:tab w:val="left" w:pos="284"/>
        <w:tab w:val="right" w:leader="dot" w:pos="9349"/>
      </w:tabs>
      <w:spacing w:after="100"/>
      <w:ind w:left="284" w:hanging="284"/>
    </w:pPr>
    <w:rPr>
      <w:b/>
      <w:noProof/>
      <w:color w:val="002060"/>
    </w:rPr>
  </w:style>
  <w:style w:type="paragraph" w:styleId="TOC2">
    <w:name w:val="toc 2"/>
    <w:basedOn w:val="Normal"/>
    <w:next w:val="Normal"/>
    <w:autoRedefine/>
    <w:uiPriority w:val="39"/>
    <w:unhideWhenUsed/>
    <w:rsid w:val="00001230"/>
    <w:pPr>
      <w:tabs>
        <w:tab w:val="left" w:pos="709"/>
        <w:tab w:val="right" w:leader="dot" w:pos="9349"/>
      </w:tabs>
      <w:spacing w:after="100"/>
      <w:ind w:left="284"/>
    </w:pPr>
  </w:style>
  <w:style w:type="paragraph" w:styleId="TOC3">
    <w:name w:val="toc 3"/>
    <w:basedOn w:val="Normal"/>
    <w:next w:val="Normal"/>
    <w:autoRedefine/>
    <w:uiPriority w:val="39"/>
    <w:unhideWhenUsed/>
    <w:rsid w:val="00127F48"/>
    <w:pPr>
      <w:tabs>
        <w:tab w:val="left" w:pos="1276"/>
        <w:tab w:val="right" w:leader="dot" w:pos="9349"/>
      </w:tabs>
      <w:spacing w:after="100"/>
      <w:ind w:left="709"/>
    </w:pPr>
    <w:rPr>
      <w:noProof/>
      <w:color w:val="002060"/>
    </w:rPr>
  </w:style>
  <w:style w:type="paragraph" w:styleId="TOC4">
    <w:name w:val="toc 4"/>
    <w:basedOn w:val="Normal"/>
    <w:next w:val="Normal"/>
    <w:autoRedefine/>
    <w:uiPriority w:val="39"/>
    <w:unhideWhenUsed/>
    <w:rsid w:val="00127F48"/>
    <w:pPr>
      <w:tabs>
        <w:tab w:val="left" w:pos="1701"/>
        <w:tab w:val="right" w:leader="dot" w:pos="9349"/>
      </w:tabs>
      <w:spacing w:after="100" w:line="240" w:lineRule="auto"/>
      <w:ind w:left="1701" w:hanging="425"/>
      <w:contextualSpacing/>
    </w:pPr>
    <w:rPr>
      <w:noProof/>
      <w:color w:val="323E4F" w:themeColor="text2" w:themeShade="BF"/>
      <w:sz w:val="20"/>
    </w:rPr>
  </w:style>
  <w:style w:type="character" w:styleId="Hyperlink">
    <w:name w:val="Hyperlink"/>
    <w:basedOn w:val="DefaultParagraphFont"/>
    <w:uiPriority w:val="99"/>
    <w:unhideWhenUsed/>
    <w:rsid w:val="00050C68"/>
    <w:rPr>
      <w:color w:val="0563C1" w:themeColor="hyperlink"/>
      <w:u w:val="single"/>
    </w:rPr>
  </w:style>
  <w:style w:type="paragraph" w:styleId="TOCHeading">
    <w:name w:val="TOC Heading"/>
    <w:basedOn w:val="Heading1"/>
    <w:next w:val="Normal"/>
    <w:uiPriority w:val="39"/>
    <w:unhideWhenUsed/>
    <w:qFormat/>
    <w:rsid w:val="00050C68"/>
    <w:pPr>
      <w:numPr>
        <w:numId w:val="0"/>
      </w:numPr>
      <w:outlineLvl w:val="9"/>
    </w:pPr>
    <w:rPr>
      <w:color w:val="1F4E79" w:themeColor="accent1" w:themeShade="80"/>
      <w:spacing w:val="20"/>
      <w:kern w:val="32"/>
      <w:sz w:val="28"/>
    </w:rPr>
  </w:style>
  <w:style w:type="paragraph" w:customStyle="1" w:styleId="mySource">
    <w:name w:val="mySource"/>
    <w:basedOn w:val="Normal"/>
    <w:next w:val="BodyText"/>
    <w:qFormat/>
    <w:rsid w:val="00250AD4"/>
    <w:pPr>
      <w:tabs>
        <w:tab w:val="left" w:pos="851"/>
      </w:tabs>
      <w:spacing w:line="240" w:lineRule="auto"/>
      <w:ind w:left="851" w:hanging="851"/>
    </w:pPr>
    <w:rPr>
      <w:i/>
      <w:color w:val="7F7F7F" w:themeColor="text1" w:themeTint="80"/>
      <w:sz w:val="18"/>
    </w:rPr>
  </w:style>
  <w:style w:type="paragraph" w:customStyle="1" w:styleId="myChart">
    <w:name w:val="myChart"/>
    <w:basedOn w:val="Normal"/>
    <w:next w:val="mySource"/>
    <w:qFormat/>
    <w:rsid w:val="00382F41"/>
    <w:pPr>
      <w:spacing w:after="0" w:line="240" w:lineRule="auto"/>
    </w:pPr>
  </w:style>
  <w:style w:type="paragraph" w:styleId="Caption">
    <w:name w:val="caption"/>
    <w:basedOn w:val="Normal"/>
    <w:next w:val="Normal"/>
    <w:uiPriority w:val="35"/>
    <w:unhideWhenUsed/>
    <w:qFormat/>
    <w:rsid w:val="00F804FA"/>
    <w:pPr>
      <w:keepNext/>
      <w:tabs>
        <w:tab w:val="left" w:pos="1134"/>
      </w:tabs>
      <w:spacing w:before="120" w:after="60" w:line="240" w:lineRule="auto"/>
      <w:ind w:left="1134" w:hanging="1134"/>
    </w:pPr>
    <w:rPr>
      <w:i/>
      <w:iCs/>
      <w:color w:val="0070C0"/>
      <w:sz w:val="20"/>
      <w:szCs w:val="18"/>
    </w:rPr>
  </w:style>
  <w:style w:type="character" w:styleId="CommentReference">
    <w:name w:val="annotation reference"/>
    <w:basedOn w:val="DefaultParagraphFont"/>
    <w:uiPriority w:val="99"/>
    <w:semiHidden/>
    <w:unhideWhenUsed/>
    <w:rsid w:val="008D6529"/>
    <w:rPr>
      <w:sz w:val="16"/>
      <w:szCs w:val="16"/>
    </w:rPr>
  </w:style>
  <w:style w:type="paragraph" w:styleId="CommentText">
    <w:name w:val="annotation text"/>
    <w:basedOn w:val="Normal"/>
    <w:link w:val="CommentTextChar"/>
    <w:uiPriority w:val="99"/>
    <w:unhideWhenUsed/>
    <w:rsid w:val="008D6529"/>
    <w:pPr>
      <w:spacing w:line="240" w:lineRule="auto"/>
    </w:pPr>
    <w:rPr>
      <w:sz w:val="20"/>
      <w:szCs w:val="20"/>
    </w:rPr>
  </w:style>
  <w:style w:type="character" w:customStyle="1" w:styleId="CommentTextChar">
    <w:name w:val="Comment Text Char"/>
    <w:basedOn w:val="DefaultParagraphFont"/>
    <w:link w:val="CommentText"/>
    <w:uiPriority w:val="99"/>
    <w:rsid w:val="008D6529"/>
    <w:rPr>
      <w:sz w:val="20"/>
      <w:szCs w:val="20"/>
    </w:rPr>
  </w:style>
  <w:style w:type="paragraph" w:styleId="CommentSubject">
    <w:name w:val="annotation subject"/>
    <w:basedOn w:val="CommentText"/>
    <w:next w:val="CommentText"/>
    <w:link w:val="CommentSubjectChar"/>
    <w:uiPriority w:val="99"/>
    <w:semiHidden/>
    <w:unhideWhenUsed/>
    <w:rsid w:val="008D6529"/>
    <w:rPr>
      <w:b/>
      <w:bCs/>
    </w:rPr>
  </w:style>
  <w:style w:type="character" w:customStyle="1" w:styleId="CommentSubjectChar">
    <w:name w:val="Comment Subject Char"/>
    <w:basedOn w:val="CommentTextChar"/>
    <w:link w:val="CommentSubject"/>
    <w:uiPriority w:val="99"/>
    <w:semiHidden/>
    <w:rsid w:val="008D6529"/>
    <w:rPr>
      <w:b/>
      <w:bCs/>
      <w:sz w:val="20"/>
      <w:szCs w:val="20"/>
    </w:rPr>
  </w:style>
  <w:style w:type="paragraph" w:styleId="BalloonText">
    <w:name w:val="Balloon Text"/>
    <w:basedOn w:val="Normal"/>
    <w:link w:val="BalloonTextChar"/>
    <w:uiPriority w:val="99"/>
    <w:semiHidden/>
    <w:unhideWhenUsed/>
    <w:rsid w:val="008D65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529"/>
    <w:rPr>
      <w:rFonts w:ascii="Segoe UI" w:hAnsi="Segoe UI" w:cs="Segoe UI"/>
      <w:sz w:val="18"/>
      <w:szCs w:val="18"/>
    </w:rPr>
  </w:style>
  <w:style w:type="table" w:customStyle="1" w:styleId="GridTable1Light-Accent52">
    <w:name w:val="Grid Table 1 Light - Accent 52"/>
    <w:basedOn w:val="TableNormal"/>
    <w:uiPriority w:val="46"/>
    <w:rsid w:val="00655AD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7C34B4"/>
  </w:style>
  <w:style w:type="table" w:customStyle="1" w:styleId="GridTable2-Accent11">
    <w:name w:val="Grid Table 2 - Accent 11"/>
    <w:basedOn w:val="TableNormal"/>
    <w:uiPriority w:val="47"/>
    <w:rsid w:val="00AE0B9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ableofFigures">
    <w:name w:val="table of figures"/>
    <w:basedOn w:val="Normal"/>
    <w:next w:val="Normal"/>
    <w:uiPriority w:val="99"/>
    <w:unhideWhenUsed/>
    <w:rsid w:val="00B34844"/>
    <w:pPr>
      <w:tabs>
        <w:tab w:val="left" w:pos="1077"/>
        <w:tab w:val="right" w:leader="dot" w:pos="9356"/>
      </w:tabs>
      <w:spacing w:after="0"/>
      <w:ind w:left="1077" w:hanging="1077"/>
    </w:pPr>
    <w:rPr>
      <w:sz w:val="20"/>
    </w:rPr>
  </w:style>
  <w:style w:type="numbering" w:customStyle="1" w:styleId="CurrentList1">
    <w:name w:val="Current List1"/>
    <w:uiPriority w:val="99"/>
    <w:rsid w:val="007C34B4"/>
    <w:pPr>
      <w:numPr>
        <w:numId w:val="7"/>
      </w:numPr>
    </w:pPr>
  </w:style>
  <w:style w:type="table" w:customStyle="1" w:styleId="PlainTable12">
    <w:name w:val="Plain Table 12"/>
    <w:basedOn w:val="TableNormal"/>
    <w:uiPriority w:val="41"/>
    <w:rsid w:val="00015F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7810E6"/>
    <w:rPr>
      <w:color w:val="954F72" w:themeColor="followedHyperlink"/>
      <w:u w:val="single"/>
    </w:rPr>
  </w:style>
  <w:style w:type="numbering" w:customStyle="1" w:styleId="myFTA">
    <w:name w:val="myFTA"/>
    <w:uiPriority w:val="99"/>
    <w:rsid w:val="00164AC7"/>
    <w:pPr>
      <w:numPr>
        <w:numId w:val="8"/>
      </w:numPr>
    </w:pPr>
  </w:style>
  <w:style w:type="paragraph" w:customStyle="1" w:styleId="myHeading1">
    <w:name w:val="myHeading1"/>
    <w:basedOn w:val="BodyText"/>
    <w:next w:val="BodyText"/>
    <w:qFormat/>
    <w:rsid w:val="00583C56"/>
    <w:pPr>
      <w:keepNext/>
      <w:keepLines/>
      <w:shd w:val="clear" w:color="auto" w:fill="DEEAF6" w:themeFill="accent1" w:themeFillTint="33"/>
      <w:spacing w:before="180" w:after="60"/>
      <w:ind w:firstLine="0"/>
    </w:pPr>
    <w:rPr>
      <w:rFonts w:asciiTheme="majorHAnsi" w:hAnsiTheme="majorHAnsi"/>
      <w:b/>
      <w:color w:val="2F5496" w:themeColor="accent5" w:themeShade="BF"/>
      <w:spacing w:val="10"/>
      <w:kern w:val="20"/>
      <w:sz w:val="20"/>
    </w:rPr>
  </w:style>
  <w:style w:type="paragraph" w:customStyle="1" w:styleId="myHeading2">
    <w:name w:val="myHeading2"/>
    <w:basedOn w:val="myHeading1"/>
    <w:next w:val="BodyTextIndent"/>
    <w:qFormat/>
    <w:rsid w:val="00583C56"/>
    <w:pPr>
      <w:shd w:val="clear" w:color="auto" w:fill="EDEDED" w:themeFill="accent3" w:themeFillTint="33"/>
      <w:spacing w:before="120" w:after="20"/>
      <w:ind w:left="284"/>
    </w:pPr>
    <w:rPr>
      <w:color w:val="1F3864" w:themeColor="accent5" w:themeShade="80"/>
      <w:sz w:val="18"/>
    </w:rPr>
  </w:style>
  <w:style w:type="paragraph" w:styleId="BodyTextIndent">
    <w:name w:val="Body Text Indent"/>
    <w:basedOn w:val="Normal"/>
    <w:link w:val="BodyTextIndentChar"/>
    <w:uiPriority w:val="99"/>
    <w:unhideWhenUsed/>
    <w:rsid w:val="00BB0C32"/>
    <w:pPr>
      <w:spacing w:after="120"/>
      <w:ind w:left="283"/>
    </w:pPr>
  </w:style>
  <w:style w:type="character" w:customStyle="1" w:styleId="BodyTextIndentChar">
    <w:name w:val="Body Text Indent Char"/>
    <w:basedOn w:val="DefaultParagraphFont"/>
    <w:link w:val="BodyTextIndent"/>
    <w:uiPriority w:val="99"/>
    <w:rsid w:val="00BB0C32"/>
  </w:style>
  <w:style w:type="character" w:styleId="PlaceholderText">
    <w:name w:val="Placeholder Text"/>
    <w:basedOn w:val="DefaultParagraphFont"/>
    <w:uiPriority w:val="99"/>
    <w:semiHidden/>
    <w:rsid w:val="00167B56"/>
    <w:rPr>
      <w:color w:val="808080"/>
    </w:rPr>
  </w:style>
  <w:style w:type="paragraph" w:customStyle="1" w:styleId="myStepsH">
    <w:name w:val="mySteps_H"/>
    <w:basedOn w:val="Normal"/>
    <w:next w:val="Normal"/>
    <w:qFormat/>
    <w:rsid w:val="00322136"/>
    <w:pPr>
      <w:keepNext/>
      <w:numPr>
        <w:numId w:val="9"/>
      </w:numPr>
      <w:shd w:val="clear" w:color="auto" w:fill="2F5496" w:themeFill="accent5" w:themeFillShade="BF"/>
      <w:spacing w:before="160" w:after="20"/>
    </w:pPr>
    <w:rPr>
      <w:rFonts w:asciiTheme="majorHAnsi" w:hAnsiTheme="majorHAnsi"/>
      <w:color w:val="FFFFFF" w:themeColor="background1"/>
    </w:rPr>
  </w:style>
  <w:style w:type="table" w:customStyle="1" w:styleId="GridTable1Light-Accent511">
    <w:name w:val="Grid Table 1 Light - Accent 511"/>
    <w:basedOn w:val="TableNormal"/>
    <w:uiPriority w:val="46"/>
    <w:rsid w:val="00E4311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5F26C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sonormal0">
    <w:name w:val="msonormal"/>
    <w:basedOn w:val="Normal"/>
    <w:rsid w:val="003360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0">
    <w:name w:val="xl60"/>
    <w:basedOn w:val="Normal"/>
    <w:rsid w:val="0033604A"/>
    <w:pPr>
      <w:shd w:val="clear" w:color="000000" w:fill="002060"/>
      <w:spacing w:before="100" w:beforeAutospacing="1" w:after="100" w:afterAutospacing="1" w:line="240" w:lineRule="auto"/>
    </w:pPr>
    <w:rPr>
      <w:rFonts w:ascii="Times New Roman" w:eastAsia="Times New Roman" w:hAnsi="Times New Roman" w:cs="Times New Roman"/>
      <w:b/>
      <w:bCs/>
      <w:color w:val="F2F2F2"/>
      <w:sz w:val="24"/>
      <w:szCs w:val="24"/>
    </w:rPr>
  </w:style>
  <w:style w:type="paragraph" w:customStyle="1" w:styleId="xl61">
    <w:name w:val="xl61"/>
    <w:basedOn w:val="Normal"/>
    <w:rsid w:val="0033604A"/>
    <w:pPr>
      <w:shd w:val="clear" w:color="000000" w:fill="002060"/>
      <w:spacing w:before="100" w:beforeAutospacing="1" w:after="100" w:afterAutospacing="1" w:line="240" w:lineRule="auto"/>
      <w:jc w:val="right"/>
    </w:pPr>
    <w:rPr>
      <w:rFonts w:ascii="Times New Roman" w:eastAsia="Times New Roman" w:hAnsi="Times New Roman" w:cs="Times New Roman"/>
      <w:b/>
      <w:bCs/>
      <w:color w:val="F2F2F2"/>
      <w:sz w:val="24"/>
      <w:szCs w:val="24"/>
    </w:rPr>
  </w:style>
  <w:style w:type="paragraph" w:customStyle="1" w:styleId="xl66">
    <w:name w:val="xl66"/>
    <w:basedOn w:val="Normal"/>
    <w:rsid w:val="0033604A"/>
    <w:pPr>
      <w:shd w:val="clear" w:color="000000" w:fill="D9E1F2"/>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33604A"/>
    <w:pPr>
      <w:pBdr>
        <w:top w:val="single" w:sz="4" w:space="0" w:color="808080"/>
        <w:bottom w:val="single" w:sz="4" w:space="0" w:color="808080"/>
      </w:pBdr>
      <w:shd w:val="clear" w:color="000000" w:fill="D9E1F2"/>
      <w:spacing w:before="100" w:beforeAutospacing="1" w:after="100" w:afterAutospacing="1" w:line="240" w:lineRule="auto"/>
      <w:jc w:val="right"/>
    </w:pPr>
    <w:rPr>
      <w:rFonts w:ascii="Times New Roman" w:eastAsia="Times New Roman" w:hAnsi="Times New Roman" w:cs="Times New Roman"/>
      <w:b/>
      <w:bCs/>
      <w:color w:val="F2F2F2"/>
      <w:sz w:val="24"/>
      <w:szCs w:val="24"/>
    </w:rPr>
  </w:style>
  <w:style w:type="paragraph" w:customStyle="1" w:styleId="xl70">
    <w:name w:val="xl70"/>
    <w:basedOn w:val="Normal"/>
    <w:rsid w:val="0033604A"/>
    <w:pPr>
      <w:spacing w:before="100" w:beforeAutospacing="1" w:after="100" w:afterAutospacing="1" w:line="240" w:lineRule="auto"/>
    </w:pPr>
    <w:rPr>
      <w:rFonts w:ascii="Times New Roman" w:eastAsia="Times New Roman" w:hAnsi="Times New Roman" w:cs="Times New Roman"/>
      <w:color w:val="305496"/>
      <w:sz w:val="24"/>
      <w:szCs w:val="24"/>
    </w:rPr>
  </w:style>
  <w:style w:type="paragraph" w:customStyle="1" w:styleId="xl71">
    <w:name w:val="xl71"/>
    <w:basedOn w:val="Normal"/>
    <w:rsid w:val="0033604A"/>
    <w:pPr>
      <w:pBdr>
        <w:top w:val="single" w:sz="4" w:space="0" w:color="808080"/>
        <w:bottom w:val="single" w:sz="4" w:space="0" w:color="80808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33604A"/>
    <w:pPr>
      <w:pBdr>
        <w:top w:val="single" w:sz="4" w:space="0" w:color="808080"/>
        <w:bottom w:val="single" w:sz="4" w:space="0" w:color="80808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33604A"/>
    <w:pPr>
      <w:shd w:val="clear" w:color="000000" w:fill="D9E1F2"/>
      <w:spacing w:before="100" w:beforeAutospacing="1" w:after="100" w:afterAutospacing="1" w:line="240" w:lineRule="auto"/>
    </w:pPr>
    <w:rPr>
      <w:rFonts w:ascii="Times New Roman" w:eastAsia="Times New Roman" w:hAnsi="Times New Roman" w:cs="Times New Roman"/>
      <w:b/>
      <w:bCs/>
      <w:color w:val="305496"/>
      <w:sz w:val="24"/>
      <w:szCs w:val="24"/>
    </w:rPr>
  </w:style>
  <w:style w:type="paragraph" w:customStyle="1" w:styleId="xl79">
    <w:name w:val="xl79"/>
    <w:basedOn w:val="Normal"/>
    <w:rsid w:val="0033604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Normal"/>
    <w:rsid w:val="0033604A"/>
    <w:pPr>
      <w:pBdr>
        <w:top w:val="single" w:sz="4" w:space="0" w:color="808080"/>
        <w:bottom w:val="single" w:sz="4" w:space="0" w:color="808080"/>
      </w:pBdr>
      <w:spacing w:before="100" w:beforeAutospacing="1" w:after="100" w:afterAutospacing="1" w:line="240" w:lineRule="auto"/>
      <w:jc w:val="right"/>
    </w:pPr>
    <w:rPr>
      <w:rFonts w:ascii="Times New Roman" w:eastAsia="Times New Roman" w:hAnsi="Times New Roman" w:cs="Times New Roman"/>
      <w:b/>
      <w:bCs/>
      <w:color w:val="F2F2F2"/>
      <w:sz w:val="24"/>
      <w:szCs w:val="24"/>
    </w:rPr>
  </w:style>
  <w:style w:type="paragraph" w:customStyle="1" w:styleId="xl81">
    <w:name w:val="xl81"/>
    <w:basedOn w:val="Normal"/>
    <w:rsid w:val="0033604A"/>
    <w:pPr>
      <w:pBdr>
        <w:top w:val="single" w:sz="4" w:space="0" w:color="808080"/>
        <w:bottom w:val="single" w:sz="4" w:space="0" w:color="80808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33604A"/>
    <w:pPr>
      <w:shd w:val="clear" w:color="000000" w:fill="F2F2F2"/>
      <w:spacing w:before="100" w:beforeAutospacing="1" w:after="100" w:afterAutospacing="1" w:line="240" w:lineRule="auto"/>
    </w:pPr>
    <w:rPr>
      <w:rFonts w:ascii="Times New Roman" w:eastAsia="Times New Roman" w:hAnsi="Times New Roman" w:cs="Times New Roman"/>
      <w:color w:val="305496"/>
      <w:sz w:val="24"/>
      <w:szCs w:val="24"/>
    </w:rPr>
  </w:style>
  <w:style w:type="paragraph" w:customStyle="1" w:styleId="xl91">
    <w:name w:val="xl91"/>
    <w:basedOn w:val="Normal"/>
    <w:rsid w:val="0033604A"/>
    <w:pPr>
      <w:pBdr>
        <w:top w:val="single" w:sz="4" w:space="0" w:color="808080"/>
        <w:bottom w:val="single" w:sz="4" w:space="0" w:color="808080"/>
      </w:pBdr>
      <w:spacing w:before="100" w:beforeAutospacing="1" w:after="100" w:afterAutospacing="1" w:line="240" w:lineRule="auto"/>
      <w:jc w:val="right"/>
    </w:pPr>
    <w:rPr>
      <w:rFonts w:ascii="Times New Roman" w:eastAsia="Times New Roman" w:hAnsi="Times New Roman" w:cs="Times New Roman"/>
      <w:sz w:val="24"/>
      <w:szCs w:val="24"/>
    </w:rPr>
  </w:style>
  <w:style w:type="paragraph" w:styleId="ListBullet">
    <w:name w:val="List Bullet"/>
    <w:basedOn w:val="Normal"/>
    <w:uiPriority w:val="99"/>
    <w:unhideWhenUsed/>
    <w:rsid w:val="00A366D2"/>
    <w:pPr>
      <w:numPr>
        <w:numId w:val="11"/>
      </w:numPr>
      <w:contextualSpacing/>
    </w:pPr>
  </w:style>
  <w:style w:type="table" w:customStyle="1" w:styleId="ListTable4-Accent11">
    <w:name w:val="List Table 4 - Accent 11"/>
    <w:basedOn w:val="TableNormal"/>
    <w:uiPriority w:val="49"/>
    <w:rsid w:val="004720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2">
    <w:name w:val="Grid Table 1 Light - Accent 12"/>
    <w:basedOn w:val="TableNormal"/>
    <w:uiPriority w:val="46"/>
    <w:rsid w:val="004720F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AF7DBE"/>
    <w:rPr>
      <w:i/>
      <w:iCs/>
    </w:rPr>
  </w:style>
  <w:style w:type="character" w:styleId="Strong">
    <w:name w:val="Strong"/>
    <w:basedOn w:val="DefaultParagraphFont"/>
    <w:uiPriority w:val="22"/>
    <w:qFormat/>
    <w:rsid w:val="00AF7DBE"/>
    <w:rPr>
      <w:b/>
      <w:bCs/>
    </w:rPr>
  </w:style>
  <w:style w:type="character" w:styleId="IntenseEmphasis">
    <w:name w:val="Intense Emphasis"/>
    <w:basedOn w:val="DefaultParagraphFont"/>
    <w:uiPriority w:val="21"/>
    <w:qFormat/>
    <w:rsid w:val="00AF7DBE"/>
    <w:rPr>
      <w:i/>
      <w:iCs/>
      <w:color w:val="5B9BD5" w:themeColor="accent1"/>
    </w:rPr>
  </w:style>
  <w:style w:type="character" w:customStyle="1" w:styleId="Heading5Char">
    <w:name w:val="Heading 5 Char"/>
    <w:basedOn w:val="DefaultParagraphFont"/>
    <w:link w:val="Heading5"/>
    <w:uiPriority w:val="9"/>
    <w:rsid w:val="002C5A7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uiPriority w:val="9"/>
    <w:semiHidden/>
    <w:rsid w:val="002C5A7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uiPriority w:val="9"/>
    <w:semiHidden/>
    <w:rsid w:val="002C5A7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uiPriority w:val="9"/>
    <w:semiHidden/>
    <w:rsid w:val="002C5A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uiPriority w:val="9"/>
    <w:semiHidden/>
    <w:rsid w:val="002C5A75"/>
    <w:rPr>
      <w:rFonts w:asciiTheme="majorHAnsi" w:eastAsiaTheme="majorEastAsia" w:hAnsiTheme="majorHAnsi" w:cstheme="majorBidi"/>
      <w:i/>
      <w:iCs/>
      <w:color w:val="272727" w:themeColor="text1" w:themeTint="D8"/>
      <w:sz w:val="21"/>
      <w:szCs w:val="21"/>
    </w:rPr>
  </w:style>
  <w:style w:type="numbering" w:customStyle="1" w:styleId="BGDRFW">
    <w:name w:val="BGD_RFW"/>
    <w:uiPriority w:val="99"/>
    <w:rsid w:val="008121AF"/>
    <w:pPr>
      <w:numPr>
        <w:numId w:val="12"/>
      </w:numPr>
    </w:pPr>
  </w:style>
  <w:style w:type="character" w:customStyle="1" w:styleId="ListParagraphChar">
    <w:name w:val="List Paragraph Char"/>
    <w:aliases w:val="Citation List Char,List Paragraph (numbered (a)) Char,References Char,ReferencesCxSpLast Char,lp1 Char,Bullet List Char,FooterText Char,List Paragraph1 Char,Colorful List Accent 1 Char"/>
    <w:link w:val="ListParagraph"/>
    <w:uiPriority w:val="34"/>
    <w:rsid w:val="00657360"/>
  </w:style>
  <w:style w:type="table" w:customStyle="1" w:styleId="PlainTable22">
    <w:name w:val="Plain Table 22"/>
    <w:basedOn w:val="TableNormal"/>
    <w:uiPriority w:val="42"/>
    <w:rsid w:val="006573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6Colorful-Accent51">
    <w:name w:val="Grid Table 6 Colorful - Accent 51"/>
    <w:basedOn w:val="TableNormal"/>
    <w:uiPriority w:val="51"/>
    <w:rsid w:val="0092409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31">
    <w:name w:val="List Table 4 - Accent 31"/>
    <w:basedOn w:val="TableNormal"/>
    <w:uiPriority w:val="49"/>
    <w:rsid w:val="00AC367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1">
    <w:name w:val="Plain Table 31"/>
    <w:basedOn w:val="TableNormal"/>
    <w:uiPriority w:val="43"/>
    <w:rsid w:val="00AC36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52">
    <w:name w:val="Grid Table 4 - Accent 52"/>
    <w:basedOn w:val="TableNormal"/>
    <w:uiPriority w:val="49"/>
    <w:rsid w:val="0017577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17577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2">
    <w:name w:val="Grid Table 4 - Accent 512"/>
    <w:basedOn w:val="TableNormal"/>
    <w:uiPriority w:val="49"/>
    <w:rsid w:val="00660F3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dnoteText">
    <w:name w:val="endnote text"/>
    <w:basedOn w:val="Normal"/>
    <w:link w:val="EndnoteTextChar"/>
    <w:uiPriority w:val="99"/>
    <w:unhideWhenUsed/>
    <w:rsid w:val="00660F31"/>
    <w:rPr>
      <w:sz w:val="20"/>
      <w:szCs w:val="20"/>
    </w:rPr>
  </w:style>
  <w:style w:type="character" w:customStyle="1" w:styleId="EndnoteTextChar">
    <w:name w:val="Endnote Text Char"/>
    <w:basedOn w:val="DefaultParagraphFont"/>
    <w:link w:val="EndnoteText"/>
    <w:uiPriority w:val="99"/>
    <w:rsid w:val="00660F31"/>
    <w:rPr>
      <w:sz w:val="20"/>
      <w:szCs w:val="20"/>
    </w:rPr>
  </w:style>
  <w:style w:type="character" w:styleId="EndnoteReference">
    <w:name w:val="endnote reference"/>
    <w:basedOn w:val="DefaultParagraphFont"/>
    <w:uiPriority w:val="99"/>
    <w:semiHidden/>
    <w:unhideWhenUsed/>
    <w:rsid w:val="00660F31"/>
    <w:rPr>
      <w:vertAlign w:val="superscript"/>
    </w:rPr>
  </w:style>
  <w:style w:type="table" w:customStyle="1" w:styleId="ListTable6Colorful-Accent11">
    <w:name w:val="List Table 6 Colorful - Accent 11"/>
    <w:basedOn w:val="TableNormal"/>
    <w:uiPriority w:val="51"/>
    <w:rsid w:val="001526E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1526E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2">
    <w:name w:val="Grid Table 1 Light2"/>
    <w:basedOn w:val="TableNormal"/>
    <w:uiPriority w:val="46"/>
    <w:rsid w:val="001526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MyProblemTree">
    <w:name w:val="My_Problem_Tree"/>
    <w:uiPriority w:val="99"/>
    <w:rsid w:val="00253E9F"/>
    <w:pPr>
      <w:numPr>
        <w:numId w:val="18"/>
      </w:numPr>
    </w:pPr>
  </w:style>
  <w:style w:type="table" w:customStyle="1" w:styleId="ListTable3-Accent11">
    <w:name w:val="List Table 3 - Accent 11"/>
    <w:basedOn w:val="TableNormal"/>
    <w:uiPriority w:val="48"/>
    <w:rsid w:val="00C0076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ableParagraph">
    <w:name w:val="Table Paragraph"/>
    <w:basedOn w:val="Normal"/>
    <w:uiPriority w:val="1"/>
    <w:qFormat/>
    <w:rsid w:val="00F843B1"/>
    <w:pPr>
      <w:autoSpaceDE w:val="0"/>
      <w:autoSpaceDN w:val="0"/>
      <w:adjustRightInd w:val="0"/>
      <w:spacing w:after="0" w:line="240" w:lineRule="auto"/>
      <w:ind w:left="110" w:right="115"/>
    </w:pPr>
    <w:rPr>
      <w:rFonts w:ascii="Calibri" w:hAnsi="Calibri" w:cs="Calibri"/>
      <w:sz w:val="24"/>
      <w:szCs w:val="24"/>
    </w:rPr>
  </w:style>
  <w:style w:type="character" w:customStyle="1" w:styleId="UnresolvedMention1">
    <w:name w:val="Unresolved Mention1"/>
    <w:basedOn w:val="DefaultParagraphFont"/>
    <w:uiPriority w:val="99"/>
    <w:semiHidden/>
    <w:unhideWhenUsed/>
    <w:rsid w:val="00097C15"/>
    <w:rPr>
      <w:color w:val="808080"/>
      <w:shd w:val="clear" w:color="auto" w:fill="E6E6E6"/>
    </w:rPr>
  </w:style>
  <w:style w:type="table" w:customStyle="1" w:styleId="GridTable5Dark-Accent11">
    <w:name w:val="Grid Table 5 Dark - Accent 11"/>
    <w:basedOn w:val="TableNormal"/>
    <w:uiPriority w:val="50"/>
    <w:rsid w:val="00E12751"/>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5Char1">
    <w:name w:val="Heading 5 Char1"/>
    <w:basedOn w:val="DefaultParagraphFont"/>
    <w:uiPriority w:val="9"/>
    <w:semiHidden/>
    <w:rsid w:val="00F80D43"/>
    <w:rPr>
      <w:rFonts w:asciiTheme="majorHAnsi" w:eastAsiaTheme="majorEastAsia" w:hAnsiTheme="majorHAnsi" w:cstheme="majorBidi"/>
      <w:color w:val="2E74B5" w:themeColor="accent1" w:themeShade="BF"/>
    </w:rPr>
  </w:style>
  <w:style w:type="table" w:customStyle="1" w:styleId="GridTable1Light-Accent521">
    <w:name w:val="Grid Table 1 Light - Accent 521"/>
    <w:basedOn w:val="TableNormal"/>
    <w:uiPriority w:val="46"/>
    <w:rsid w:val="00F80D4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F80D4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21">
    <w:name w:val="Plain Table 121"/>
    <w:basedOn w:val="TableNormal"/>
    <w:uiPriority w:val="41"/>
    <w:rsid w:val="00F80D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yQuote">
    <w:name w:val="myQuote"/>
    <w:basedOn w:val="Normal"/>
    <w:qFormat/>
    <w:rsid w:val="00F80D43"/>
    <w:pPr>
      <w:spacing w:after="40"/>
      <w:jc w:val="both"/>
    </w:pPr>
    <w:rPr>
      <w:rFonts w:ascii="Georgia" w:hAnsi="Georgia"/>
      <w:i/>
      <w:color w:val="002060"/>
      <w:sz w:val="20"/>
    </w:rPr>
  </w:style>
  <w:style w:type="character" w:customStyle="1" w:styleId="ColorfulList-Accent1Char">
    <w:name w:val="Colorful List - Accent 1 Char"/>
    <w:link w:val="ColorfulShading-Accent3"/>
    <w:locked/>
    <w:rsid w:val="00F80D43"/>
    <w:rPr>
      <w:rFonts w:ascii="Calibri" w:eastAsia="Calibri" w:hAnsi="Calibri"/>
      <w:sz w:val="22"/>
      <w:szCs w:val="22"/>
      <w:lang w:val="en-US" w:eastAsia="en-US" w:bidi="ar-SA"/>
    </w:rPr>
  </w:style>
  <w:style w:type="table" w:styleId="ColorfulShading-Accent3">
    <w:name w:val="Colorful Shading Accent 3"/>
    <w:basedOn w:val="TableNormal"/>
    <w:link w:val="ColorfulList-Accent1Char"/>
    <w:rsid w:val="00F80D43"/>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Spacing">
    <w:name w:val="No Spacing"/>
    <w:link w:val="NoSpacingChar"/>
    <w:uiPriority w:val="1"/>
    <w:qFormat/>
    <w:rsid w:val="00F80D43"/>
    <w:pPr>
      <w:spacing w:after="0" w:line="240" w:lineRule="auto"/>
      <w:jc w:val="both"/>
    </w:pPr>
    <w:rPr>
      <w:rFonts w:ascii="Georgia" w:hAnsi="Georgia"/>
    </w:rPr>
  </w:style>
  <w:style w:type="character" w:customStyle="1" w:styleId="NoSpacingChar">
    <w:name w:val="No Spacing Char"/>
    <w:basedOn w:val="DefaultParagraphFont"/>
    <w:link w:val="NoSpacing"/>
    <w:uiPriority w:val="1"/>
    <w:rsid w:val="00F80D43"/>
    <w:rPr>
      <w:rFonts w:ascii="Georgia" w:hAnsi="Georgia"/>
    </w:rPr>
  </w:style>
  <w:style w:type="table" w:customStyle="1" w:styleId="GridTable4-Accent31">
    <w:name w:val="Grid Table 4 - Accent 31"/>
    <w:basedOn w:val="TableNormal"/>
    <w:uiPriority w:val="49"/>
    <w:rsid w:val="00F80D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
    <w:name w:val="Grid Table 4 - Accent 61"/>
    <w:basedOn w:val="TableNormal"/>
    <w:uiPriority w:val="49"/>
    <w:rsid w:val="00F80D4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myAnnex">
    <w:name w:val="myAnnex"/>
    <w:basedOn w:val="Caption"/>
    <w:qFormat/>
    <w:rsid w:val="00F80D43"/>
    <w:pPr>
      <w:tabs>
        <w:tab w:val="clear" w:pos="1134"/>
        <w:tab w:val="left" w:pos="851"/>
      </w:tabs>
      <w:spacing w:after="20"/>
      <w:ind w:left="0" w:firstLine="0"/>
      <w:outlineLvl w:val="1"/>
    </w:pPr>
    <w:rPr>
      <w:b/>
      <w:i w:val="0"/>
      <w:color w:val="44546A" w:themeColor="text2"/>
      <w:sz w:val="18"/>
    </w:rPr>
  </w:style>
  <w:style w:type="table" w:customStyle="1" w:styleId="GridTable2-Accent51">
    <w:name w:val="Grid Table 2 - Accent 51"/>
    <w:basedOn w:val="TableNormal"/>
    <w:uiPriority w:val="47"/>
    <w:rsid w:val="00F80D4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F80D4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F80D43"/>
    <w:pPr>
      <w:spacing w:before="100" w:beforeAutospacing="1" w:after="100" w:afterAutospacing="1"/>
      <w:jc w:val="both"/>
    </w:pPr>
  </w:style>
  <w:style w:type="character" w:customStyle="1" w:styleId="italic">
    <w:name w:val="italic"/>
    <w:basedOn w:val="DefaultParagraphFont"/>
    <w:rsid w:val="00F80D43"/>
  </w:style>
  <w:style w:type="numbering" w:customStyle="1" w:styleId="myISCLogic">
    <w:name w:val="myISC_Logic"/>
    <w:uiPriority w:val="99"/>
    <w:rsid w:val="00F80D43"/>
    <w:pPr>
      <w:numPr>
        <w:numId w:val="26"/>
      </w:numPr>
    </w:pPr>
  </w:style>
  <w:style w:type="paragraph" w:styleId="Revision">
    <w:name w:val="Revision"/>
    <w:hidden/>
    <w:uiPriority w:val="99"/>
    <w:semiHidden/>
    <w:rsid w:val="00F80D43"/>
    <w:pPr>
      <w:spacing w:after="0" w:line="240" w:lineRule="auto"/>
    </w:pPr>
    <w:rPr>
      <w:rFonts w:eastAsiaTheme="minorEastAsia"/>
      <w:sz w:val="24"/>
      <w:szCs w:val="24"/>
    </w:rPr>
  </w:style>
  <w:style w:type="character" w:styleId="PageNumber">
    <w:name w:val="page number"/>
    <w:basedOn w:val="DefaultParagraphFont"/>
    <w:uiPriority w:val="99"/>
    <w:unhideWhenUsed/>
    <w:rsid w:val="00F80D43"/>
  </w:style>
  <w:style w:type="paragraph" w:customStyle="1" w:styleId="myInstructions">
    <w:name w:val="myInstructions"/>
    <w:basedOn w:val="BodyText"/>
    <w:qFormat/>
    <w:rsid w:val="00F80D43"/>
    <w:pPr>
      <w:numPr>
        <w:numId w:val="28"/>
      </w:numPr>
      <w:spacing w:after="180" w:line="300" w:lineRule="exact"/>
      <w:ind w:right="567"/>
    </w:pPr>
    <w:rPr>
      <w:rFonts w:ascii="Georgia" w:eastAsia="Calibri" w:hAnsi="Georgia" w:cs="Times New Roman"/>
      <w:i/>
      <w:color w:val="C00000"/>
      <w:sz w:val="20"/>
    </w:rPr>
  </w:style>
  <w:style w:type="numbering" w:customStyle="1" w:styleId="myInstructionbullets">
    <w:name w:val="myInstruction_bullets"/>
    <w:uiPriority w:val="99"/>
    <w:rsid w:val="00F80D43"/>
    <w:pPr>
      <w:numPr>
        <w:numId w:val="27"/>
      </w:numPr>
    </w:pPr>
  </w:style>
  <w:style w:type="table" w:customStyle="1" w:styleId="PlainTable41">
    <w:name w:val="Plain Table 41"/>
    <w:basedOn w:val="TableNormal"/>
    <w:uiPriority w:val="44"/>
    <w:rsid w:val="00F80D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
    <w:name w:val="Grid Table 2 - Accent 61"/>
    <w:basedOn w:val="TableNormal"/>
    <w:uiPriority w:val="47"/>
    <w:rsid w:val="00F80D4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LaoReportBody">
    <w:name w:val="Lao Report Body"/>
    <w:basedOn w:val="Normal"/>
    <w:link w:val="LaoReportBodyChar"/>
    <w:qFormat/>
    <w:rsid w:val="00F80D43"/>
    <w:pPr>
      <w:spacing w:before="180" w:after="120" w:line="300" w:lineRule="exact"/>
      <w:jc w:val="both"/>
    </w:pPr>
    <w:rPr>
      <w:rFonts w:ascii="Trebuchet MS" w:hAnsi="Trebuchet MS"/>
      <w:sz w:val="20"/>
    </w:rPr>
  </w:style>
  <w:style w:type="character" w:customStyle="1" w:styleId="LaoReportBodyChar">
    <w:name w:val="Lao Report Body Char"/>
    <w:basedOn w:val="DefaultParagraphFont"/>
    <w:link w:val="LaoReportBody"/>
    <w:rsid w:val="00F80D43"/>
    <w:rPr>
      <w:rFonts w:ascii="Trebuchet MS" w:hAnsi="Trebuchet MS"/>
      <w:sz w:val="20"/>
    </w:rPr>
  </w:style>
  <w:style w:type="paragraph" w:customStyle="1" w:styleId="myObj">
    <w:name w:val="myObj"/>
    <w:basedOn w:val="Normal"/>
    <w:link w:val="myObjChar"/>
    <w:qFormat/>
    <w:rsid w:val="00F80D43"/>
    <w:pPr>
      <w:jc w:val="both"/>
    </w:pPr>
    <w:rPr>
      <w:rFonts w:ascii="Arial" w:hAnsi="Arial"/>
      <w:color w:val="2E74B5" w:themeColor="accent1" w:themeShade="BF"/>
      <w:sz w:val="18"/>
    </w:rPr>
  </w:style>
  <w:style w:type="character" w:customStyle="1" w:styleId="myObjChar">
    <w:name w:val="myObj Char"/>
    <w:basedOn w:val="DefaultParagraphFont"/>
    <w:link w:val="myObj"/>
    <w:rsid w:val="00F80D43"/>
    <w:rPr>
      <w:rFonts w:ascii="Arial" w:hAnsi="Arial"/>
      <w:color w:val="2E74B5" w:themeColor="accent1" w:themeShade="BF"/>
      <w:sz w:val="18"/>
    </w:rPr>
  </w:style>
  <w:style w:type="paragraph" w:customStyle="1" w:styleId="MyAct">
    <w:name w:val="My Act"/>
    <w:basedOn w:val="Normal"/>
    <w:link w:val="MyActChar"/>
    <w:qFormat/>
    <w:rsid w:val="00F80D43"/>
    <w:pPr>
      <w:jc w:val="both"/>
    </w:pPr>
    <w:rPr>
      <w:rFonts w:ascii="Arial Narrow" w:hAnsi="Arial Narrow"/>
      <w:sz w:val="18"/>
    </w:rPr>
  </w:style>
  <w:style w:type="character" w:customStyle="1" w:styleId="MyActChar">
    <w:name w:val="My Act Char"/>
    <w:basedOn w:val="DefaultParagraphFont"/>
    <w:link w:val="MyAct"/>
    <w:rsid w:val="00F80D43"/>
    <w:rPr>
      <w:rFonts w:ascii="Arial Narrow" w:hAnsi="Arial Narrow"/>
      <w:sz w:val="18"/>
    </w:rPr>
  </w:style>
  <w:style w:type="table" w:customStyle="1" w:styleId="TableGrid1">
    <w:name w:val="Table Grid1"/>
    <w:basedOn w:val="TableNormal"/>
    <w:next w:val="TableGrid"/>
    <w:uiPriority w:val="59"/>
    <w:rsid w:val="00F80D43"/>
    <w:pPr>
      <w:spacing w:after="0" w:line="240" w:lineRule="auto"/>
    </w:pPr>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myiBulletMultilevel">
    <w:name w:val="myiBullet_Multilevel"/>
    <w:uiPriority w:val="99"/>
    <w:rsid w:val="00F80D43"/>
    <w:pPr>
      <w:numPr>
        <w:numId w:val="29"/>
      </w:numPr>
    </w:pPr>
  </w:style>
  <w:style w:type="paragraph" w:styleId="BodyText2">
    <w:name w:val="Body Text 2"/>
    <w:basedOn w:val="Normal"/>
    <w:link w:val="BodyText2Char"/>
    <w:uiPriority w:val="99"/>
    <w:rsid w:val="00F80D43"/>
    <w:pPr>
      <w:jc w:val="center"/>
    </w:pPr>
    <w:rPr>
      <w:rFonts w:eastAsia="MS Mincho" w:cs="Angsana New"/>
      <w:b/>
      <w:sz w:val="16"/>
      <w:szCs w:val="16"/>
      <w:lang w:eastAsia="ja-JP" w:bidi="th-TH"/>
    </w:rPr>
  </w:style>
  <w:style w:type="character" w:customStyle="1" w:styleId="BodyText2Char">
    <w:name w:val="Body Text 2 Char"/>
    <w:basedOn w:val="DefaultParagraphFont"/>
    <w:link w:val="BodyText2"/>
    <w:uiPriority w:val="99"/>
    <w:rsid w:val="00F80D43"/>
    <w:rPr>
      <w:rFonts w:eastAsia="MS Mincho" w:cs="Angsana New"/>
      <w:b/>
      <w:sz w:val="16"/>
      <w:szCs w:val="16"/>
      <w:lang w:eastAsia="ja-JP" w:bidi="th-TH"/>
    </w:rPr>
  </w:style>
  <w:style w:type="numbering" w:customStyle="1" w:styleId="myListFindings">
    <w:name w:val="myListFindings"/>
    <w:uiPriority w:val="99"/>
    <w:rsid w:val="00F80D43"/>
    <w:pPr>
      <w:numPr>
        <w:numId w:val="30"/>
      </w:numPr>
    </w:pPr>
  </w:style>
  <w:style w:type="paragraph" w:customStyle="1" w:styleId="myFindings">
    <w:name w:val="myFindings"/>
    <w:basedOn w:val="BodyText"/>
    <w:qFormat/>
    <w:rsid w:val="00F80D43"/>
    <w:pPr>
      <w:numPr>
        <w:numId w:val="31"/>
      </w:numPr>
      <w:spacing w:before="180" w:after="180" w:line="276" w:lineRule="auto"/>
      <w:textboxTightWrap w:val="allLines"/>
    </w:pPr>
    <w:rPr>
      <w:rFonts w:ascii="Georgia" w:eastAsia="Times New Roman" w:hAnsi="Georgia" w:cs="Times New Roman"/>
      <w:sz w:val="20"/>
      <w:szCs w:val="24"/>
    </w:rPr>
  </w:style>
  <w:style w:type="paragraph" w:customStyle="1" w:styleId="myExSumT">
    <w:name w:val="myExSumT"/>
    <w:basedOn w:val="Normal"/>
    <w:qFormat/>
    <w:rsid w:val="00F80D43"/>
    <w:pPr>
      <w:spacing w:before="20" w:after="40"/>
    </w:pPr>
    <w:rPr>
      <w:rFonts w:ascii="Trebuchet MS" w:hAnsi="Trebuchet MS"/>
      <w:bCs/>
      <w:color w:val="002060"/>
      <w:sz w:val="16"/>
    </w:rPr>
  </w:style>
  <w:style w:type="numbering" w:customStyle="1" w:styleId="myNumbHeadings">
    <w:name w:val="myNumb_Headings"/>
    <w:uiPriority w:val="99"/>
    <w:rsid w:val="00F80D43"/>
    <w:pPr>
      <w:numPr>
        <w:numId w:val="32"/>
      </w:numPr>
    </w:pPr>
  </w:style>
  <w:style w:type="table" w:styleId="MediumList1-Accent3">
    <w:name w:val="Medium List 1 Accent 3"/>
    <w:basedOn w:val="TableNormal"/>
    <w:uiPriority w:val="65"/>
    <w:rsid w:val="00F80D4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List-Accent3">
    <w:name w:val="Light List Accent 3"/>
    <w:aliases w:val="myLight"/>
    <w:basedOn w:val="TableNormal"/>
    <w:uiPriority w:val="61"/>
    <w:rsid w:val="00F80D4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000000" w:themeColor="text1"/>
      </w:rPr>
      <w:tblPr/>
      <w:trPr>
        <w:cantSplit/>
        <w:tblHeader/>
      </w:trPr>
      <w:tcPr>
        <w:shd w:val="clear" w:color="auto" w:fill="C9C9C9" w:themeFill="accent3" w:themeFillTint="99"/>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val="0"/>
        <w:bCs/>
      </w:rPr>
    </w:tblStylePr>
    <w:tblStylePr w:type="lastCol">
      <w:rPr>
        <w:b w:val="0"/>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myTObj">
    <w:name w:val="myT_Obj"/>
    <w:basedOn w:val="BodyTextT"/>
    <w:qFormat/>
    <w:rsid w:val="00F80D43"/>
    <w:pPr>
      <w:keepNext/>
      <w:numPr>
        <w:numId w:val="34"/>
      </w:numPr>
      <w:spacing w:before="60" w:after="20"/>
    </w:pPr>
    <w:rPr>
      <w:rFonts w:ascii="Arial" w:hAnsi="Arial"/>
      <w:color w:val="2E74B5" w:themeColor="accent1" w:themeShade="BF"/>
      <w:lang w:val="en-GB"/>
    </w:rPr>
  </w:style>
  <w:style w:type="paragraph" w:customStyle="1" w:styleId="myTStr">
    <w:name w:val="myT_Str"/>
    <w:basedOn w:val="BodyTextT"/>
    <w:qFormat/>
    <w:rsid w:val="00F80D43"/>
    <w:pPr>
      <w:keepNext/>
      <w:numPr>
        <w:ilvl w:val="1"/>
        <w:numId w:val="34"/>
      </w:numPr>
      <w:spacing w:before="40" w:after="20"/>
    </w:pPr>
    <w:rPr>
      <w:rFonts w:ascii="Arial" w:hAnsi="Arial"/>
      <w:b/>
      <w:color w:val="1F4E79" w:themeColor="accent1" w:themeShade="80"/>
      <w:lang w:val="en-GB"/>
    </w:rPr>
  </w:style>
  <w:style w:type="paragraph" w:customStyle="1" w:styleId="myTAct">
    <w:name w:val="myT_Act"/>
    <w:basedOn w:val="myTStr"/>
    <w:qFormat/>
    <w:rsid w:val="00F80D43"/>
    <w:pPr>
      <w:keepNext w:val="0"/>
      <w:numPr>
        <w:ilvl w:val="2"/>
      </w:numPr>
      <w:spacing w:before="0"/>
    </w:pPr>
    <w:rPr>
      <w:rFonts w:ascii="Arial Narrow" w:hAnsi="Arial Narrow"/>
      <w:b w:val="0"/>
      <w:color w:val="auto"/>
      <w:sz w:val="16"/>
    </w:rPr>
  </w:style>
  <w:style w:type="numbering" w:customStyle="1" w:styleId="myTOSA">
    <w:name w:val="myT_OSA"/>
    <w:uiPriority w:val="99"/>
    <w:rsid w:val="00F80D43"/>
    <w:pPr>
      <w:numPr>
        <w:numId w:val="33"/>
      </w:numPr>
    </w:pPr>
  </w:style>
  <w:style w:type="table" w:styleId="MediumShading1-Accent3">
    <w:name w:val="Medium Shading 1 Accent 3"/>
    <w:basedOn w:val="TableNormal"/>
    <w:uiPriority w:val="63"/>
    <w:rsid w:val="00F80D4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rPr>
        <w:cantSplit/>
        <w:tblHeader/>
      </w:tr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F80D4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Grid3-Accent1">
    <w:name w:val="Medium Grid 3 Accent 1"/>
    <w:basedOn w:val="TableNormal"/>
    <w:uiPriority w:val="69"/>
    <w:rsid w:val="00F80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LightShading-Accent1">
    <w:name w:val="Light Shading Accent 1"/>
    <w:basedOn w:val="TableNormal"/>
    <w:uiPriority w:val="60"/>
    <w:rsid w:val="00F80D4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1-Accent1">
    <w:name w:val="Medium Shading 1 Accent 1"/>
    <w:basedOn w:val="TableNormal"/>
    <w:uiPriority w:val="63"/>
    <w:rsid w:val="00F80D4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GridTable4-Accent41">
    <w:name w:val="Grid Table 4 - Accent 41"/>
    <w:basedOn w:val="TableNormal"/>
    <w:uiPriority w:val="49"/>
    <w:rsid w:val="00F80D4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41">
    <w:name w:val="Grid Table 2 - Accent 41"/>
    <w:basedOn w:val="TableNormal"/>
    <w:uiPriority w:val="47"/>
    <w:rsid w:val="00F80D4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111">
    <w:name w:val="Plain Table 111"/>
    <w:basedOn w:val="TableNormal"/>
    <w:uiPriority w:val="41"/>
    <w:rsid w:val="00F80D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31">
    <w:name w:val="Grid Table 3 - Accent 31"/>
    <w:basedOn w:val="TableNormal"/>
    <w:uiPriority w:val="48"/>
    <w:rsid w:val="00F80D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Accent611">
    <w:name w:val="Grid Table 2 - Accent 611"/>
    <w:basedOn w:val="TableNormal"/>
    <w:uiPriority w:val="47"/>
    <w:rsid w:val="00F80D4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311">
    <w:name w:val="Plain Table 311"/>
    <w:basedOn w:val="TableNormal"/>
    <w:uiPriority w:val="43"/>
    <w:rsid w:val="00F80D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Accent31">
    <w:name w:val="Grid Table 2 - Accent 31"/>
    <w:basedOn w:val="TableNormal"/>
    <w:uiPriority w:val="47"/>
    <w:rsid w:val="00F80D4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F80D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511">
    <w:name w:val="Grid Table 4 - Accent 511"/>
    <w:basedOn w:val="TableNormal"/>
    <w:uiPriority w:val="49"/>
    <w:rsid w:val="00F80D4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yExSumH">
    <w:name w:val="myExSumH"/>
    <w:basedOn w:val="Normal"/>
    <w:next w:val="myExSumT"/>
    <w:qFormat/>
    <w:rsid w:val="00F80D43"/>
    <w:pPr>
      <w:keepNext/>
      <w:spacing w:before="60" w:after="20"/>
    </w:pPr>
    <w:rPr>
      <w:rFonts w:ascii="Trebuchet MS" w:hAnsi="Trebuchet MS"/>
      <w:b/>
      <w:color w:val="0070C0"/>
      <w:spacing w:val="2"/>
      <w:w w:val="110"/>
      <w:kern w:val="20"/>
      <w:sz w:val="20"/>
    </w:rPr>
  </w:style>
  <w:style w:type="table" w:customStyle="1" w:styleId="GridTable21">
    <w:name w:val="Grid Table 21"/>
    <w:basedOn w:val="TableNormal"/>
    <w:uiPriority w:val="47"/>
    <w:rsid w:val="00F80D4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1">
    <w:name w:val="Plain Table 411"/>
    <w:basedOn w:val="TableNormal"/>
    <w:uiPriority w:val="44"/>
    <w:rsid w:val="00F80D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5">
    <w:name w:val="toc 5"/>
    <w:basedOn w:val="Normal"/>
    <w:next w:val="Normal"/>
    <w:autoRedefine/>
    <w:uiPriority w:val="39"/>
    <w:unhideWhenUsed/>
    <w:rsid w:val="00F80D43"/>
    <w:pPr>
      <w:ind w:left="880"/>
    </w:pPr>
    <w:rPr>
      <w:sz w:val="20"/>
      <w:szCs w:val="20"/>
    </w:rPr>
  </w:style>
  <w:style w:type="paragraph" w:styleId="TOC6">
    <w:name w:val="toc 6"/>
    <w:basedOn w:val="Normal"/>
    <w:next w:val="Normal"/>
    <w:autoRedefine/>
    <w:uiPriority w:val="39"/>
    <w:unhideWhenUsed/>
    <w:rsid w:val="00F80D43"/>
    <w:pPr>
      <w:ind w:left="1100"/>
    </w:pPr>
    <w:rPr>
      <w:sz w:val="20"/>
      <w:szCs w:val="20"/>
    </w:rPr>
  </w:style>
  <w:style w:type="paragraph" w:styleId="TOC7">
    <w:name w:val="toc 7"/>
    <w:basedOn w:val="Normal"/>
    <w:next w:val="Normal"/>
    <w:autoRedefine/>
    <w:uiPriority w:val="39"/>
    <w:unhideWhenUsed/>
    <w:rsid w:val="00F80D43"/>
    <w:pPr>
      <w:ind w:left="1320"/>
    </w:pPr>
    <w:rPr>
      <w:sz w:val="20"/>
      <w:szCs w:val="20"/>
    </w:rPr>
  </w:style>
  <w:style w:type="paragraph" w:styleId="TOC8">
    <w:name w:val="toc 8"/>
    <w:basedOn w:val="Normal"/>
    <w:next w:val="Normal"/>
    <w:autoRedefine/>
    <w:uiPriority w:val="39"/>
    <w:unhideWhenUsed/>
    <w:rsid w:val="00F80D43"/>
    <w:pPr>
      <w:ind w:left="1540"/>
    </w:pPr>
    <w:rPr>
      <w:sz w:val="20"/>
      <w:szCs w:val="20"/>
    </w:rPr>
  </w:style>
  <w:style w:type="paragraph" w:styleId="TOC9">
    <w:name w:val="toc 9"/>
    <w:basedOn w:val="Normal"/>
    <w:next w:val="Normal"/>
    <w:autoRedefine/>
    <w:uiPriority w:val="39"/>
    <w:unhideWhenUsed/>
    <w:rsid w:val="00F80D43"/>
    <w:pPr>
      <w:ind w:left="1760"/>
    </w:pPr>
    <w:rPr>
      <w:sz w:val="20"/>
      <w:szCs w:val="20"/>
    </w:rPr>
  </w:style>
  <w:style w:type="table" w:customStyle="1" w:styleId="GridTable41">
    <w:name w:val="Grid Table 41"/>
    <w:basedOn w:val="TableNormal"/>
    <w:uiPriority w:val="49"/>
    <w:rsid w:val="00F80D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ysource0">
    <w:name w:val="My source"/>
    <w:basedOn w:val="Normal"/>
    <w:qFormat/>
    <w:rsid w:val="00F80D43"/>
  </w:style>
  <w:style w:type="table" w:customStyle="1" w:styleId="GridTable4-Accent62">
    <w:name w:val="Grid Table 4 - Accent 62"/>
    <w:basedOn w:val="TableNormal"/>
    <w:uiPriority w:val="49"/>
    <w:rsid w:val="00F80D4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2">
    <w:name w:val="Unresolved Mention2"/>
    <w:basedOn w:val="DefaultParagraphFont"/>
    <w:uiPriority w:val="99"/>
    <w:semiHidden/>
    <w:unhideWhenUsed/>
    <w:rsid w:val="002F3C28"/>
    <w:rPr>
      <w:color w:val="605E5C"/>
      <w:shd w:val="clear" w:color="auto" w:fill="E1DFDD"/>
    </w:rPr>
  </w:style>
  <w:style w:type="table" w:styleId="GridTable4-Accent1">
    <w:name w:val="Grid Table 4 Accent 1"/>
    <w:basedOn w:val="TableNormal"/>
    <w:uiPriority w:val="49"/>
    <w:rsid w:val="00012A6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34F3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f01">
    <w:name w:val="cf01"/>
    <w:basedOn w:val="DefaultParagraphFont"/>
    <w:rsid w:val="0059454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605">
      <w:bodyDiv w:val="1"/>
      <w:marLeft w:val="0"/>
      <w:marRight w:val="0"/>
      <w:marTop w:val="0"/>
      <w:marBottom w:val="0"/>
      <w:divBdr>
        <w:top w:val="none" w:sz="0" w:space="0" w:color="auto"/>
        <w:left w:val="none" w:sz="0" w:space="0" w:color="auto"/>
        <w:bottom w:val="none" w:sz="0" w:space="0" w:color="auto"/>
        <w:right w:val="none" w:sz="0" w:space="0" w:color="auto"/>
      </w:divBdr>
    </w:div>
    <w:div w:id="11685944">
      <w:bodyDiv w:val="1"/>
      <w:marLeft w:val="0"/>
      <w:marRight w:val="0"/>
      <w:marTop w:val="0"/>
      <w:marBottom w:val="0"/>
      <w:divBdr>
        <w:top w:val="none" w:sz="0" w:space="0" w:color="auto"/>
        <w:left w:val="none" w:sz="0" w:space="0" w:color="auto"/>
        <w:bottom w:val="none" w:sz="0" w:space="0" w:color="auto"/>
        <w:right w:val="none" w:sz="0" w:space="0" w:color="auto"/>
      </w:divBdr>
    </w:div>
    <w:div w:id="14424507">
      <w:bodyDiv w:val="1"/>
      <w:marLeft w:val="0"/>
      <w:marRight w:val="0"/>
      <w:marTop w:val="0"/>
      <w:marBottom w:val="0"/>
      <w:divBdr>
        <w:top w:val="none" w:sz="0" w:space="0" w:color="auto"/>
        <w:left w:val="none" w:sz="0" w:space="0" w:color="auto"/>
        <w:bottom w:val="none" w:sz="0" w:space="0" w:color="auto"/>
        <w:right w:val="none" w:sz="0" w:space="0" w:color="auto"/>
      </w:divBdr>
    </w:div>
    <w:div w:id="25178863">
      <w:bodyDiv w:val="1"/>
      <w:marLeft w:val="0"/>
      <w:marRight w:val="0"/>
      <w:marTop w:val="0"/>
      <w:marBottom w:val="0"/>
      <w:divBdr>
        <w:top w:val="none" w:sz="0" w:space="0" w:color="auto"/>
        <w:left w:val="none" w:sz="0" w:space="0" w:color="auto"/>
        <w:bottom w:val="none" w:sz="0" w:space="0" w:color="auto"/>
        <w:right w:val="none" w:sz="0" w:space="0" w:color="auto"/>
      </w:divBdr>
    </w:div>
    <w:div w:id="30348638">
      <w:bodyDiv w:val="1"/>
      <w:marLeft w:val="0"/>
      <w:marRight w:val="0"/>
      <w:marTop w:val="0"/>
      <w:marBottom w:val="0"/>
      <w:divBdr>
        <w:top w:val="none" w:sz="0" w:space="0" w:color="auto"/>
        <w:left w:val="none" w:sz="0" w:space="0" w:color="auto"/>
        <w:bottom w:val="none" w:sz="0" w:space="0" w:color="auto"/>
        <w:right w:val="none" w:sz="0" w:space="0" w:color="auto"/>
      </w:divBdr>
    </w:div>
    <w:div w:id="39673270">
      <w:bodyDiv w:val="1"/>
      <w:marLeft w:val="0"/>
      <w:marRight w:val="0"/>
      <w:marTop w:val="0"/>
      <w:marBottom w:val="0"/>
      <w:divBdr>
        <w:top w:val="none" w:sz="0" w:space="0" w:color="auto"/>
        <w:left w:val="none" w:sz="0" w:space="0" w:color="auto"/>
        <w:bottom w:val="none" w:sz="0" w:space="0" w:color="auto"/>
        <w:right w:val="none" w:sz="0" w:space="0" w:color="auto"/>
      </w:divBdr>
    </w:div>
    <w:div w:id="45960716">
      <w:bodyDiv w:val="1"/>
      <w:marLeft w:val="0"/>
      <w:marRight w:val="0"/>
      <w:marTop w:val="0"/>
      <w:marBottom w:val="0"/>
      <w:divBdr>
        <w:top w:val="none" w:sz="0" w:space="0" w:color="auto"/>
        <w:left w:val="none" w:sz="0" w:space="0" w:color="auto"/>
        <w:bottom w:val="none" w:sz="0" w:space="0" w:color="auto"/>
        <w:right w:val="none" w:sz="0" w:space="0" w:color="auto"/>
      </w:divBdr>
    </w:div>
    <w:div w:id="51580142">
      <w:bodyDiv w:val="1"/>
      <w:marLeft w:val="0"/>
      <w:marRight w:val="0"/>
      <w:marTop w:val="0"/>
      <w:marBottom w:val="0"/>
      <w:divBdr>
        <w:top w:val="none" w:sz="0" w:space="0" w:color="auto"/>
        <w:left w:val="none" w:sz="0" w:space="0" w:color="auto"/>
        <w:bottom w:val="none" w:sz="0" w:space="0" w:color="auto"/>
        <w:right w:val="none" w:sz="0" w:space="0" w:color="auto"/>
      </w:divBdr>
    </w:div>
    <w:div w:id="56973438">
      <w:bodyDiv w:val="1"/>
      <w:marLeft w:val="0"/>
      <w:marRight w:val="0"/>
      <w:marTop w:val="0"/>
      <w:marBottom w:val="0"/>
      <w:divBdr>
        <w:top w:val="none" w:sz="0" w:space="0" w:color="auto"/>
        <w:left w:val="none" w:sz="0" w:space="0" w:color="auto"/>
        <w:bottom w:val="none" w:sz="0" w:space="0" w:color="auto"/>
        <w:right w:val="none" w:sz="0" w:space="0" w:color="auto"/>
      </w:divBdr>
    </w:div>
    <w:div w:id="67731408">
      <w:bodyDiv w:val="1"/>
      <w:marLeft w:val="0"/>
      <w:marRight w:val="0"/>
      <w:marTop w:val="0"/>
      <w:marBottom w:val="0"/>
      <w:divBdr>
        <w:top w:val="none" w:sz="0" w:space="0" w:color="auto"/>
        <w:left w:val="none" w:sz="0" w:space="0" w:color="auto"/>
        <w:bottom w:val="none" w:sz="0" w:space="0" w:color="auto"/>
        <w:right w:val="none" w:sz="0" w:space="0" w:color="auto"/>
      </w:divBdr>
    </w:div>
    <w:div w:id="74860942">
      <w:bodyDiv w:val="1"/>
      <w:marLeft w:val="0"/>
      <w:marRight w:val="0"/>
      <w:marTop w:val="0"/>
      <w:marBottom w:val="0"/>
      <w:divBdr>
        <w:top w:val="none" w:sz="0" w:space="0" w:color="auto"/>
        <w:left w:val="none" w:sz="0" w:space="0" w:color="auto"/>
        <w:bottom w:val="none" w:sz="0" w:space="0" w:color="auto"/>
        <w:right w:val="none" w:sz="0" w:space="0" w:color="auto"/>
      </w:divBdr>
    </w:div>
    <w:div w:id="75979661">
      <w:bodyDiv w:val="1"/>
      <w:marLeft w:val="0"/>
      <w:marRight w:val="0"/>
      <w:marTop w:val="0"/>
      <w:marBottom w:val="0"/>
      <w:divBdr>
        <w:top w:val="none" w:sz="0" w:space="0" w:color="auto"/>
        <w:left w:val="none" w:sz="0" w:space="0" w:color="auto"/>
        <w:bottom w:val="none" w:sz="0" w:space="0" w:color="auto"/>
        <w:right w:val="none" w:sz="0" w:space="0" w:color="auto"/>
      </w:divBdr>
    </w:div>
    <w:div w:id="77139264">
      <w:bodyDiv w:val="1"/>
      <w:marLeft w:val="0"/>
      <w:marRight w:val="0"/>
      <w:marTop w:val="0"/>
      <w:marBottom w:val="0"/>
      <w:divBdr>
        <w:top w:val="none" w:sz="0" w:space="0" w:color="auto"/>
        <w:left w:val="none" w:sz="0" w:space="0" w:color="auto"/>
        <w:bottom w:val="none" w:sz="0" w:space="0" w:color="auto"/>
        <w:right w:val="none" w:sz="0" w:space="0" w:color="auto"/>
      </w:divBdr>
    </w:div>
    <w:div w:id="92015736">
      <w:bodyDiv w:val="1"/>
      <w:marLeft w:val="0"/>
      <w:marRight w:val="0"/>
      <w:marTop w:val="0"/>
      <w:marBottom w:val="0"/>
      <w:divBdr>
        <w:top w:val="none" w:sz="0" w:space="0" w:color="auto"/>
        <w:left w:val="none" w:sz="0" w:space="0" w:color="auto"/>
        <w:bottom w:val="none" w:sz="0" w:space="0" w:color="auto"/>
        <w:right w:val="none" w:sz="0" w:space="0" w:color="auto"/>
      </w:divBdr>
    </w:div>
    <w:div w:id="92240340">
      <w:bodyDiv w:val="1"/>
      <w:marLeft w:val="0"/>
      <w:marRight w:val="0"/>
      <w:marTop w:val="0"/>
      <w:marBottom w:val="0"/>
      <w:divBdr>
        <w:top w:val="none" w:sz="0" w:space="0" w:color="auto"/>
        <w:left w:val="none" w:sz="0" w:space="0" w:color="auto"/>
        <w:bottom w:val="none" w:sz="0" w:space="0" w:color="auto"/>
        <w:right w:val="none" w:sz="0" w:space="0" w:color="auto"/>
      </w:divBdr>
    </w:div>
    <w:div w:id="98840017">
      <w:bodyDiv w:val="1"/>
      <w:marLeft w:val="0"/>
      <w:marRight w:val="0"/>
      <w:marTop w:val="0"/>
      <w:marBottom w:val="0"/>
      <w:divBdr>
        <w:top w:val="none" w:sz="0" w:space="0" w:color="auto"/>
        <w:left w:val="none" w:sz="0" w:space="0" w:color="auto"/>
        <w:bottom w:val="none" w:sz="0" w:space="0" w:color="auto"/>
        <w:right w:val="none" w:sz="0" w:space="0" w:color="auto"/>
      </w:divBdr>
    </w:div>
    <w:div w:id="103811373">
      <w:bodyDiv w:val="1"/>
      <w:marLeft w:val="0"/>
      <w:marRight w:val="0"/>
      <w:marTop w:val="0"/>
      <w:marBottom w:val="0"/>
      <w:divBdr>
        <w:top w:val="none" w:sz="0" w:space="0" w:color="auto"/>
        <w:left w:val="none" w:sz="0" w:space="0" w:color="auto"/>
        <w:bottom w:val="none" w:sz="0" w:space="0" w:color="auto"/>
        <w:right w:val="none" w:sz="0" w:space="0" w:color="auto"/>
      </w:divBdr>
    </w:div>
    <w:div w:id="108821703">
      <w:bodyDiv w:val="1"/>
      <w:marLeft w:val="0"/>
      <w:marRight w:val="0"/>
      <w:marTop w:val="0"/>
      <w:marBottom w:val="0"/>
      <w:divBdr>
        <w:top w:val="none" w:sz="0" w:space="0" w:color="auto"/>
        <w:left w:val="none" w:sz="0" w:space="0" w:color="auto"/>
        <w:bottom w:val="none" w:sz="0" w:space="0" w:color="auto"/>
        <w:right w:val="none" w:sz="0" w:space="0" w:color="auto"/>
      </w:divBdr>
    </w:div>
    <w:div w:id="111437740">
      <w:bodyDiv w:val="1"/>
      <w:marLeft w:val="0"/>
      <w:marRight w:val="0"/>
      <w:marTop w:val="0"/>
      <w:marBottom w:val="0"/>
      <w:divBdr>
        <w:top w:val="none" w:sz="0" w:space="0" w:color="auto"/>
        <w:left w:val="none" w:sz="0" w:space="0" w:color="auto"/>
        <w:bottom w:val="none" w:sz="0" w:space="0" w:color="auto"/>
        <w:right w:val="none" w:sz="0" w:space="0" w:color="auto"/>
      </w:divBdr>
    </w:div>
    <w:div w:id="120463233">
      <w:bodyDiv w:val="1"/>
      <w:marLeft w:val="0"/>
      <w:marRight w:val="0"/>
      <w:marTop w:val="0"/>
      <w:marBottom w:val="0"/>
      <w:divBdr>
        <w:top w:val="none" w:sz="0" w:space="0" w:color="auto"/>
        <w:left w:val="none" w:sz="0" w:space="0" w:color="auto"/>
        <w:bottom w:val="none" w:sz="0" w:space="0" w:color="auto"/>
        <w:right w:val="none" w:sz="0" w:space="0" w:color="auto"/>
      </w:divBdr>
    </w:div>
    <w:div w:id="120534423">
      <w:bodyDiv w:val="1"/>
      <w:marLeft w:val="0"/>
      <w:marRight w:val="0"/>
      <w:marTop w:val="0"/>
      <w:marBottom w:val="0"/>
      <w:divBdr>
        <w:top w:val="none" w:sz="0" w:space="0" w:color="auto"/>
        <w:left w:val="none" w:sz="0" w:space="0" w:color="auto"/>
        <w:bottom w:val="none" w:sz="0" w:space="0" w:color="auto"/>
        <w:right w:val="none" w:sz="0" w:space="0" w:color="auto"/>
      </w:divBdr>
    </w:div>
    <w:div w:id="131680370">
      <w:bodyDiv w:val="1"/>
      <w:marLeft w:val="0"/>
      <w:marRight w:val="0"/>
      <w:marTop w:val="0"/>
      <w:marBottom w:val="0"/>
      <w:divBdr>
        <w:top w:val="none" w:sz="0" w:space="0" w:color="auto"/>
        <w:left w:val="none" w:sz="0" w:space="0" w:color="auto"/>
        <w:bottom w:val="none" w:sz="0" w:space="0" w:color="auto"/>
        <w:right w:val="none" w:sz="0" w:space="0" w:color="auto"/>
      </w:divBdr>
    </w:div>
    <w:div w:id="134374627">
      <w:bodyDiv w:val="1"/>
      <w:marLeft w:val="0"/>
      <w:marRight w:val="0"/>
      <w:marTop w:val="0"/>
      <w:marBottom w:val="0"/>
      <w:divBdr>
        <w:top w:val="none" w:sz="0" w:space="0" w:color="auto"/>
        <w:left w:val="none" w:sz="0" w:space="0" w:color="auto"/>
        <w:bottom w:val="none" w:sz="0" w:space="0" w:color="auto"/>
        <w:right w:val="none" w:sz="0" w:space="0" w:color="auto"/>
      </w:divBdr>
    </w:div>
    <w:div w:id="145707211">
      <w:bodyDiv w:val="1"/>
      <w:marLeft w:val="0"/>
      <w:marRight w:val="0"/>
      <w:marTop w:val="0"/>
      <w:marBottom w:val="0"/>
      <w:divBdr>
        <w:top w:val="none" w:sz="0" w:space="0" w:color="auto"/>
        <w:left w:val="none" w:sz="0" w:space="0" w:color="auto"/>
        <w:bottom w:val="none" w:sz="0" w:space="0" w:color="auto"/>
        <w:right w:val="none" w:sz="0" w:space="0" w:color="auto"/>
      </w:divBdr>
    </w:div>
    <w:div w:id="146479764">
      <w:bodyDiv w:val="1"/>
      <w:marLeft w:val="0"/>
      <w:marRight w:val="0"/>
      <w:marTop w:val="0"/>
      <w:marBottom w:val="0"/>
      <w:divBdr>
        <w:top w:val="none" w:sz="0" w:space="0" w:color="auto"/>
        <w:left w:val="none" w:sz="0" w:space="0" w:color="auto"/>
        <w:bottom w:val="none" w:sz="0" w:space="0" w:color="auto"/>
        <w:right w:val="none" w:sz="0" w:space="0" w:color="auto"/>
      </w:divBdr>
    </w:div>
    <w:div w:id="163672397">
      <w:bodyDiv w:val="1"/>
      <w:marLeft w:val="0"/>
      <w:marRight w:val="0"/>
      <w:marTop w:val="0"/>
      <w:marBottom w:val="0"/>
      <w:divBdr>
        <w:top w:val="none" w:sz="0" w:space="0" w:color="auto"/>
        <w:left w:val="none" w:sz="0" w:space="0" w:color="auto"/>
        <w:bottom w:val="none" w:sz="0" w:space="0" w:color="auto"/>
        <w:right w:val="none" w:sz="0" w:space="0" w:color="auto"/>
      </w:divBdr>
    </w:div>
    <w:div w:id="164983656">
      <w:bodyDiv w:val="1"/>
      <w:marLeft w:val="0"/>
      <w:marRight w:val="0"/>
      <w:marTop w:val="0"/>
      <w:marBottom w:val="0"/>
      <w:divBdr>
        <w:top w:val="none" w:sz="0" w:space="0" w:color="auto"/>
        <w:left w:val="none" w:sz="0" w:space="0" w:color="auto"/>
        <w:bottom w:val="none" w:sz="0" w:space="0" w:color="auto"/>
        <w:right w:val="none" w:sz="0" w:space="0" w:color="auto"/>
      </w:divBdr>
    </w:div>
    <w:div w:id="169489717">
      <w:bodyDiv w:val="1"/>
      <w:marLeft w:val="0"/>
      <w:marRight w:val="0"/>
      <w:marTop w:val="0"/>
      <w:marBottom w:val="0"/>
      <w:divBdr>
        <w:top w:val="none" w:sz="0" w:space="0" w:color="auto"/>
        <w:left w:val="none" w:sz="0" w:space="0" w:color="auto"/>
        <w:bottom w:val="none" w:sz="0" w:space="0" w:color="auto"/>
        <w:right w:val="none" w:sz="0" w:space="0" w:color="auto"/>
      </w:divBdr>
    </w:div>
    <w:div w:id="183642439">
      <w:bodyDiv w:val="1"/>
      <w:marLeft w:val="0"/>
      <w:marRight w:val="0"/>
      <w:marTop w:val="0"/>
      <w:marBottom w:val="0"/>
      <w:divBdr>
        <w:top w:val="none" w:sz="0" w:space="0" w:color="auto"/>
        <w:left w:val="none" w:sz="0" w:space="0" w:color="auto"/>
        <w:bottom w:val="none" w:sz="0" w:space="0" w:color="auto"/>
        <w:right w:val="none" w:sz="0" w:space="0" w:color="auto"/>
      </w:divBdr>
    </w:div>
    <w:div w:id="183981568">
      <w:bodyDiv w:val="1"/>
      <w:marLeft w:val="0"/>
      <w:marRight w:val="0"/>
      <w:marTop w:val="0"/>
      <w:marBottom w:val="0"/>
      <w:divBdr>
        <w:top w:val="none" w:sz="0" w:space="0" w:color="auto"/>
        <w:left w:val="none" w:sz="0" w:space="0" w:color="auto"/>
        <w:bottom w:val="none" w:sz="0" w:space="0" w:color="auto"/>
        <w:right w:val="none" w:sz="0" w:space="0" w:color="auto"/>
      </w:divBdr>
    </w:div>
    <w:div w:id="192501483">
      <w:bodyDiv w:val="1"/>
      <w:marLeft w:val="0"/>
      <w:marRight w:val="0"/>
      <w:marTop w:val="0"/>
      <w:marBottom w:val="0"/>
      <w:divBdr>
        <w:top w:val="none" w:sz="0" w:space="0" w:color="auto"/>
        <w:left w:val="none" w:sz="0" w:space="0" w:color="auto"/>
        <w:bottom w:val="none" w:sz="0" w:space="0" w:color="auto"/>
        <w:right w:val="none" w:sz="0" w:space="0" w:color="auto"/>
      </w:divBdr>
    </w:div>
    <w:div w:id="205485671">
      <w:bodyDiv w:val="1"/>
      <w:marLeft w:val="0"/>
      <w:marRight w:val="0"/>
      <w:marTop w:val="0"/>
      <w:marBottom w:val="0"/>
      <w:divBdr>
        <w:top w:val="none" w:sz="0" w:space="0" w:color="auto"/>
        <w:left w:val="none" w:sz="0" w:space="0" w:color="auto"/>
        <w:bottom w:val="none" w:sz="0" w:space="0" w:color="auto"/>
        <w:right w:val="none" w:sz="0" w:space="0" w:color="auto"/>
      </w:divBdr>
    </w:div>
    <w:div w:id="209926442">
      <w:bodyDiv w:val="1"/>
      <w:marLeft w:val="0"/>
      <w:marRight w:val="0"/>
      <w:marTop w:val="0"/>
      <w:marBottom w:val="0"/>
      <w:divBdr>
        <w:top w:val="none" w:sz="0" w:space="0" w:color="auto"/>
        <w:left w:val="none" w:sz="0" w:space="0" w:color="auto"/>
        <w:bottom w:val="none" w:sz="0" w:space="0" w:color="auto"/>
        <w:right w:val="none" w:sz="0" w:space="0" w:color="auto"/>
      </w:divBdr>
    </w:div>
    <w:div w:id="211770419">
      <w:bodyDiv w:val="1"/>
      <w:marLeft w:val="0"/>
      <w:marRight w:val="0"/>
      <w:marTop w:val="0"/>
      <w:marBottom w:val="0"/>
      <w:divBdr>
        <w:top w:val="none" w:sz="0" w:space="0" w:color="auto"/>
        <w:left w:val="none" w:sz="0" w:space="0" w:color="auto"/>
        <w:bottom w:val="none" w:sz="0" w:space="0" w:color="auto"/>
        <w:right w:val="none" w:sz="0" w:space="0" w:color="auto"/>
      </w:divBdr>
    </w:div>
    <w:div w:id="214007008">
      <w:bodyDiv w:val="1"/>
      <w:marLeft w:val="0"/>
      <w:marRight w:val="0"/>
      <w:marTop w:val="0"/>
      <w:marBottom w:val="0"/>
      <w:divBdr>
        <w:top w:val="none" w:sz="0" w:space="0" w:color="auto"/>
        <w:left w:val="none" w:sz="0" w:space="0" w:color="auto"/>
        <w:bottom w:val="none" w:sz="0" w:space="0" w:color="auto"/>
        <w:right w:val="none" w:sz="0" w:space="0" w:color="auto"/>
      </w:divBdr>
    </w:div>
    <w:div w:id="214439824">
      <w:bodyDiv w:val="1"/>
      <w:marLeft w:val="0"/>
      <w:marRight w:val="0"/>
      <w:marTop w:val="0"/>
      <w:marBottom w:val="0"/>
      <w:divBdr>
        <w:top w:val="none" w:sz="0" w:space="0" w:color="auto"/>
        <w:left w:val="none" w:sz="0" w:space="0" w:color="auto"/>
        <w:bottom w:val="none" w:sz="0" w:space="0" w:color="auto"/>
        <w:right w:val="none" w:sz="0" w:space="0" w:color="auto"/>
      </w:divBdr>
    </w:div>
    <w:div w:id="214656859">
      <w:bodyDiv w:val="1"/>
      <w:marLeft w:val="0"/>
      <w:marRight w:val="0"/>
      <w:marTop w:val="0"/>
      <w:marBottom w:val="0"/>
      <w:divBdr>
        <w:top w:val="none" w:sz="0" w:space="0" w:color="auto"/>
        <w:left w:val="none" w:sz="0" w:space="0" w:color="auto"/>
        <w:bottom w:val="none" w:sz="0" w:space="0" w:color="auto"/>
        <w:right w:val="none" w:sz="0" w:space="0" w:color="auto"/>
      </w:divBdr>
    </w:div>
    <w:div w:id="236205832">
      <w:bodyDiv w:val="1"/>
      <w:marLeft w:val="0"/>
      <w:marRight w:val="0"/>
      <w:marTop w:val="0"/>
      <w:marBottom w:val="0"/>
      <w:divBdr>
        <w:top w:val="none" w:sz="0" w:space="0" w:color="auto"/>
        <w:left w:val="none" w:sz="0" w:space="0" w:color="auto"/>
        <w:bottom w:val="none" w:sz="0" w:space="0" w:color="auto"/>
        <w:right w:val="none" w:sz="0" w:space="0" w:color="auto"/>
      </w:divBdr>
    </w:div>
    <w:div w:id="238947969">
      <w:bodyDiv w:val="1"/>
      <w:marLeft w:val="0"/>
      <w:marRight w:val="0"/>
      <w:marTop w:val="0"/>
      <w:marBottom w:val="0"/>
      <w:divBdr>
        <w:top w:val="none" w:sz="0" w:space="0" w:color="auto"/>
        <w:left w:val="none" w:sz="0" w:space="0" w:color="auto"/>
        <w:bottom w:val="none" w:sz="0" w:space="0" w:color="auto"/>
        <w:right w:val="none" w:sz="0" w:space="0" w:color="auto"/>
      </w:divBdr>
    </w:div>
    <w:div w:id="243995021">
      <w:bodyDiv w:val="1"/>
      <w:marLeft w:val="0"/>
      <w:marRight w:val="0"/>
      <w:marTop w:val="0"/>
      <w:marBottom w:val="0"/>
      <w:divBdr>
        <w:top w:val="none" w:sz="0" w:space="0" w:color="auto"/>
        <w:left w:val="none" w:sz="0" w:space="0" w:color="auto"/>
        <w:bottom w:val="none" w:sz="0" w:space="0" w:color="auto"/>
        <w:right w:val="none" w:sz="0" w:space="0" w:color="auto"/>
      </w:divBdr>
    </w:div>
    <w:div w:id="246112358">
      <w:bodyDiv w:val="1"/>
      <w:marLeft w:val="0"/>
      <w:marRight w:val="0"/>
      <w:marTop w:val="0"/>
      <w:marBottom w:val="0"/>
      <w:divBdr>
        <w:top w:val="none" w:sz="0" w:space="0" w:color="auto"/>
        <w:left w:val="none" w:sz="0" w:space="0" w:color="auto"/>
        <w:bottom w:val="none" w:sz="0" w:space="0" w:color="auto"/>
        <w:right w:val="none" w:sz="0" w:space="0" w:color="auto"/>
      </w:divBdr>
    </w:div>
    <w:div w:id="250429696">
      <w:bodyDiv w:val="1"/>
      <w:marLeft w:val="0"/>
      <w:marRight w:val="0"/>
      <w:marTop w:val="0"/>
      <w:marBottom w:val="0"/>
      <w:divBdr>
        <w:top w:val="none" w:sz="0" w:space="0" w:color="auto"/>
        <w:left w:val="none" w:sz="0" w:space="0" w:color="auto"/>
        <w:bottom w:val="none" w:sz="0" w:space="0" w:color="auto"/>
        <w:right w:val="none" w:sz="0" w:space="0" w:color="auto"/>
      </w:divBdr>
    </w:div>
    <w:div w:id="253130810">
      <w:bodyDiv w:val="1"/>
      <w:marLeft w:val="0"/>
      <w:marRight w:val="0"/>
      <w:marTop w:val="0"/>
      <w:marBottom w:val="0"/>
      <w:divBdr>
        <w:top w:val="none" w:sz="0" w:space="0" w:color="auto"/>
        <w:left w:val="none" w:sz="0" w:space="0" w:color="auto"/>
        <w:bottom w:val="none" w:sz="0" w:space="0" w:color="auto"/>
        <w:right w:val="none" w:sz="0" w:space="0" w:color="auto"/>
      </w:divBdr>
    </w:div>
    <w:div w:id="260913569">
      <w:bodyDiv w:val="1"/>
      <w:marLeft w:val="0"/>
      <w:marRight w:val="0"/>
      <w:marTop w:val="0"/>
      <w:marBottom w:val="0"/>
      <w:divBdr>
        <w:top w:val="none" w:sz="0" w:space="0" w:color="auto"/>
        <w:left w:val="none" w:sz="0" w:space="0" w:color="auto"/>
        <w:bottom w:val="none" w:sz="0" w:space="0" w:color="auto"/>
        <w:right w:val="none" w:sz="0" w:space="0" w:color="auto"/>
      </w:divBdr>
    </w:div>
    <w:div w:id="261574058">
      <w:bodyDiv w:val="1"/>
      <w:marLeft w:val="0"/>
      <w:marRight w:val="0"/>
      <w:marTop w:val="0"/>
      <w:marBottom w:val="0"/>
      <w:divBdr>
        <w:top w:val="none" w:sz="0" w:space="0" w:color="auto"/>
        <w:left w:val="none" w:sz="0" w:space="0" w:color="auto"/>
        <w:bottom w:val="none" w:sz="0" w:space="0" w:color="auto"/>
        <w:right w:val="none" w:sz="0" w:space="0" w:color="auto"/>
      </w:divBdr>
    </w:div>
    <w:div w:id="262961918">
      <w:bodyDiv w:val="1"/>
      <w:marLeft w:val="0"/>
      <w:marRight w:val="0"/>
      <w:marTop w:val="0"/>
      <w:marBottom w:val="0"/>
      <w:divBdr>
        <w:top w:val="none" w:sz="0" w:space="0" w:color="auto"/>
        <w:left w:val="none" w:sz="0" w:space="0" w:color="auto"/>
        <w:bottom w:val="none" w:sz="0" w:space="0" w:color="auto"/>
        <w:right w:val="none" w:sz="0" w:space="0" w:color="auto"/>
      </w:divBdr>
    </w:div>
    <w:div w:id="268044972">
      <w:bodyDiv w:val="1"/>
      <w:marLeft w:val="0"/>
      <w:marRight w:val="0"/>
      <w:marTop w:val="0"/>
      <w:marBottom w:val="0"/>
      <w:divBdr>
        <w:top w:val="none" w:sz="0" w:space="0" w:color="auto"/>
        <w:left w:val="none" w:sz="0" w:space="0" w:color="auto"/>
        <w:bottom w:val="none" w:sz="0" w:space="0" w:color="auto"/>
        <w:right w:val="none" w:sz="0" w:space="0" w:color="auto"/>
      </w:divBdr>
    </w:div>
    <w:div w:id="285549078">
      <w:bodyDiv w:val="1"/>
      <w:marLeft w:val="0"/>
      <w:marRight w:val="0"/>
      <w:marTop w:val="0"/>
      <w:marBottom w:val="0"/>
      <w:divBdr>
        <w:top w:val="none" w:sz="0" w:space="0" w:color="auto"/>
        <w:left w:val="none" w:sz="0" w:space="0" w:color="auto"/>
        <w:bottom w:val="none" w:sz="0" w:space="0" w:color="auto"/>
        <w:right w:val="none" w:sz="0" w:space="0" w:color="auto"/>
      </w:divBdr>
    </w:div>
    <w:div w:id="294793525">
      <w:bodyDiv w:val="1"/>
      <w:marLeft w:val="0"/>
      <w:marRight w:val="0"/>
      <w:marTop w:val="0"/>
      <w:marBottom w:val="0"/>
      <w:divBdr>
        <w:top w:val="none" w:sz="0" w:space="0" w:color="auto"/>
        <w:left w:val="none" w:sz="0" w:space="0" w:color="auto"/>
        <w:bottom w:val="none" w:sz="0" w:space="0" w:color="auto"/>
        <w:right w:val="none" w:sz="0" w:space="0" w:color="auto"/>
      </w:divBdr>
    </w:div>
    <w:div w:id="299313097">
      <w:bodyDiv w:val="1"/>
      <w:marLeft w:val="0"/>
      <w:marRight w:val="0"/>
      <w:marTop w:val="0"/>
      <w:marBottom w:val="0"/>
      <w:divBdr>
        <w:top w:val="none" w:sz="0" w:space="0" w:color="auto"/>
        <w:left w:val="none" w:sz="0" w:space="0" w:color="auto"/>
        <w:bottom w:val="none" w:sz="0" w:space="0" w:color="auto"/>
        <w:right w:val="none" w:sz="0" w:space="0" w:color="auto"/>
      </w:divBdr>
    </w:div>
    <w:div w:id="311642366">
      <w:bodyDiv w:val="1"/>
      <w:marLeft w:val="0"/>
      <w:marRight w:val="0"/>
      <w:marTop w:val="0"/>
      <w:marBottom w:val="0"/>
      <w:divBdr>
        <w:top w:val="none" w:sz="0" w:space="0" w:color="auto"/>
        <w:left w:val="none" w:sz="0" w:space="0" w:color="auto"/>
        <w:bottom w:val="none" w:sz="0" w:space="0" w:color="auto"/>
        <w:right w:val="none" w:sz="0" w:space="0" w:color="auto"/>
      </w:divBdr>
    </w:div>
    <w:div w:id="313414947">
      <w:bodyDiv w:val="1"/>
      <w:marLeft w:val="0"/>
      <w:marRight w:val="0"/>
      <w:marTop w:val="0"/>
      <w:marBottom w:val="0"/>
      <w:divBdr>
        <w:top w:val="none" w:sz="0" w:space="0" w:color="auto"/>
        <w:left w:val="none" w:sz="0" w:space="0" w:color="auto"/>
        <w:bottom w:val="none" w:sz="0" w:space="0" w:color="auto"/>
        <w:right w:val="none" w:sz="0" w:space="0" w:color="auto"/>
      </w:divBdr>
    </w:div>
    <w:div w:id="316081083">
      <w:bodyDiv w:val="1"/>
      <w:marLeft w:val="0"/>
      <w:marRight w:val="0"/>
      <w:marTop w:val="0"/>
      <w:marBottom w:val="0"/>
      <w:divBdr>
        <w:top w:val="none" w:sz="0" w:space="0" w:color="auto"/>
        <w:left w:val="none" w:sz="0" w:space="0" w:color="auto"/>
        <w:bottom w:val="none" w:sz="0" w:space="0" w:color="auto"/>
        <w:right w:val="none" w:sz="0" w:space="0" w:color="auto"/>
      </w:divBdr>
    </w:div>
    <w:div w:id="333653568">
      <w:bodyDiv w:val="1"/>
      <w:marLeft w:val="0"/>
      <w:marRight w:val="0"/>
      <w:marTop w:val="0"/>
      <w:marBottom w:val="0"/>
      <w:divBdr>
        <w:top w:val="none" w:sz="0" w:space="0" w:color="auto"/>
        <w:left w:val="none" w:sz="0" w:space="0" w:color="auto"/>
        <w:bottom w:val="none" w:sz="0" w:space="0" w:color="auto"/>
        <w:right w:val="none" w:sz="0" w:space="0" w:color="auto"/>
      </w:divBdr>
    </w:div>
    <w:div w:id="338045319">
      <w:bodyDiv w:val="1"/>
      <w:marLeft w:val="0"/>
      <w:marRight w:val="0"/>
      <w:marTop w:val="0"/>
      <w:marBottom w:val="0"/>
      <w:divBdr>
        <w:top w:val="none" w:sz="0" w:space="0" w:color="auto"/>
        <w:left w:val="none" w:sz="0" w:space="0" w:color="auto"/>
        <w:bottom w:val="none" w:sz="0" w:space="0" w:color="auto"/>
        <w:right w:val="none" w:sz="0" w:space="0" w:color="auto"/>
      </w:divBdr>
    </w:div>
    <w:div w:id="339238348">
      <w:bodyDiv w:val="1"/>
      <w:marLeft w:val="0"/>
      <w:marRight w:val="0"/>
      <w:marTop w:val="0"/>
      <w:marBottom w:val="0"/>
      <w:divBdr>
        <w:top w:val="none" w:sz="0" w:space="0" w:color="auto"/>
        <w:left w:val="none" w:sz="0" w:space="0" w:color="auto"/>
        <w:bottom w:val="none" w:sz="0" w:space="0" w:color="auto"/>
        <w:right w:val="none" w:sz="0" w:space="0" w:color="auto"/>
      </w:divBdr>
    </w:div>
    <w:div w:id="342049099">
      <w:bodyDiv w:val="1"/>
      <w:marLeft w:val="0"/>
      <w:marRight w:val="0"/>
      <w:marTop w:val="0"/>
      <w:marBottom w:val="0"/>
      <w:divBdr>
        <w:top w:val="none" w:sz="0" w:space="0" w:color="auto"/>
        <w:left w:val="none" w:sz="0" w:space="0" w:color="auto"/>
        <w:bottom w:val="none" w:sz="0" w:space="0" w:color="auto"/>
        <w:right w:val="none" w:sz="0" w:space="0" w:color="auto"/>
      </w:divBdr>
    </w:div>
    <w:div w:id="347022464">
      <w:bodyDiv w:val="1"/>
      <w:marLeft w:val="0"/>
      <w:marRight w:val="0"/>
      <w:marTop w:val="0"/>
      <w:marBottom w:val="0"/>
      <w:divBdr>
        <w:top w:val="none" w:sz="0" w:space="0" w:color="auto"/>
        <w:left w:val="none" w:sz="0" w:space="0" w:color="auto"/>
        <w:bottom w:val="none" w:sz="0" w:space="0" w:color="auto"/>
        <w:right w:val="none" w:sz="0" w:space="0" w:color="auto"/>
      </w:divBdr>
    </w:div>
    <w:div w:id="350692931">
      <w:bodyDiv w:val="1"/>
      <w:marLeft w:val="0"/>
      <w:marRight w:val="0"/>
      <w:marTop w:val="0"/>
      <w:marBottom w:val="0"/>
      <w:divBdr>
        <w:top w:val="none" w:sz="0" w:space="0" w:color="auto"/>
        <w:left w:val="none" w:sz="0" w:space="0" w:color="auto"/>
        <w:bottom w:val="none" w:sz="0" w:space="0" w:color="auto"/>
        <w:right w:val="none" w:sz="0" w:space="0" w:color="auto"/>
      </w:divBdr>
    </w:div>
    <w:div w:id="357661491">
      <w:bodyDiv w:val="1"/>
      <w:marLeft w:val="0"/>
      <w:marRight w:val="0"/>
      <w:marTop w:val="0"/>
      <w:marBottom w:val="0"/>
      <w:divBdr>
        <w:top w:val="none" w:sz="0" w:space="0" w:color="auto"/>
        <w:left w:val="none" w:sz="0" w:space="0" w:color="auto"/>
        <w:bottom w:val="none" w:sz="0" w:space="0" w:color="auto"/>
        <w:right w:val="none" w:sz="0" w:space="0" w:color="auto"/>
      </w:divBdr>
    </w:div>
    <w:div w:id="357849735">
      <w:bodyDiv w:val="1"/>
      <w:marLeft w:val="0"/>
      <w:marRight w:val="0"/>
      <w:marTop w:val="0"/>
      <w:marBottom w:val="0"/>
      <w:divBdr>
        <w:top w:val="none" w:sz="0" w:space="0" w:color="auto"/>
        <w:left w:val="none" w:sz="0" w:space="0" w:color="auto"/>
        <w:bottom w:val="none" w:sz="0" w:space="0" w:color="auto"/>
        <w:right w:val="none" w:sz="0" w:space="0" w:color="auto"/>
      </w:divBdr>
    </w:div>
    <w:div w:id="372390909">
      <w:bodyDiv w:val="1"/>
      <w:marLeft w:val="0"/>
      <w:marRight w:val="0"/>
      <w:marTop w:val="0"/>
      <w:marBottom w:val="0"/>
      <w:divBdr>
        <w:top w:val="none" w:sz="0" w:space="0" w:color="auto"/>
        <w:left w:val="none" w:sz="0" w:space="0" w:color="auto"/>
        <w:bottom w:val="none" w:sz="0" w:space="0" w:color="auto"/>
        <w:right w:val="none" w:sz="0" w:space="0" w:color="auto"/>
      </w:divBdr>
    </w:div>
    <w:div w:id="374235199">
      <w:bodyDiv w:val="1"/>
      <w:marLeft w:val="0"/>
      <w:marRight w:val="0"/>
      <w:marTop w:val="0"/>
      <w:marBottom w:val="0"/>
      <w:divBdr>
        <w:top w:val="none" w:sz="0" w:space="0" w:color="auto"/>
        <w:left w:val="none" w:sz="0" w:space="0" w:color="auto"/>
        <w:bottom w:val="none" w:sz="0" w:space="0" w:color="auto"/>
        <w:right w:val="none" w:sz="0" w:space="0" w:color="auto"/>
      </w:divBdr>
    </w:div>
    <w:div w:id="383528441">
      <w:bodyDiv w:val="1"/>
      <w:marLeft w:val="0"/>
      <w:marRight w:val="0"/>
      <w:marTop w:val="0"/>
      <w:marBottom w:val="0"/>
      <w:divBdr>
        <w:top w:val="none" w:sz="0" w:space="0" w:color="auto"/>
        <w:left w:val="none" w:sz="0" w:space="0" w:color="auto"/>
        <w:bottom w:val="none" w:sz="0" w:space="0" w:color="auto"/>
        <w:right w:val="none" w:sz="0" w:space="0" w:color="auto"/>
      </w:divBdr>
    </w:div>
    <w:div w:id="397286505">
      <w:bodyDiv w:val="1"/>
      <w:marLeft w:val="0"/>
      <w:marRight w:val="0"/>
      <w:marTop w:val="0"/>
      <w:marBottom w:val="0"/>
      <w:divBdr>
        <w:top w:val="none" w:sz="0" w:space="0" w:color="auto"/>
        <w:left w:val="none" w:sz="0" w:space="0" w:color="auto"/>
        <w:bottom w:val="none" w:sz="0" w:space="0" w:color="auto"/>
        <w:right w:val="none" w:sz="0" w:space="0" w:color="auto"/>
      </w:divBdr>
    </w:div>
    <w:div w:id="409616438">
      <w:bodyDiv w:val="1"/>
      <w:marLeft w:val="0"/>
      <w:marRight w:val="0"/>
      <w:marTop w:val="0"/>
      <w:marBottom w:val="0"/>
      <w:divBdr>
        <w:top w:val="none" w:sz="0" w:space="0" w:color="auto"/>
        <w:left w:val="none" w:sz="0" w:space="0" w:color="auto"/>
        <w:bottom w:val="none" w:sz="0" w:space="0" w:color="auto"/>
        <w:right w:val="none" w:sz="0" w:space="0" w:color="auto"/>
      </w:divBdr>
    </w:div>
    <w:div w:id="421683549">
      <w:bodyDiv w:val="1"/>
      <w:marLeft w:val="0"/>
      <w:marRight w:val="0"/>
      <w:marTop w:val="0"/>
      <w:marBottom w:val="0"/>
      <w:divBdr>
        <w:top w:val="none" w:sz="0" w:space="0" w:color="auto"/>
        <w:left w:val="none" w:sz="0" w:space="0" w:color="auto"/>
        <w:bottom w:val="none" w:sz="0" w:space="0" w:color="auto"/>
        <w:right w:val="none" w:sz="0" w:space="0" w:color="auto"/>
      </w:divBdr>
    </w:div>
    <w:div w:id="422534670">
      <w:bodyDiv w:val="1"/>
      <w:marLeft w:val="0"/>
      <w:marRight w:val="0"/>
      <w:marTop w:val="0"/>
      <w:marBottom w:val="0"/>
      <w:divBdr>
        <w:top w:val="none" w:sz="0" w:space="0" w:color="auto"/>
        <w:left w:val="none" w:sz="0" w:space="0" w:color="auto"/>
        <w:bottom w:val="none" w:sz="0" w:space="0" w:color="auto"/>
        <w:right w:val="none" w:sz="0" w:space="0" w:color="auto"/>
      </w:divBdr>
    </w:div>
    <w:div w:id="427509401">
      <w:bodyDiv w:val="1"/>
      <w:marLeft w:val="0"/>
      <w:marRight w:val="0"/>
      <w:marTop w:val="0"/>
      <w:marBottom w:val="0"/>
      <w:divBdr>
        <w:top w:val="none" w:sz="0" w:space="0" w:color="auto"/>
        <w:left w:val="none" w:sz="0" w:space="0" w:color="auto"/>
        <w:bottom w:val="none" w:sz="0" w:space="0" w:color="auto"/>
        <w:right w:val="none" w:sz="0" w:space="0" w:color="auto"/>
      </w:divBdr>
    </w:div>
    <w:div w:id="430047799">
      <w:bodyDiv w:val="1"/>
      <w:marLeft w:val="0"/>
      <w:marRight w:val="0"/>
      <w:marTop w:val="0"/>
      <w:marBottom w:val="0"/>
      <w:divBdr>
        <w:top w:val="none" w:sz="0" w:space="0" w:color="auto"/>
        <w:left w:val="none" w:sz="0" w:space="0" w:color="auto"/>
        <w:bottom w:val="none" w:sz="0" w:space="0" w:color="auto"/>
        <w:right w:val="none" w:sz="0" w:space="0" w:color="auto"/>
      </w:divBdr>
    </w:div>
    <w:div w:id="433985120">
      <w:bodyDiv w:val="1"/>
      <w:marLeft w:val="0"/>
      <w:marRight w:val="0"/>
      <w:marTop w:val="0"/>
      <w:marBottom w:val="0"/>
      <w:divBdr>
        <w:top w:val="none" w:sz="0" w:space="0" w:color="auto"/>
        <w:left w:val="none" w:sz="0" w:space="0" w:color="auto"/>
        <w:bottom w:val="none" w:sz="0" w:space="0" w:color="auto"/>
        <w:right w:val="none" w:sz="0" w:space="0" w:color="auto"/>
      </w:divBdr>
    </w:div>
    <w:div w:id="458306996">
      <w:bodyDiv w:val="1"/>
      <w:marLeft w:val="0"/>
      <w:marRight w:val="0"/>
      <w:marTop w:val="0"/>
      <w:marBottom w:val="0"/>
      <w:divBdr>
        <w:top w:val="none" w:sz="0" w:space="0" w:color="auto"/>
        <w:left w:val="none" w:sz="0" w:space="0" w:color="auto"/>
        <w:bottom w:val="none" w:sz="0" w:space="0" w:color="auto"/>
        <w:right w:val="none" w:sz="0" w:space="0" w:color="auto"/>
      </w:divBdr>
    </w:div>
    <w:div w:id="459884308">
      <w:bodyDiv w:val="1"/>
      <w:marLeft w:val="0"/>
      <w:marRight w:val="0"/>
      <w:marTop w:val="0"/>
      <w:marBottom w:val="0"/>
      <w:divBdr>
        <w:top w:val="none" w:sz="0" w:space="0" w:color="auto"/>
        <w:left w:val="none" w:sz="0" w:space="0" w:color="auto"/>
        <w:bottom w:val="none" w:sz="0" w:space="0" w:color="auto"/>
        <w:right w:val="none" w:sz="0" w:space="0" w:color="auto"/>
      </w:divBdr>
    </w:div>
    <w:div w:id="464197924">
      <w:bodyDiv w:val="1"/>
      <w:marLeft w:val="0"/>
      <w:marRight w:val="0"/>
      <w:marTop w:val="0"/>
      <w:marBottom w:val="0"/>
      <w:divBdr>
        <w:top w:val="none" w:sz="0" w:space="0" w:color="auto"/>
        <w:left w:val="none" w:sz="0" w:space="0" w:color="auto"/>
        <w:bottom w:val="none" w:sz="0" w:space="0" w:color="auto"/>
        <w:right w:val="none" w:sz="0" w:space="0" w:color="auto"/>
      </w:divBdr>
    </w:div>
    <w:div w:id="472065799">
      <w:bodyDiv w:val="1"/>
      <w:marLeft w:val="0"/>
      <w:marRight w:val="0"/>
      <w:marTop w:val="0"/>
      <w:marBottom w:val="0"/>
      <w:divBdr>
        <w:top w:val="none" w:sz="0" w:space="0" w:color="auto"/>
        <w:left w:val="none" w:sz="0" w:space="0" w:color="auto"/>
        <w:bottom w:val="none" w:sz="0" w:space="0" w:color="auto"/>
        <w:right w:val="none" w:sz="0" w:space="0" w:color="auto"/>
      </w:divBdr>
    </w:div>
    <w:div w:id="474882560">
      <w:bodyDiv w:val="1"/>
      <w:marLeft w:val="0"/>
      <w:marRight w:val="0"/>
      <w:marTop w:val="0"/>
      <w:marBottom w:val="0"/>
      <w:divBdr>
        <w:top w:val="none" w:sz="0" w:space="0" w:color="auto"/>
        <w:left w:val="none" w:sz="0" w:space="0" w:color="auto"/>
        <w:bottom w:val="none" w:sz="0" w:space="0" w:color="auto"/>
        <w:right w:val="none" w:sz="0" w:space="0" w:color="auto"/>
      </w:divBdr>
    </w:div>
    <w:div w:id="476803547">
      <w:bodyDiv w:val="1"/>
      <w:marLeft w:val="0"/>
      <w:marRight w:val="0"/>
      <w:marTop w:val="0"/>
      <w:marBottom w:val="0"/>
      <w:divBdr>
        <w:top w:val="none" w:sz="0" w:space="0" w:color="auto"/>
        <w:left w:val="none" w:sz="0" w:space="0" w:color="auto"/>
        <w:bottom w:val="none" w:sz="0" w:space="0" w:color="auto"/>
        <w:right w:val="none" w:sz="0" w:space="0" w:color="auto"/>
      </w:divBdr>
    </w:div>
    <w:div w:id="478807296">
      <w:bodyDiv w:val="1"/>
      <w:marLeft w:val="0"/>
      <w:marRight w:val="0"/>
      <w:marTop w:val="0"/>
      <w:marBottom w:val="0"/>
      <w:divBdr>
        <w:top w:val="none" w:sz="0" w:space="0" w:color="auto"/>
        <w:left w:val="none" w:sz="0" w:space="0" w:color="auto"/>
        <w:bottom w:val="none" w:sz="0" w:space="0" w:color="auto"/>
        <w:right w:val="none" w:sz="0" w:space="0" w:color="auto"/>
      </w:divBdr>
    </w:div>
    <w:div w:id="483817439">
      <w:bodyDiv w:val="1"/>
      <w:marLeft w:val="0"/>
      <w:marRight w:val="0"/>
      <w:marTop w:val="0"/>
      <w:marBottom w:val="0"/>
      <w:divBdr>
        <w:top w:val="none" w:sz="0" w:space="0" w:color="auto"/>
        <w:left w:val="none" w:sz="0" w:space="0" w:color="auto"/>
        <w:bottom w:val="none" w:sz="0" w:space="0" w:color="auto"/>
        <w:right w:val="none" w:sz="0" w:space="0" w:color="auto"/>
      </w:divBdr>
    </w:div>
    <w:div w:id="487594220">
      <w:bodyDiv w:val="1"/>
      <w:marLeft w:val="0"/>
      <w:marRight w:val="0"/>
      <w:marTop w:val="0"/>
      <w:marBottom w:val="0"/>
      <w:divBdr>
        <w:top w:val="none" w:sz="0" w:space="0" w:color="auto"/>
        <w:left w:val="none" w:sz="0" w:space="0" w:color="auto"/>
        <w:bottom w:val="none" w:sz="0" w:space="0" w:color="auto"/>
        <w:right w:val="none" w:sz="0" w:space="0" w:color="auto"/>
      </w:divBdr>
    </w:div>
    <w:div w:id="488716736">
      <w:bodyDiv w:val="1"/>
      <w:marLeft w:val="0"/>
      <w:marRight w:val="0"/>
      <w:marTop w:val="0"/>
      <w:marBottom w:val="0"/>
      <w:divBdr>
        <w:top w:val="none" w:sz="0" w:space="0" w:color="auto"/>
        <w:left w:val="none" w:sz="0" w:space="0" w:color="auto"/>
        <w:bottom w:val="none" w:sz="0" w:space="0" w:color="auto"/>
        <w:right w:val="none" w:sz="0" w:space="0" w:color="auto"/>
      </w:divBdr>
    </w:div>
    <w:div w:id="490754554">
      <w:bodyDiv w:val="1"/>
      <w:marLeft w:val="0"/>
      <w:marRight w:val="0"/>
      <w:marTop w:val="0"/>
      <w:marBottom w:val="0"/>
      <w:divBdr>
        <w:top w:val="none" w:sz="0" w:space="0" w:color="auto"/>
        <w:left w:val="none" w:sz="0" w:space="0" w:color="auto"/>
        <w:bottom w:val="none" w:sz="0" w:space="0" w:color="auto"/>
        <w:right w:val="none" w:sz="0" w:space="0" w:color="auto"/>
      </w:divBdr>
    </w:div>
    <w:div w:id="497303779">
      <w:bodyDiv w:val="1"/>
      <w:marLeft w:val="0"/>
      <w:marRight w:val="0"/>
      <w:marTop w:val="0"/>
      <w:marBottom w:val="0"/>
      <w:divBdr>
        <w:top w:val="none" w:sz="0" w:space="0" w:color="auto"/>
        <w:left w:val="none" w:sz="0" w:space="0" w:color="auto"/>
        <w:bottom w:val="none" w:sz="0" w:space="0" w:color="auto"/>
        <w:right w:val="none" w:sz="0" w:space="0" w:color="auto"/>
      </w:divBdr>
    </w:div>
    <w:div w:id="498236721">
      <w:bodyDiv w:val="1"/>
      <w:marLeft w:val="0"/>
      <w:marRight w:val="0"/>
      <w:marTop w:val="0"/>
      <w:marBottom w:val="0"/>
      <w:divBdr>
        <w:top w:val="none" w:sz="0" w:space="0" w:color="auto"/>
        <w:left w:val="none" w:sz="0" w:space="0" w:color="auto"/>
        <w:bottom w:val="none" w:sz="0" w:space="0" w:color="auto"/>
        <w:right w:val="none" w:sz="0" w:space="0" w:color="auto"/>
      </w:divBdr>
    </w:div>
    <w:div w:id="500199305">
      <w:bodyDiv w:val="1"/>
      <w:marLeft w:val="0"/>
      <w:marRight w:val="0"/>
      <w:marTop w:val="0"/>
      <w:marBottom w:val="0"/>
      <w:divBdr>
        <w:top w:val="none" w:sz="0" w:space="0" w:color="auto"/>
        <w:left w:val="none" w:sz="0" w:space="0" w:color="auto"/>
        <w:bottom w:val="none" w:sz="0" w:space="0" w:color="auto"/>
        <w:right w:val="none" w:sz="0" w:space="0" w:color="auto"/>
      </w:divBdr>
    </w:div>
    <w:div w:id="507864159">
      <w:bodyDiv w:val="1"/>
      <w:marLeft w:val="0"/>
      <w:marRight w:val="0"/>
      <w:marTop w:val="0"/>
      <w:marBottom w:val="0"/>
      <w:divBdr>
        <w:top w:val="none" w:sz="0" w:space="0" w:color="auto"/>
        <w:left w:val="none" w:sz="0" w:space="0" w:color="auto"/>
        <w:bottom w:val="none" w:sz="0" w:space="0" w:color="auto"/>
        <w:right w:val="none" w:sz="0" w:space="0" w:color="auto"/>
      </w:divBdr>
    </w:div>
    <w:div w:id="516315726">
      <w:bodyDiv w:val="1"/>
      <w:marLeft w:val="0"/>
      <w:marRight w:val="0"/>
      <w:marTop w:val="0"/>
      <w:marBottom w:val="0"/>
      <w:divBdr>
        <w:top w:val="none" w:sz="0" w:space="0" w:color="auto"/>
        <w:left w:val="none" w:sz="0" w:space="0" w:color="auto"/>
        <w:bottom w:val="none" w:sz="0" w:space="0" w:color="auto"/>
        <w:right w:val="none" w:sz="0" w:space="0" w:color="auto"/>
      </w:divBdr>
    </w:div>
    <w:div w:id="519897297">
      <w:bodyDiv w:val="1"/>
      <w:marLeft w:val="0"/>
      <w:marRight w:val="0"/>
      <w:marTop w:val="0"/>
      <w:marBottom w:val="0"/>
      <w:divBdr>
        <w:top w:val="none" w:sz="0" w:space="0" w:color="auto"/>
        <w:left w:val="none" w:sz="0" w:space="0" w:color="auto"/>
        <w:bottom w:val="none" w:sz="0" w:space="0" w:color="auto"/>
        <w:right w:val="none" w:sz="0" w:space="0" w:color="auto"/>
      </w:divBdr>
    </w:div>
    <w:div w:id="526599874">
      <w:bodyDiv w:val="1"/>
      <w:marLeft w:val="0"/>
      <w:marRight w:val="0"/>
      <w:marTop w:val="0"/>
      <w:marBottom w:val="0"/>
      <w:divBdr>
        <w:top w:val="none" w:sz="0" w:space="0" w:color="auto"/>
        <w:left w:val="none" w:sz="0" w:space="0" w:color="auto"/>
        <w:bottom w:val="none" w:sz="0" w:space="0" w:color="auto"/>
        <w:right w:val="none" w:sz="0" w:space="0" w:color="auto"/>
      </w:divBdr>
    </w:div>
    <w:div w:id="526603550">
      <w:bodyDiv w:val="1"/>
      <w:marLeft w:val="0"/>
      <w:marRight w:val="0"/>
      <w:marTop w:val="0"/>
      <w:marBottom w:val="0"/>
      <w:divBdr>
        <w:top w:val="none" w:sz="0" w:space="0" w:color="auto"/>
        <w:left w:val="none" w:sz="0" w:space="0" w:color="auto"/>
        <w:bottom w:val="none" w:sz="0" w:space="0" w:color="auto"/>
        <w:right w:val="none" w:sz="0" w:space="0" w:color="auto"/>
      </w:divBdr>
    </w:div>
    <w:div w:id="530807076">
      <w:bodyDiv w:val="1"/>
      <w:marLeft w:val="0"/>
      <w:marRight w:val="0"/>
      <w:marTop w:val="0"/>
      <w:marBottom w:val="0"/>
      <w:divBdr>
        <w:top w:val="none" w:sz="0" w:space="0" w:color="auto"/>
        <w:left w:val="none" w:sz="0" w:space="0" w:color="auto"/>
        <w:bottom w:val="none" w:sz="0" w:space="0" w:color="auto"/>
        <w:right w:val="none" w:sz="0" w:space="0" w:color="auto"/>
      </w:divBdr>
    </w:div>
    <w:div w:id="531966865">
      <w:bodyDiv w:val="1"/>
      <w:marLeft w:val="0"/>
      <w:marRight w:val="0"/>
      <w:marTop w:val="0"/>
      <w:marBottom w:val="0"/>
      <w:divBdr>
        <w:top w:val="none" w:sz="0" w:space="0" w:color="auto"/>
        <w:left w:val="none" w:sz="0" w:space="0" w:color="auto"/>
        <w:bottom w:val="none" w:sz="0" w:space="0" w:color="auto"/>
        <w:right w:val="none" w:sz="0" w:space="0" w:color="auto"/>
      </w:divBdr>
    </w:div>
    <w:div w:id="536159969">
      <w:bodyDiv w:val="1"/>
      <w:marLeft w:val="0"/>
      <w:marRight w:val="0"/>
      <w:marTop w:val="0"/>
      <w:marBottom w:val="0"/>
      <w:divBdr>
        <w:top w:val="none" w:sz="0" w:space="0" w:color="auto"/>
        <w:left w:val="none" w:sz="0" w:space="0" w:color="auto"/>
        <w:bottom w:val="none" w:sz="0" w:space="0" w:color="auto"/>
        <w:right w:val="none" w:sz="0" w:space="0" w:color="auto"/>
      </w:divBdr>
    </w:div>
    <w:div w:id="539899321">
      <w:bodyDiv w:val="1"/>
      <w:marLeft w:val="0"/>
      <w:marRight w:val="0"/>
      <w:marTop w:val="0"/>
      <w:marBottom w:val="0"/>
      <w:divBdr>
        <w:top w:val="none" w:sz="0" w:space="0" w:color="auto"/>
        <w:left w:val="none" w:sz="0" w:space="0" w:color="auto"/>
        <w:bottom w:val="none" w:sz="0" w:space="0" w:color="auto"/>
        <w:right w:val="none" w:sz="0" w:space="0" w:color="auto"/>
      </w:divBdr>
    </w:div>
    <w:div w:id="541984796">
      <w:bodyDiv w:val="1"/>
      <w:marLeft w:val="0"/>
      <w:marRight w:val="0"/>
      <w:marTop w:val="0"/>
      <w:marBottom w:val="0"/>
      <w:divBdr>
        <w:top w:val="none" w:sz="0" w:space="0" w:color="auto"/>
        <w:left w:val="none" w:sz="0" w:space="0" w:color="auto"/>
        <w:bottom w:val="none" w:sz="0" w:space="0" w:color="auto"/>
        <w:right w:val="none" w:sz="0" w:space="0" w:color="auto"/>
      </w:divBdr>
    </w:div>
    <w:div w:id="543062952">
      <w:bodyDiv w:val="1"/>
      <w:marLeft w:val="0"/>
      <w:marRight w:val="0"/>
      <w:marTop w:val="0"/>
      <w:marBottom w:val="0"/>
      <w:divBdr>
        <w:top w:val="none" w:sz="0" w:space="0" w:color="auto"/>
        <w:left w:val="none" w:sz="0" w:space="0" w:color="auto"/>
        <w:bottom w:val="none" w:sz="0" w:space="0" w:color="auto"/>
        <w:right w:val="none" w:sz="0" w:space="0" w:color="auto"/>
      </w:divBdr>
    </w:div>
    <w:div w:id="559370675">
      <w:bodyDiv w:val="1"/>
      <w:marLeft w:val="0"/>
      <w:marRight w:val="0"/>
      <w:marTop w:val="0"/>
      <w:marBottom w:val="0"/>
      <w:divBdr>
        <w:top w:val="none" w:sz="0" w:space="0" w:color="auto"/>
        <w:left w:val="none" w:sz="0" w:space="0" w:color="auto"/>
        <w:bottom w:val="none" w:sz="0" w:space="0" w:color="auto"/>
        <w:right w:val="none" w:sz="0" w:space="0" w:color="auto"/>
      </w:divBdr>
    </w:div>
    <w:div w:id="567963770">
      <w:bodyDiv w:val="1"/>
      <w:marLeft w:val="0"/>
      <w:marRight w:val="0"/>
      <w:marTop w:val="0"/>
      <w:marBottom w:val="0"/>
      <w:divBdr>
        <w:top w:val="none" w:sz="0" w:space="0" w:color="auto"/>
        <w:left w:val="none" w:sz="0" w:space="0" w:color="auto"/>
        <w:bottom w:val="none" w:sz="0" w:space="0" w:color="auto"/>
        <w:right w:val="none" w:sz="0" w:space="0" w:color="auto"/>
      </w:divBdr>
      <w:divsChild>
        <w:div w:id="1768848530">
          <w:marLeft w:val="274"/>
          <w:marRight w:val="0"/>
          <w:marTop w:val="240"/>
          <w:marBottom w:val="0"/>
          <w:divBdr>
            <w:top w:val="none" w:sz="0" w:space="0" w:color="auto"/>
            <w:left w:val="none" w:sz="0" w:space="0" w:color="auto"/>
            <w:bottom w:val="none" w:sz="0" w:space="0" w:color="auto"/>
            <w:right w:val="none" w:sz="0" w:space="0" w:color="auto"/>
          </w:divBdr>
        </w:div>
      </w:divsChild>
    </w:div>
    <w:div w:id="569460918">
      <w:bodyDiv w:val="1"/>
      <w:marLeft w:val="0"/>
      <w:marRight w:val="0"/>
      <w:marTop w:val="0"/>
      <w:marBottom w:val="0"/>
      <w:divBdr>
        <w:top w:val="none" w:sz="0" w:space="0" w:color="auto"/>
        <w:left w:val="none" w:sz="0" w:space="0" w:color="auto"/>
        <w:bottom w:val="none" w:sz="0" w:space="0" w:color="auto"/>
        <w:right w:val="none" w:sz="0" w:space="0" w:color="auto"/>
      </w:divBdr>
    </w:div>
    <w:div w:id="576748297">
      <w:bodyDiv w:val="1"/>
      <w:marLeft w:val="0"/>
      <w:marRight w:val="0"/>
      <w:marTop w:val="0"/>
      <w:marBottom w:val="0"/>
      <w:divBdr>
        <w:top w:val="none" w:sz="0" w:space="0" w:color="auto"/>
        <w:left w:val="none" w:sz="0" w:space="0" w:color="auto"/>
        <w:bottom w:val="none" w:sz="0" w:space="0" w:color="auto"/>
        <w:right w:val="none" w:sz="0" w:space="0" w:color="auto"/>
      </w:divBdr>
    </w:div>
    <w:div w:id="580456961">
      <w:bodyDiv w:val="1"/>
      <w:marLeft w:val="0"/>
      <w:marRight w:val="0"/>
      <w:marTop w:val="0"/>
      <w:marBottom w:val="0"/>
      <w:divBdr>
        <w:top w:val="none" w:sz="0" w:space="0" w:color="auto"/>
        <w:left w:val="none" w:sz="0" w:space="0" w:color="auto"/>
        <w:bottom w:val="none" w:sz="0" w:space="0" w:color="auto"/>
        <w:right w:val="none" w:sz="0" w:space="0" w:color="auto"/>
      </w:divBdr>
    </w:div>
    <w:div w:id="583759752">
      <w:bodyDiv w:val="1"/>
      <w:marLeft w:val="0"/>
      <w:marRight w:val="0"/>
      <w:marTop w:val="0"/>
      <w:marBottom w:val="0"/>
      <w:divBdr>
        <w:top w:val="none" w:sz="0" w:space="0" w:color="auto"/>
        <w:left w:val="none" w:sz="0" w:space="0" w:color="auto"/>
        <w:bottom w:val="none" w:sz="0" w:space="0" w:color="auto"/>
        <w:right w:val="none" w:sz="0" w:space="0" w:color="auto"/>
      </w:divBdr>
    </w:div>
    <w:div w:id="588581923">
      <w:bodyDiv w:val="1"/>
      <w:marLeft w:val="0"/>
      <w:marRight w:val="0"/>
      <w:marTop w:val="0"/>
      <w:marBottom w:val="0"/>
      <w:divBdr>
        <w:top w:val="none" w:sz="0" w:space="0" w:color="auto"/>
        <w:left w:val="none" w:sz="0" w:space="0" w:color="auto"/>
        <w:bottom w:val="none" w:sz="0" w:space="0" w:color="auto"/>
        <w:right w:val="none" w:sz="0" w:space="0" w:color="auto"/>
      </w:divBdr>
    </w:div>
    <w:div w:id="604312000">
      <w:bodyDiv w:val="1"/>
      <w:marLeft w:val="0"/>
      <w:marRight w:val="0"/>
      <w:marTop w:val="0"/>
      <w:marBottom w:val="0"/>
      <w:divBdr>
        <w:top w:val="none" w:sz="0" w:space="0" w:color="auto"/>
        <w:left w:val="none" w:sz="0" w:space="0" w:color="auto"/>
        <w:bottom w:val="none" w:sz="0" w:space="0" w:color="auto"/>
        <w:right w:val="none" w:sz="0" w:space="0" w:color="auto"/>
      </w:divBdr>
    </w:div>
    <w:div w:id="627854574">
      <w:bodyDiv w:val="1"/>
      <w:marLeft w:val="0"/>
      <w:marRight w:val="0"/>
      <w:marTop w:val="0"/>
      <w:marBottom w:val="0"/>
      <w:divBdr>
        <w:top w:val="none" w:sz="0" w:space="0" w:color="auto"/>
        <w:left w:val="none" w:sz="0" w:space="0" w:color="auto"/>
        <w:bottom w:val="none" w:sz="0" w:space="0" w:color="auto"/>
        <w:right w:val="none" w:sz="0" w:space="0" w:color="auto"/>
      </w:divBdr>
    </w:div>
    <w:div w:id="638655479">
      <w:bodyDiv w:val="1"/>
      <w:marLeft w:val="0"/>
      <w:marRight w:val="0"/>
      <w:marTop w:val="0"/>
      <w:marBottom w:val="0"/>
      <w:divBdr>
        <w:top w:val="none" w:sz="0" w:space="0" w:color="auto"/>
        <w:left w:val="none" w:sz="0" w:space="0" w:color="auto"/>
        <w:bottom w:val="none" w:sz="0" w:space="0" w:color="auto"/>
        <w:right w:val="none" w:sz="0" w:space="0" w:color="auto"/>
      </w:divBdr>
    </w:div>
    <w:div w:id="640581243">
      <w:bodyDiv w:val="1"/>
      <w:marLeft w:val="0"/>
      <w:marRight w:val="0"/>
      <w:marTop w:val="0"/>
      <w:marBottom w:val="0"/>
      <w:divBdr>
        <w:top w:val="none" w:sz="0" w:space="0" w:color="auto"/>
        <w:left w:val="none" w:sz="0" w:space="0" w:color="auto"/>
        <w:bottom w:val="none" w:sz="0" w:space="0" w:color="auto"/>
        <w:right w:val="none" w:sz="0" w:space="0" w:color="auto"/>
      </w:divBdr>
    </w:div>
    <w:div w:id="642656118">
      <w:bodyDiv w:val="1"/>
      <w:marLeft w:val="0"/>
      <w:marRight w:val="0"/>
      <w:marTop w:val="0"/>
      <w:marBottom w:val="0"/>
      <w:divBdr>
        <w:top w:val="none" w:sz="0" w:space="0" w:color="auto"/>
        <w:left w:val="none" w:sz="0" w:space="0" w:color="auto"/>
        <w:bottom w:val="none" w:sz="0" w:space="0" w:color="auto"/>
        <w:right w:val="none" w:sz="0" w:space="0" w:color="auto"/>
      </w:divBdr>
    </w:div>
    <w:div w:id="659893103">
      <w:bodyDiv w:val="1"/>
      <w:marLeft w:val="0"/>
      <w:marRight w:val="0"/>
      <w:marTop w:val="0"/>
      <w:marBottom w:val="0"/>
      <w:divBdr>
        <w:top w:val="none" w:sz="0" w:space="0" w:color="auto"/>
        <w:left w:val="none" w:sz="0" w:space="0" w:color="auto"/>
        <w:bottom w:val="none" w:sz="0" w:space="0" w:color="auto"/>
        <w:right w:val="none" w:sz="0" w:space="0" w:color="auto"/>
      </w:divBdr>
    </w:div>
    <w:div w:id="662398542">
      <w:bodyDiv w:val="1"/>
      <w:marLeft w:val="0"/>
      <w:marRight w:val="0"/>
      <w:marTop w:val="0"/>
      <w:marBottom w:val="0"/>
      <w:divBdr>
        <w:top w:val="none" w:sz="0" w:space="0" w:color="auto"/>
        <w:left w:val="none" w:sz="0" w:space="0" w:color="auto"/>
        <w:bottom w:val="none" w:sz="0" w:space="0" w:color="auto"/>
        <w:right w:val="none" w:sz="0" w:space="0" w:color="auto"/>
      </w:divBdr>
    </w:div>
    <w:div w:id="663044564">
      <w:bodyDiv w:val="1"/>
      <w:marLeft w:val="0"/>
      <w:marRight w:val="0"/>
      <w:marTop w:val="0"/>
      <w:marBottom w:val="0"/>
      <w:divBdr>
        <w:top w:val="none" w:sz="0" w:space="0" w:color="auto"/>
        <w:left w:val="none" w:sz="0" w:space="0" w:color="auto"/>
        <w:bottom w:val="none" w:sz="0" w:space="0" w:color="auto"/>
        <w:right w:val="none" w:sz="0" w:space="0" w:color="auto"/>
      </w:divBdr>
    </w:div>
    <w:div w:id="665325710">
      <w:bodyDiv w:val="1"/>
      <w:marLeft w:val="0"/>
      <w:marRight w:val="0"/>
      <w:marTop w:val="0"/>
      <w:marBottom w:val="0"/>
      <w:divBdr>
        <w:top w:val="none" w:sz="0" w:space="0" w:color="auto"/>
        <w:left w:val="none" w:sz="0" w:space="0" w:color="auto"/>
        <w:bottom w:val="none" w:sz="0" w:space="0" w:color="auto"/>
        <w:right w:val="none" w:sz="0" w:space="0" w:color="auto"/>
      </w:divBdr>
    </w:div>
    <w:div w:id="674920439">
      <w:bodyDiv w:val="1"/>
      <w:marLeft w:val="0"/>
      <w:marRight w:val="0"/>
      <w:marTop w:val="0"/>
      <w:marBottom w:val="0"/>
      <w:divBdr>
        <w:top w:val="none" w:sz="0" w:space="0" w:color="auto"/>
        <w:left w:val="none" w:sz="0" w:space="0" w:color="auto"/>
        <w:bottom w:val="none" w:sz="0" w:space="0" w:color="auto"/>
        <w:right w:val="none" w:sz="0" w:space="0" w:color="auto"/>
      </w:divBdr>
    </w:div>
    <w:div w:id="687102055">
      <w:bodyDiv w:val="1"/>
      <w:marLeft w:val="0"/>
      <w:marRight w:val="0"/>
      <w:marTop w:val="0"/>
      <w:marBottom w:val="0"/>
      <w:divBdr>
        <w:top w:val="none" w:sz="0" w:space="0" w:color="auto"/>
        <w:left w:val="none" w:sz="0" w:space="0" w:color="auto"/>
        <w:bottom w:val="none" w:sz="0" w:space="0" w:color="auto"/>
        <w:right w:val="none" w:sz="0" w:space="0" w:color="auto"/>
      </w:divBdr>
    </w:div>
    <w:div w:id="691108603">
      <w:bodyDiv w:val="1"/>
      <w:marLeft w:val="0"/>
      <w:marRight w:val="0"/>
      <w:marTop w:val="0"/>
      <w:marBottom w:val="0"/>
      <w:divBdr>
        <w:top w:val="none" w:sz="0" w:space="0" w:color="auto"/>
        <w:left w:val="none" w:sz="0" w:space="0" w:color="auto"/>
        <w:bottom w:val="none" w:sz="0" w:space="0" w:color="auto"/>
        <w:right w:val="none" w:sz="0" w:space="0" w:color="auto"/>
      </w:divBdr>
    </w:div>
    <w:div w:id="696083565">
      <w:bodyDiv w:val="1"/>
      <w:marLeft w:val="0"/>
      <w:marRight w:val="0"/>
      <w:marTop w:val="0"/>
      <w:marBottom w:val="0"/>
      <w:divBdr>
        <w:top w:val="none" w:sz="0" w:space="0" w:color="auto"/>
        <w:left w:val="none" w:sz="0" w:space="0" w:color="auto"/>
        <w:bottom w:val="none" w:sz="0" w:space="0" w:color="auto"/>
        <w:right w:val="none" w:sz="0" w:space="0" w:color="auto"/>
      </w:divBdr>
    </w:div>
    <w:div w:id="697971116">
      <w:bodyDiv w:val="1"/>
      <w:marLeft w:val="0"/>
      <w:marRight w:val="0"/>
      <w:marTop w:val="0"/>
      <w:marBottom w:val="0"/>
      <w:divBdr>
        <w:top w:val="none" w:sz="0" w:space="0" w:color="auto"/>
        <w:left w:val="none" w:sz="0" w:space="0" w:color="auto"/>
        <w:bottom w:val="none" w:sz="0" w:space="0" w:color="auto"/>
        <w:right w:val="none" w:sz="0" w:space="0" w:color="auto"/>
      </w:divBdr>
    </w:div>
    <w:div w:id="698971800">
      <w:bodyDiv w:val="1"/>
      <w:marLeft w:val="0"/>
      <w:marRight w:val="0"/>
      <w:marTop w:val="0"/>
      <w:marBottom w:val="0"/>
      <w:divBdr>
        <w:top w:val="none" w:sz="0" w:space="0" w:color="auto"/>
        <w:left w:val="none" w:sz="0" w:space="0" w:color="auto"/>
        <w:bottom w:val="none" w:sz="0" w:space="0" w:color="auto"/>
        <w:right w:val="none" w:sz="0" w:space="0" w:color="auto"/>
      </w:divBdr>
    </w:div>
    <w:div w:id="700865659">
      <w:bodyDiv w:val="1"/>
      <w:marLeft w:val="0"/>
      <w:marRight w:val="0"/>
      <w:marTop w:val="0"/>
      <w:marBottom w:val="0"/>
      <w:divBdr>
        <w:top w:val="none" w:sz="0" w:space="0" w:color="auto"/>
        <w:left w:val="none" w:sz="0" w:space="0" w:color="auto"/>
        <w:bottom w:val="none" w:sz="0" w:space="0" w:color="auto"/>
        <w:right w:val="none" w:sz="0" w:space="0" w:color="auto"/>
      </w:divBdr>
    </w:div>
    <w:div w:id="704529120">
      <w:bodyDiv w:val="1"/>
      <w:marLeft w:val="0"/>
      <w:marRight w:val="0"/>
      <w:marTop w:val="0"/>
      <w:marBottom w:val="0"/>
      <w:divBdr>
        <w:top w:val="none" w:sz="0" w:space="0" w:color="auto"/>
        <w:left w:val="none" w:sz="0" w:space="0" w:color="auto"/>
        <w:bottom w:val="none" w:sz="0" w:space="0" w:color="auto"/>
        <w:right w:val="none" w:sz="0" w:space="0" w:color="auto"/>
      </w:divBdr>
    </w:div>
    <w:div w:id="708068152">
      <w:bodyDiv w:val="1"/>
      <w:marLeft w:val="0"/>
      <w:marRight w:val="0"/>
      <w:marTop w:val="0"/>
      <w:marBottom w:val="0"/>
      <w:divBdr>
        <w:top w:val="none" w:sz="0" w:space="0" w:color="auto"/>
        <w:left w:val="none" w:sz="0" w:space="0" w:color="auto"/>
        <w:bottom w:val="none" w:sz="0" w:space="0" w:color="auto"/>
        <w:right w:val="none" w:sz="0" w:space="0" w:color="auto"/>
      </w:divBdr>
    </w:div>
    <w:div w:id="717901514">
      <w:bodyDiv w:val="1"/>
      <w:marLeft w:val="0"/>
      <w:marRight w:val="0"/>
      <w:marTop w:val="0"/>
      <w:marBottom w:val="0"/>
      <w:divBdr>
        <w:top w:val="none" w:sz="0" w:space="0" w:color="auto"/>
        <w:left w:val="none" w:sz="0" w:space="0" w:color="auto"/>
        <w:bottom w:val="none" w:sz="0" w:space="0" w:color="auto"/>
        <w:right w:val="none" w:sz="0" w:space="0" w:color="auto"/>
      </w:divBdr>
    </w:div>
    <w:div w:id="721751231">
      <w:bodyDiv w:val="1"/>
      <w:marLeft w:val="0"/>
      <w:marRight w:val="0"/>
      <w:marTop w:val="0"/>
      <w:marBottom w:val="0"/>
      <w:divBdr>
        <w:top w:val="none" w:sz="0" w:space="0" w:color="auto"/>
        <w:left w:val="none" w:sz="0" w:space="0" w:color="auto"/>
        <w:bottom w:val="none" w:sz="0" w:space="0" w:color="auto"/>
        <w:right w:val="none" w:sz="0" w:space="0" w:color="auto"/>
      </w:divBdr>
    </w:div>
    <w:div w:id="732511008">
      <w:bodyDiv w:val="1"/>
      <w:marLeft w:val="0"/>
      <w:marRight w:val="0"/>
      <w:marTop w:val="0"/>
      <w:marBottom w:val="0"/>
      <w:divBdr>
        <w:top w:val="none" w:sz="0" w:space="0" w:color="auto"/>
        <w:left w:val="none" w:sz="0" w:space="0" w:color="auto"/>
        <w:bottom w:val="none" w:sz="0" w:space="0" w:color="auto"/>
        <w:right w:val="none" w:sz="0" w:space="0" w:color="auto"/>
      </w:divBdr>
    </w:div>
    <w:div w:id="735781100">
      <w:bodyDiv w:val="1"/>
      <w:marLeft w:val="0"/>
      <w:marRight w:val="0"/>
      <w:marTop w:val="0"/>
      <w:marBottom w:val="0"/>
      <w:divBdr>
        <w:top w:val="none" w:sz="0" w:space="0" w:color="auto"/>
        <w:left w:val="none" w:sz="0" w:space="0" w:color="auto"/>
        <w:bottom w:val="none" w:sz="0" w:space="0" w:color="auto"/>
        <w:right w:val="none" w:sz="0" w:space="0" w:color="auto"/>
      </w:divBdr>
    </w:div>
    <w:div w:id="743142957">
      <w:bodyDiv w:val="1"/>
      <w:marLeft w:val="0"/>
      <w:marRight w:val="0"/>
      <w:marTop w:val="0"/>
      <w:marBottom w:val="0"/>
      <w:divBdr>
        <w:top w:val="none" w:sz="0" w:space="0" w:color="auto"/>
        <w:left w:val="none" w:sz="0" w:space="0" w:color="auto"/>
        <w:bottom w:val="none" w:sz="0" w:space="0" w:color="auto"/>
        <w:right w:val="none" w:sz="0" w:space="0" w:color="auto"/>
      </w:divBdr>
    </w:div>
    <w:div w:id="743647643">
      <w:bodyDiv w:val="1"/>
      <w:marLeft w:val="0"/>
      <w:marRight w:val="0"/>
      <w:marTop w:val="0"/>
      <w:marBottom w:val="0"/>
      <w:divBdr>
        <w:top w:val="none" w:sz="0" w:space="0" w:color="auto"/>
        <w:left w:val="none" w:sz="0" w:space="0" w:color="auto"/>
        <w:bottom w:val="none" w:sz="0" w:space="0" w:color="auto"/>
        <w:right w:val="none" w:sz="0" w:space="0" w:color="auto"/>
      </w:divBdr>
    </w:div>
    <w:div w:id="744568341">
      <w:bodyDiv w:val="1"/>
      <w:marLeft w:val="0"/>
      <w:marRight w:val="0"/>
      <w:marTop w:val="0"/>
      <w:marBottom w:val="0"/>
      <w:divBdr>
        <w:top w:val="none" w:sz="0" w:space="0" w:color="auto"/>
        <w:left w:val="none" w:sz="0" w:space="0" w:color="auto"/>
        <w:bottom w:val="none" w:sz="0" w:space="0" w:color="auto"/>
        <w:right w:val="none" w:sz="0" w:space="0" w:color="auto"/>
      </w:divBdr>
    </w:div>
    <w:div w:id="746612228">
      <w:bodyDiv w:val="1"/>
      <w:marLeft w:val="0"/>
      <w:marRight w:val="0"/>
      <w:marTop w:val="0"/>
      <w:marBottom w:val="0"/>
      <w:divBdr>
        <w:top w:val="none" w:sz="0" w:space="0" w:color="auto"/>
        <w:left w:val="none" w:sz="0" w:space="0" w:color="auto"/>
        <w:bottom w:val="none" w:sz="0" w:space="0" w:color="auto"/>
        <w:right w:val="none" w:sz="0" w:space="0" w:color="auto"/>
      </w:divBdr>
    </w:div>
    <w:div w:id="748507561">
      <w:bodyDiv w:val="1"/>
      <w:marLeft w:val="0"/>
      <w:marRight w:val="0"/>
      <w:marTop w:val="0"/>
      <w:marBottom w:val="0"/>
      <w:divBdr>
        <w:top w:val="none" w:sz="0" w:space="0" w:color="auto"/>
        <w:left w:val="none" w:sz="0" w:space="0" w:color="auto"/>
        <w:bottom w:val="none" w:sz="0" w:space="0" w:color="auto"/>
        <w:right w:val="none" w:sz="0" w:space="0" w:color="auto"/>
      </w:divBdr>
    </w:div>
    <w:div w:id="752550975">
      <w:bodyDiv w:val="1"/>
      <w:marLeft w:val="0"/>
      <w:marRight w:val="0"/>
      <w:marTop w:val="0"/>
      <w:marBottom w:val="0"/>
      <w:divBdr>
        <w:top w:val="none" w:sz="0" w:space="0" w:color="auto"/>
        <w:left w:val="none" w:sz="0" w:space="0" w:color="auto"/>
        <w:bottom w:val="none" w:sz="0" w:space="0" w:color="auto"/>
        <w:right w:val="none" w:sz="0" w:space="0" w:color="auto"/>
      </w:divBdr>
    </w:div>
    <w:div w:id="752557101">
      <w:bodyDiv w:val="1"/>
      <w:marLeft w:val="0"/>
      <w:marRight w:val="0"/>
      <w:marTop w:val="0"/>
      <w:marBottom w:val="0"/>
      <w:divBdr>
        <w:top w:val="none" w:sz="0" w:space="0" w:color="auto"/>
        <w:left w:val="none" w:sz="0" w:space="0" w:color="auto"/>
        <w:bottom w:val="none" w:sz="0" w:space="0" w:color="auto"/>
        <w:right w:val="none" w:sz="0" w:space="0" w:color="auto"/>
      </w:divBdr>
    </w:div>
    <w:div w:id="754207222">
      <w:bodyDiv w:val="1"/>
      <w:marLeft w:val="0"/>
      <w:marRight w:val="0"/>
      <w:marTop w:val="0"/>
      <w:marBottom w:val="0"/>
      <w:divBdr>
        <w:top w:val="none" w:sz="0" w:space="0" w:color="auto"/>
        <w:left w:val="none" w:sz="0" w:space="0" w:color="auto"/>
        <w:bottom w:val="none" w:sz="0" w:space="0" w:color="auto"/>
        <w:right w:val="none" w:sz="0" w:space="0" w:color="auto"/>
      </w:divBdr>
    </w:div>
    <w:div w:id="756706224">
      <w:bodyDiv w:val="1"/>
      <w:marLeft w:val="0"/>
      <w:marRight w:val="0"/>
      <w:marTop w:val="0"/>
      <w:marBottom w:val="0"/>
      <w:divBdr>
        <w:top w:val="none" w:sz="0" w:space="0" w:color="auto"/>
        <w:left w:val="none" w:sz="0" w:space="0" w:color="auto"/>
        <w:bottom w:val="none" w:sz="0" w:space="0" w:color="auto"/>
        <w:right w:val="none" w:sz="0" w:space="0" w:color="auto"/>
      </w:divBdr>
    </w:div>
    <w:div w:id="759640695">
      <w:bodyDiv w:val="1"/>
      <w:marLeft w:val="0"/>
      <w:marRight w:val="0"/>
      <w:marTop w:val="0"/>
      <w:marBottom w:val="0"/>
      <w:divBdr>
        <w:top w:val="none" w:sz="0" w:space="0" w:color="auto"/>
        <w:left w:val="none" w:sz="0" w:space="0" w:color="auto"/>
        <w:bottom w:val="none" w:sz="0" w:space="0" w:color="auto"/>
        <w:right w:val="none" w:sz="0" w:space="0" w:color="auto"/>
      </w:divBdr>
    </w:div>
    <w:div w:id="764572985">
      <w:bodyDiv w:val="1"/>
      <w:marLeft w:val="0"/>
      <w:marRight w:val="0"/>
      <w:marTop w:val="0"/>
      <w:marBottom w:val="0"/>
      <w:divBdr>
        <w:top w:val="none" w:sz="0" w:space="0" w:color="auto"/>
        <w:left w:val="none" w:sz="0" w:space="0" w:color="auto"/>
        <w:bottom w:val="none" w:sz="0" w:space="0" w:color="auto"/>
        <w:right w:val="none" w:sz="0" w:space="0" w:color="auto"/>
      </w:divBdr>
    </w:div>
    <w:div w:id="766196712">
      <w:bodyDiv w:val="1"/>
      <w:marLeft w:val="0"/>
      <w:marRight w:val="0"/>
      <w:marTop w:val="0"/>
      <w:marBottom w:val="0"/>
      <w:divBdr>
        <w:top w:val="none" w:sz="0" w:space="0" w:color="auto"/>
        <w:left w:val="none" w:sz="0" w:space="0" w:color="auto"/>
        <w:bottom w:val="none" w:sz="0" w:space="0" w:color="auto"/>
        <w:right w:val="none" w:sz="0" w:space="0" w:color="auto"/>
      </w:divBdr>
    </w:div>
    <w:div w:id="780145774">
      <w:bodyDiv w:val="1"/>
      <w:marLeft w:val="0"/>
      <w:marRight w:val="0"/>
      <w:marTop w:val="0"/>
      <w:marBottom w:val="0"/>
      <w:divBdr>
        <w:top w:val="none" w:sz="0" w:space="0" w:color="auto"/>
        <w:left w:val="none" w:sz="0" w:space="0" w:color="auto"/>
        <w:bottom w:val="none" w:sz="0" w:space="0" w:color="auto"/>
        <w:right w:val="none" w:sz="0" w:space="0" w:color="auto"/>
      </w:divBdr>
    </w:div>
    <w:div w:id="786462817">
      <w:bodyDiv w:val="1"/>
      <w:marLeft w:val="0"/>
      <w:marRight w:val="0"/>
      <w:marTop w:val="0"/>
      <w:marBottom w:val="0"/>
      <w:divBdr>
        <w:top w:val="none" w:sz="0" w:space="0" w:color="auto"/>
        <w:left w:val="none" w:sz="0" w:space="0" w:color="auto"/>
        <w:bottom w:val="none" w:sz="0" w:space="0" w:color="auto"/>
        <w:right w:val="none" w:sz="0" w:space="0" w:color="auto"/>
      </w:divBdr>
    </w:div>
    <w:div w:id="790709739">
      <w:bodyDiv w:val="1"/>
      <w:marLeft w:val="0"/>
      <w:marRight w:val="0"/>
      <w:marTop w:val="0"/>
      <w:marBottom w:val="0"/>
      <w:divBdr>
        <w:top w:val="none" w:sz="0" w:space="0" w:color="auto"/>
        <w:left w:val="none" w:sz="0" w:space="0" w:color="auto"/>
        <w:bottom w:val="none" w:sz="0" w:space="0" w:color="auto"/>
        <w:right w:val="none" w:sz="0" w:space="0" w:color="auto"/>
      </w:divBdr>
    </w:div>
    <w:div w:id="792594756">
      <w:bodyDiv w:val="1"/>
      <w:marLeft w:val="0"/>
      <w:marRight w:val="0"/>
      <w:marTop w:val="0"/>
      <w:marBottom w:val="0"/>
      <w:divBdr>
        <w:top w:val="none" w:sz="0" w:space="0" w:color="auto"/>
        <w:left w:val="none" w:sz="0" w:space="0" w:color="auto"/>
        <w:bottom w:val="none" w:sz="0" w:space="0" w:color="auto"/>
        <w:right w:val="none" w:sz="0" w:space="0" w:color="auto"/>
      </w:divBdr>
    </w:div>
    <w:div w:id="800656748">
      <w:bodyDiv w:val="1"/>
      <w:marLeft w:val="0"/>
      <w:marRight w:val="0"/>
      <w:marTop w:val="0"/>
      <w:marBottom w:val="0"/>
      <w:divBdr>
        <w:top w:val="none" w:sz="0" w:space="0" w:color="auto"/>
        <w:left w:val="none" w:sz="0" w:space="0" w:color="auto"/>
        <w:bottom w:val="none" w:sz="0" w:space="0" w:color="auto"/>
        <w:right w:val="none" w:sz="0" w:space="0" w:color="auto"/>
      </w:divBdr>
    </w:div>
    <w:div w:id="802889080">
      <w:bodyDiv w:val="1"/>
      <w:marLeft w:val="0"/>
      <w:marRight w:val="0"/>
      <w:marTop w:val="0"/>
      <w:marBottom w:val="0"/>
      <w:divBdr>
        <w:top w:val="none" w:sz="0" w:space="0" w:color="auto"/>
        <w:left w:val="none" w:sz="0" w:space="0" w:color="auto"/>
        <w:bottom w:val="none" w:sz="0" w:space="0" w:color="auto"/>
        <w:right w:val="none" w:sz="0" w:space="0" w:color="auto"/>
      </w:divBdr>
    </w:div>
    <w:div w:id="804927528">
      <w:bodyDiv w:val="1"/>
      <w:marLeft w:val="0"/>
      <w:marRight w:val="0"/>
      <w:marTop w:val="0"/>
      <w:marBottom w:val="0"/>
      <w:divBdr>
        <w:top w:val="none" w:sz="0" w:space="0" w:color="auto"/>
        <w:left w:val="none" w:sz="0" w:space="0" w:color="auto"/>
        <w:bottom w:val="none" w:sz="0" w:space="0" w:color="auto"/>
        <w:right w:val="none" w:sz="0" w:space="0" w:color="auto"/>
      </w:divBdr>
    </w:div>
    <w:div w:id="809514013">
      <w:bodyDiv w:val="1"/>
      <w:marLeft w:val="0"/>
      <w:marRight w:val="0"/>
      <w:marTop w:val="0"/>
      <w:marBottom w:val="0"/>
      <w:divBdr>
        <w:top w:val="none" w:sz="0" w:space="0" w:color="auto"/>
        <w:left w:val="none" w:sz="0" w:space="0" w:color="auto"/>
        <w:bottom w:val="none" w:sz="0" w:space="0" w:color="auto"/>
        <w:right w:val="none" w:sz="0" w:space="0" w:color="auto"/>
      </w:divBdr>
    </w:div>
    <w:div w:id="811097048">
      <w:bodyDiv w:val="1"/>
      <w:marLeft w:val="0"/>
      <w:marRight w:val="0"/>
      <w:marTop w:val="0"/>
      <w:marBottom w:val="0"/>
      <w:divBdr>
        <w:top w:val="none" w:sz="0" w:space="0" w:color="auto"/>
        <w:left w:val="none" w:sz="0" w:space="0" w:color="auto"/>
        <w:bottom w:val="none" w:sz="0" w:space="0" w:color="auto"/>
        <w:right w:val="none" w:sz="0" w:space="0" w:color="auto"/>
      </w:divBdr>
    </w:div>
    <w:div w:id="816842843">
      <w:bodyDiv w:val="1"/>
      <w:marLeft w:val="0"/>
      <w:marRight w:val="0"/>
      <w:marTop w:val="0"/>
      <w:marBottom w:val="0"/>
      <w:divBdr>
        <w:top w:val="none" w:sz="0" w:space="0" w:color="auto"/>
        <w:left w:val="none" w:sz="0" w:space="0" w:color="auto"/>
        <w:bottom w:val="none" w:sz="0" w:space="0" w:color="auto"/>
        <w:right w:val="none" w:sz="0" w:space="0" w:color="auto"/>
      </w:divBdr>
    </w:div>
    <w:div w:id="823354687">
      <w:bodyDiv w:val="1"/>
      <w:marLeft w:val="0"/>
      <w:marRight w:val="0"/>
      <w:marTop w:val="0"/>
      <w:marBottom w:val="0"/>
      <w:divBdr>
        <w:top w:val="none" w:sz="0" w:space="0" w:color="auto"/>
        <w:left w:val="none" w:sz="0" w:space="0" w:color="auto"/>
        <w:bottom w:val="none" w:sz="0" w:space="0" w:color="auto"/>
        <w:right w:val="none" w:sz="0" w:space="0" w:color="auto"/>
      </w:divBdr>
    </w:div>
    <w:div w:id="826938215">
      <w:bodyDiv w:val="1"/>
      <w:marLeft w:val="0"/>
      <w:marRight w:val="0"/>
      <w:marTop w:val="0"/>
      <w:marBottom w:val="0"/>
      <w:divBdr>
        <w:top w:val="none" w:sz="0" w:space="0" w:color="auto"/>
        <w:left w:val="none" w:sz="0" w:space="0" w:color="auto"/>
        <w:bottom w:val="none" w:sz="0" w:space="0" w:color="auto"/>
        <w:right w:val="none" w:sz="0" w:space="0" w:color="auto"/>
      </w:divBdr>
    </w:div>
    <w:div w:id="829247196">
      <w:bodyDiv w:val="1"/>
      <w:marLeft w:val="0"/>
      <w:marRight w:val="0"/>
      <w:marTop w:val="0"/>
      <w:marBottom w:val="0"/>
      <w:divBdr>
        <w:top w:val="none" w:sz="0" w:space="0" w:color="auto"/>
        <w:left w:val="none" w:sz="0" w:space="0" w:color="auto"/>
        <w:bottom w:val="none" w:sz="0" w:space="0" w:color="auto"/>
        <w:right w:val="none" w:sz="0" w:space="0" w:color="auto"/>
      </w:divBdr>
    </w:div>
    <w:div w:id="836116649">
      <w:bodyDiv w:val="1"/>
      <w:marLeft w:val="0"/>
      <w:marRight w:val="0"/>
      <w:marTop w:val="0"/>
      <w:marBottom w:val="0"/>
      <w:divBdr>
        <w:top w:val="none" w:sz="0" w:space="0" w:color="auto"/>
        <w:left w:val="none" w:sz="0" w:space="0" w:color="auto"/>
        <w:bottom w:val="none" w:sz="0" w:space="0" w:color="auto"/>
        <w:right w:val="none" w:sz="0" w:space="0" w:color="auto"/>
      </w:divBdr>
    </w:div>
    <w:div w:id="837500958">
      <w:bodyDiv w:val="1"/>
      <w:marLeft w:val="0"/>
      <w:marRight w:val="0"/>
      <w:marTop w:val="0"/>
      <w:marBottom w:val="0"/>
      <w:divBdr>
        <w:top w:val="none" w:sz="0" w:space="0" w:color="auto"/>
        <w:left w:val="none" w:sz="0" w:space="0" w:color="auto"/>
        <w:bottom w:val="none" w:sz="0" w:space="0" w:color="auto"/>
        <w:right w:val="none" w:sz="0" w:space="0" w:color="auto"/>
      </w:divBdr>
    </w:div>
    <w:div w:id="845053434">
      <w:bodyDiv w:val="1"/>
      <w:marLeft w:val="0"/>
      <w:marRight w:val="0"/>
      <w:marTop w:val="0"/>
      <w:marBottom w:val="0"/>
      <w:divBdr>
        <w:top w:val="none" w:sz="0" w:space="0" w:color="auto"/>
        <w:left w:val="none" w:sz="0" w:space="0" w:color="auto"/>
        <w:bottom w:val="none" w:sz="0" w:space="0" w:color="auto"/>
        <w:right w:val="none" w:sz="0" w:space="0" w:color="auto"/>
      </w:divBdr>
    </w:div>
    <w:div w:id="852839442">
      <w:bodyDiv w:val="1"/>
      <w:marLeft w:val="0"/>
      <w:marRight w:val="0"/>
      <w:marTop w:val="0"/>
      <w:marBottom w:val="0"/>
      <w:divBdr>
        <w:top w:val="none" w:sz="0" w:space="0" w:color="auto"/>
        <w:left w:val="none" w:sz="0" w:space="0" w:color="auto"/>
        <w:bottom w:val="none" w:sz="0" w:space="0" w:color="auto"/>
        <w:right w:val="none" w:sz="0" w:space="0" w:color="auto"/>
      </w:divBdr>
    </w:div>
    <w:div w:id="886139183">
      <w:bodyDiv w:val="1"/>
      <w:marLeft w:val="0"/>
      <w:marRight w:val="0"/>
      <w:marTop w:val="0"/>
      <w:marBottom w:val="0"/>
      <w:divBdr>
        <w:top w:val="none" w:sz="0" w:space="0" w:color="auto"/>
        <w:left w:val="none" w:sz="0" w:space="0" w:color="auto"/>
        <w:bottom w:val="none" w:sz="0" w:space="0" w:color="auto"/>
        <w:right w:val="none" w:sz="0" w:space="0" w:color="auto"/>
      </w:divBdr>
    </w:div>
    <w:div w:id="888225689">
      <w:bodyDiv w:val="1"/>
      <w:marLeft w:val="0"/>
      <w:marRight w:val="0"/>
      <w:marTop w:val="0"/>
      <w:marBottom w:val="0"/>
      <w:divBdr>
        <w:top w:val="none" w:sz="0" w:space="0" w:color="auto"/>
        <w:left w:val="none" w:sz="0" w:space="0" w:color="auto"/>
        <w:bottom w:val="none" w:sz="0" w:space="0" w:color="auto"/>
        <w:right w:val="none" w:sz="0" w:space="0" w:color="auto"/>
      </w:divBdr>
    </w:div>
    <w:div w:id="888609430">
      <w:bodyDiv w:val="1"/>
      <w:marLeft w:val="0"/>
      <w:marRight w:val="0"/>
      <w:marTop w:val="0"/>
      <w:marBottom w:val="0"/>
      <w:divBdr>
        <w:top w:val="none" w:sz="0" w:space="0" w:color="auto"/>
        <w:left w:val="none" w:sz="0" w:space="0" w:color="auto"/>
        <w:bottom w:val="none" w:sz="0" w:space="0" w:color="auto"/>
        <w:right w:val="none" w:sz="0" w:space="0" w:color="auto"/>
      </w:divBdr>
    </w:div>
    <w:div w:id="906038388">
      <w:bodyDiv w:val="1"/>
      <w:marLeft w:val="0"/>
      <w:marRight w:val="0"/>
      <w:marTop w:val="0"/>
      <w:marBottom w:val="0"/>
      <w:divBdr>
        <w:top w:val="none" w:sz="0" w:space="0" w:color="auto"/>
        <w:left w:val="none" w:sz="0" w:space="0" w:color="auto"/>
        <w:bottom w:val="none" w:sz="0" w:space="0" w:color="auto"/>
        <w:right w:val="none" w:sz="0" w:space="0" w:color="auto"/>
      </w:divBdr>
    </w:div>
    <w:div w:id="914627054">
      <w:bodyDiv w:val="1"/>
      <w:marLeft w:val="0"/>
      <w:marRight w:val="0"/>
      <w:marTop w:val="0"/>
      <w:marBottom w:val="0"/>
      <w:divBdr>
        <w:top w:val="none" w:sz="0" w:space="0" w:color="auto"/>
        <w:left w:val="none" w:sz="0" w:space="0" w:color="auto"/>
        <w:bottom w:val="none" w:sz="0" w:space="0" w:color="auto"/>
        <w:right w:val="none" w:sz="0" w:space="0" w:color="auto"/>
      </w:divBdr>
    </w:div>
    <w:div w:id="921185006">
      <w:bodyDiv w:val="1"/>
      <w:marLeft w:val="0"/>
      <w:marRight w:val="0"/>
      <w:marTop w:val="0"/>
      <w:marBottom w:val="0"/>
      <w:divBdr>
        <w:top w:val="none" w:sz="0" w:space="0" w:color="auto"/>
        <w:left w:val="none" w:sz="0" w:space="0" w:color="auto"/>
        <w:bottom w:val="none" w:sz="0" w:space="0" w:color="auto"/>
        <w:right w:val="none" w:sz="0" w:space="0" w:color="auto"/>
      </w:divBdr>
    </w:div>
    <w:div w:id="926765669">
      <w:bodyDiv w:val="1"/>
      <w:marLeft w:val="0"/>
      <w:marRight w:val="0"/>
      <w:marTop w:val="0"/>
      <w:marBottom w:val="0"/>
      <w:divBdr>
        <w:top w:val="none" w:sz="0" w:space="0" w:color="auto"/>
        <w:left w:val="none" w:sz="0" w:space="0" w:color="auto"/>
        <w:bottom w:val="none" w:sz="0" w:space="0" w:color="auto"/>
        <w:right w:val="none" w:sz="0" w:space="0" w:color="auto"/>
      </w:divBdr>
    </w:div>
    <w:div w:id="931351795">
      <w:bodyDiv w:val="1"/>
      <w:marLeft w:val="0"/>
      <w:marRight w:val="0"/>
      <w:marTop w:val="0"/>
      <w:marBottom w:val="0"/>
      <w:divBdr>
        <w:top w:val="none" w:sz="0" w:space="0" w:color="auto"/>
        <w:left w:val="none" w:sz="0" w:space="0" w:color="auto"/>
        <w:bottom w:val="none" w:sz="0" w:space="0" w:color="auto"/>
        <w:right w:val="none" w:sz="0" w:space="0" w:color="auto"/>
      </w:divBdr>
    </w:div>
    <w:div w:id="931357983">
      <w:bodyDiv w:val="1"/>
      <w:marLeft w:val="0"/>
      <w:marRight w:val="0"/>
      <w:marTop w:val="0"/>
      <w:marBottom w:val="0"/>
      <w:divBdr>
        <w:top w:val="none" w:sz="0" w:space="0" w:color="auto"/>
        <w:left w:val="none" w:sz="0" w:space="0" w:color="auto"/>
        <w:bottom w:val="none" w:sz="0" w:space="0" w:color="auto"/>
        <w:right w:val="none" w:sz="0" w:space="0" w:color="auto"/>
      </w:divBdr>
    </w:div>
    <w:div w:id="933250375">
      <w:bodyDiv w:val="1"/>
      <w:marLeft w:val="0"/>
      <w:marRight w:val="0"/>
      <w:marTop w:val="0"/>
      <w:marBottom w:val="0"/>
      <w:divBdr>
        <w:top w:val="none" w:sz="0" w:space="0" w:color="auto"/>
        <w:left w:val="none" w:sz="0" w:space="0" w:color="auto"/>
        <w:bottom w:val="none" w:sz="0" w:space="0" w:color="auto"/>
        <w:right w:val="none" w:sz="0" w:space="0" w:color="auto"/>
      </w:divBdr>
    </w:div>
    <w:div w:id="933905439">
      <w:bodyDiv w:val="1"/>
      <w:marLeft w:val="0"/>
      <w:marRight w:val="0"/>
      <w:marTop w:val="0"/>
      <w:marBottom w:val="0"/>
      <w:divBdr>
        <w:top w:val="none" w:sz="0" w:space="0" w:color="auto"/>
        <w:left w:val="none" w:sz="0" w:space="0" w:color="auto"/>
        <w:bottom w:val="none" w:sz="0" w:space="0" w:color="auto"/>
        <w:right w:val="none" w:sz="0" w:space="0" w:color="auto"/>
      </w:divBdr>
    </w:div>
    <w:div w:id="944772095">
      <w:bodyDiv w:val="1"/>
      <w:marLeft w:val="0"/>
      <w:marRight w:val="0"/>
      <w:marTop w:val="0"/>
      <w:marBottom w:val="0"/>
      <w:divBdr>
        <w:top w:val="none" w:sz="0" w:space="0" w:color="auto"/>
        <w:left w:val="none" w:sz="0" w:space="0" w:color="auto"/>
        <w:bottom w:val="none" w:sz="0" w:space="0" w:color="auto"/>
        <w:right w:val="none" w:sz="0" w:space="0" w:color="auto"/>
      </w:divBdr>
    </w:div>
    <w:div w:id="949702173">
      <w:bodyDiv w:val="1"/>
      <w:marLeft w:val="0"/>
      <w:marRight w:val="0"/>
      <w:marTop w:val="0"/>
      <w:marBottom w:val="0"/>
      <w:divBdr>
        <w:top w:val="none" w:sz="0" w:space="0" w:color="auto"/>
        <w:left w:val="none" w:sz="0" w:space="0" w:color="auto"/>
        <w:bottom w:val="none" w:sz="0" w:space="0" w:color="auto"/>
        <w:right w:val="none" w:sz="0" w:space="0" w:color="auto"/>
      </w:divBdr>
    </w:div>
    <w:div w:id="951595372">
      <w:bodyDiv w:val="1"/>
      <w:marLeft w:val="0"/>
      <w:marRight w:val="0"/>
      <w:marTop w:val="0"/>
      <w:marBottom w:val="0"/>
      <w:divBdr>
        <w:top w:val="none" w:sz="0" w:space="0" w:color="auto"/>
        <w:left w:val="none" w:sz="0" w:space="0" w:color="auto"/>
        <w:bottom w:val="none" w:sz="0" w:space="0" w:color="auto"/>
        <w:right w:val="none" w:sz="0" w:space="0" w:color="auto"/>
      </w:divBdr>
    </w:div>
    <w:div w:id="953559170">
      <w:bodyDiv w:val="1"/>
      <w:marLeft w:val="0"/>
      <w:marRight w:val="0"/>
      <w:marTop w:val="0"/>
      <w:marBottom w:val="0"/>
      <w:divBdr>
        <w:top w:val="none" w:sz="0" w:space="0" w:color="auto"/>
        <w:left w:val="none" w:sz="0" w:space="0" w:color="auto"/>
        <w:bottom w:val="none" w:sz="0" w:space="0" w:color="auto"/>
        <w:right w:val="none" w:sz="0" w:space="0" w:color="auto"/>
      </w:divBdr>
    </w:div>
    <w:div w:id="956571149">
      <w:bodyDiv w:val="1"/>
      <w:marLeft w:val="0"/>
      <w:marRight w:val="0"/>
      <w:marTop w:val="0"/>
      <w:marBottom w:val="0"/>
      <w:divBdr>
        <w:top w:val="none" w:sz="0" w:space="0" w:color="auto"/>
        <w:left w:val="none" w:sz="0" w:space="0" w:color="auto"/>
        <w:bottom w:val="none" w:sz="0" w:space="0" w:color="auto"/>
        <w:right w:val="none" w:sz="0" w:space="0" w:color="auto"/>
      </w:divBdr>
    </w:div>
    <w:div w:id="959148388">
      <w:bodyDiv w:val="1"/>
      <w:marLeft w:val="0"/>
      <w:marRight w:val="0"/>
      <w:marTop w:val="0"/>
      <w:marBottom w:val="0"/>
      <w:divBdr>
        <w:top w:val="none" w:sz="0" w:space="0" w:color="auto"/>
        <w:left w:val="none" w:sz="0" w:space="0" w:color="auto"/>
        <w:bottom w:val="none" w:sz="0" w:space="0" w:color="auto"/>
        <w:right w:val="none" w:sz="0" w:space="0" w:color="auto"/>
      </w:divBdr>
    </w:div>
    <w:div w:id="959724502">
      <w:bodyDiv w:val="1"/>
      <w:marLeft w:val="0"/>
      <w:marRight w:val="0"/>
      <w:marTop w:val="0"/>
      <w:marBottom w:val="0"/>
      <w:divBdr>
        <w:top w:val="none" w:sz="0" w:space="0" w:color="auto"/>
        <w:left w:val="none" w:sz="0" w:space="0" w:color="auto"/>
        <w:bottom w:val="none" w:sz="0" w:space="0" w:color="auto"/>
        <w:right w:val="none" w:sz="0" w:space="0" w:color="auto"/>
      </w:divBdr>
    </w:div>
    <w:div w:id="963002061">
      <w:bodyDiv w:val="1"/>
      <w:marLeft w:val="0"/>
      <w:marRight w:val="0"/>
      <w:marTop w:val="0"/>
      <w:marBottom w:val="0"/>
      <w:divBdr>
        <w:top w:val="none" w:sz="0" w:space="0" w:color="auto"/>
        <w:left w:val="none" w:sz="0" w:space="0" w:color="auto"/>
        <w:bottom w:val="none" w:sz="0" w:space="0" w:color="auto"/>
        <w:right w:val="none" w:sz="0" w:space="0" w:color="auto"/>
      </w:divBdr>
    </w:div>
    <w:div w:id="966274771">
      <w:bodyDiv w:val="1"/>
      <w:marLeft w:val="0"/>
      <w:marRight w:val="0"/>
      <w:marTop w:val="0"/>
      <w:marBottom w:val="0"/>
      <w:divBdr>
        <w:top w:val="none" w:sz="0" w:space="0" w:color="auto"/>
        <w:left w:val="none" w:sz="0" w:space="0" w:color="auto"/>
        <w:bottom w:val="none" w:sz="0" w:space="0" w:color="auto"/>
        <w:right w:val="none" w:sz="0" w:space="0" w:color="auto"/>
      </w:divBdr>
      <w:divsChild>
        <w:div w:id="176501402">
          <w:marLeft w:val="0"/>
          <w:marRight w:val="0"/>
          <w:marTop w:val="0"/>
          <w:marBottom w:val="0"/>
          <w:divBdr>
            <w:top w:val="none" w:sz="0" w:space="0" w:color="auto"/>
            <w:left w:val="none" w:sz="0" w:space="0" w:color="auto"/>
            <w:bottom w:val="none" w:sz="0" w:space="0" w:color="auto"/>
            <w:right w:val="none" w:sz="0" w:space="0" w:color="auto"/>
          </w:divBdr>
        </w:div>
        <w:div w:id="441001271">
          <w:marLeft w:val="0"/>
          <w:marRight w:val="0"/>
          <w:marTop w:val="0"/>
          <w:marBottom w:val="0"/>
          <w:divBdr>
            <w:top w:val="none" w:sz="0" w:space="0" w:color="auto"/>
            <w:left w:val="none" w:sz="0" w:space="0" w:color="auto"/>
            <w:bottom w:val="none" w:sz="0" w:space="0" w:color="auto"/>
            <w:right w:val="none" w:sz="0" w:space="0" w:color="auto"/>
          </w:divBdr>
        </w:div>
        <w:div w:id="511143642">
          <w:marLeft w:val="0"/>
          <w:marRight w:val="0"/>
          <w:marTop w:val="0"/>
          <w:marBottom w:val="0"/>
          <w:divBdr>
            <w:top w:val="none" w:sz="0" w:space="0" w:color="auto"/>
            <w:left w:val="none" w:sz="0" w:space="0" w:color="auto"/>
            <w:bottom w:val="none" w:sz="0" w:space="0" w:color="auto"/>
            <w:right w:val="none" w:sz="0" w:space="0" w:color="auto"/>
          </w:divBdr>
        </w:div>
        <w:div w:id="554703798">
          <w:marLeft w:val="0"/>
          <w:marRight w:val="0"/>
          <w:marTop w:val="0"/>
          <w:marBottom w:val="0"/>
          <w:divBdr>
            <w:top w:val="none" w:sz="0" w:space="0" w:color="auto"/>
            <w:left w:val="none" w:sz="0" w:space="0" w:color="auto"/>
            <w:bottom w:val="none" w:sz="0" w:space="0" w:color="auto"/>
            <w:right w:val="none" w:sz="0" w:space="0" w:color="auto"/>
          </w:divBdr>
        </w:div>
        <w:div w:id="709231277">
          <w:marLeft w:val="0"/>
          <w:marRight w:val="0"/>
          <w:marTop w:val="0"/>
          <w:marBottom w:val="0"/>
          <w:divBdr>
            <w:top w:val="none" w:sz="0" w:space="0" w:color="auto"/>
            <w:left w:val="none" w:sz="0" w:space="0" w:color="auto"/>
            <w:bottom w:val="none" w:sz="0" w:space="0" w:color="auto"/>
            <w:right w:val="none" w:sz="0" w:space="0" w:color="auto"/>
          </w:divBdr>
        </w:div>
        <w:div w:id="755715141">
          <w:marLeft w:val="0"/>
          <w:marRight w:val="0"/>
          <w:marTop w:val="0"/>
          <w:marBottom w:val="0"/>
          <w:divBdr>
            <w:top w:val="none" w:sz="0" w:space="0" w:color="auto"/>
            <w:left w:val="none" w:sz="0" w:space="0" w:color="auto"/>
            <w:bottom w:val="none" w:sz="0" w:space="0" w:color="auto"/>
            <w:right w:val="none" w:sz="0" w:space="0" w:color="auto"/>
          </w:divBdr>
        </w:div>
        <w:div w:id="964390571">
          <w:marLeft w:val="0"/>
          <w:marRight w:val="0"/>
          <w:marTop w:val="0"/>
          <w:marBottom w:val="0"/>
          <w:divBdr>
            <w:top w:val="none" w:sz="0" w:space="0" w:color="auto"/>
            <w:left w:val="none" w:sz="0" w:space="0" w:color="auto"/>
            <w:bottom w:val="none" w:sz="0" w:space="0" w:color="auto"/>
            <w:right w:val="none" w:sz="0" w:space="0" w:color="auto"/>
          </w:divBdr>
        </w:div>
        <w:div w:id="987054214">
          <w:marLeft w:val="0"/>
          <w:marRight w:val="0"/>
          <w:marTop w:val="0"/>
          <w:marBottom w:val="0"/>
          <w:divBdr>
            <w:top w:val="none" w:sz="0" w:space="0" w:color="auto"/>
            <w:left w:val="none" w:sz="0" w:space="0" w:color="auto"/>
            <w:bottom w:val="none" w:sz="0" w:space="0" w:color="auto"/>
            <w:right w:val="none" w:sz="0" w:space="0" w:color="auto"/>
          </w:divBdr>
        </w:div>
        <w:div w:id="1010110477">
          <w:marLeft w:val="0"/>
          <w:marRight w:val="0"/>
          <w:marTop w:val="0"/>
          <w:marBottom w:val="0"/>
          <w:divBdr>
            <w:top w:val="none" w:sz="0" w:space="0" w:color="auto"/>
            <w:left w:val="none" w:sz="0" w:space="0" w:color="auto"/>
            <w:bottom w:val="none" w:sz="0" w:space="0" w:color="auto"/>
            <w:right w:val="none" w:sz="0" w:space="0" w:color="auto"/>
          </w:divBdr>
        </w:div>
        <w:div w:id="1168639566">
          <w:marLeft w:val="0"/>
          <w:marRight w:val="0"/>
          <w:marTop w:val="0"/>
          <w:marBottom w:val="0"/>
          <w:divBdr>
            <w:top w:val="none" w:sz="0" w:space="0" w:color="auto"/>
            <w:left w:val="none" w:sz="0" w:space="0" w:color="auto"/>
            <w:bottom w:val="none" w:sz="0" w:space="0" w:color="auto"/>
            <w:right w:val="none" w:sz="0" w:space="0" w:color="auto"/>
          </w:divBdr>
        </w:div>
        <w:div w:id="1187520879">
          <w:marLeft w:val="0"/>
          <w:marRight w:val="0"/>
          <w:marTop w:val="0"/>
          <w:marBottom w:val="0"/>
          <w:divBdr>
            <w:top w:val="none" w:sz="0" w:space="0" w:color="auto"/>
            <w:left w:val="none" w:sz="0" w:space="0" w:color="auto"/>
            <w:bottom w:val="none" w:sz="0" w:space="0" w:color="auto"/>
            <w:right w:val="none" w:sz="0" w:space="0" w:color="auto"/>
          </w:divBdr>
        </w:div>
        <w:div w:id="1239244327">
          <w:marLeft w:val="0"/>
          <w:marRight w:val="0"/>
          <w:marTop w:val="0"/>
          <w:marBottom w:val="0"/>
          <w:divBdr>
            <w:top w:val="none" w:sz="0" w:space="0" w:color="auto"/>
            <w:left w:val="none" w:sz="0" w:space="0" w:color="auto"/>
            <w:bottom w:val="none" w:sz="0" w:space="0" w:color="auto"/>
            <w:right w:val="none" w:sz="0" w:space="0" w:color="auto"/>
          </w:divBdr>
        </w:div>
        <w:div w:id="1653635057">
          <w:marLeft w:val="0"/>
          <w:marRight w:val="0"/>
          <w:marTop w:val="0"/>
          <w:marBottom w:val="0"/>
          <w:divBdr>
            <w:top w:val="none" w:sz="0" w:space="0" w:color="auto"/>
            <w:left w:val="none" w:sz="0" w:space="0" w:color="auto"/>
            <w:bottom w:val="none" w:sz="0" w:space="0" w:color="auto"/>
            <w:right w:val="none" w:sz="0" w:space="0" w:color="auto"/>
          </w:divBdr>
        </w:div>
        <w:div w:id="1733192979">
          <w:marLeft w:val="0"/>
          <w:marRight w:val="0"/>
          <w:marTop w:val="0"/>
          <w:marBottom w:val="0"/>
          <w:divBdr>
            <w:top w:val="none" w:sz="0" w:space="0" w:color="auto"/>
            <w:left w:val="none" w:sz="0" w:space="0" w:color="auto"/>
            <w:bottom w:val="none" w:sz="0" w:space="0" w:color="auto"/>
            <w:right w:val="none" w:sz="0" w:space="0" w:color="auto"/>
          </w:divBdr>
        </w:div>
        <w:div w:id="1895653581">
          <w:marLeft w:val="0"/>
          <w:marRight w:val="0"/>
          <w:marTop w:val="0"/>
          <w:marBottom w:val="0"/>
          <w:divBdr>
            <w:top w:val="none" w:sz="0" w:space="0" w:color="auto"/>
            <w:left w:val="none" w:sz="0" w:space="0" w:color="auto"/>
            <w:bottom w:val="none" w:sz="0" w:space="0" w:color="auto"/>
            <w:right w:val="none" w:sz="0" w:space="0" w:color="auto"/>
          </w:divBdr>
        </w:div>
      </w:divsChild>
    </w:div>
    <w:div w:id="968170748">
      <w:bodyDiv w:val="1"/>
      <w:marLeft w:val="0"/>
      <w:marRight w:val="0"/>
      <w:marTop w:val="0"/>
      <w:marBottom w:val="0"/>
      <w:divBdr>
        <w:top w:val="none" w:sz="0" w:space="0" w:color="auto"/>
        <w:left w:val="none" w:sz="0" w:space="0" w:color="auto"/>
        <w:bottom w:val="none" w:sz="0" w:space="0" w:color="auto"/>
        <w:right w:val="none" w:sz="0" w:space="0" w:color="auto"/>
      </w:divBdr>
    </w:div>
    <w:div w:id="972371724">
      <w:bodyDiv w:val="1"/>
      <w:marLeft w:val="0"/>
      <w:marRight w:val="0"/>
      <w:marTop w:val="0"/>
      <w:marBottom w:val="0"/>
      <w:divBdr>
        <w:top w:val="none" w:sz="0" w:space="0" w:color="auto"/>
        <w:left w:val="none" w:sz="0" w:space="0" w:color="auto"/>
        <w:bottom w:val="none" w:sz="0" w:space="0" w:color="auto"/>
        <w:right w:val="none" w:sz="0" w:space="0" w:color="auto"/>
      </w:divBdr>
    </w:div>
    <w:div w:id="973406443">
      <w:bodyDiv w:val="1"/>
      <w:marLeft w:val="0"/>
      <w:marRight w:val="0"/>
      <w:marTop w:val="0"/>
      <w:marBottom w:val="0"/>
      <w:divBdr>
        <w:top w:val="none" w:sz="0" w:space="0" w:color="auto"/>
        <w:left w:val="none" w:sz="0" w:space="0" w:color="auto"/>
        <w:bottom w:val="none" w:sz="0" w:space="0" w:color="auto"/>
        <w:right w:val="none" w:sz="0" w:space="0" w:color="auto"/>
      </w:divBdr>
    </w:div>
    <w:div w:id="976104064">
      <w:bodyDiv w:val="1"/>
      <w:marLeft w:val="0"/>
      <w:marRight w:val="0"/>
      <w:marTop w:val="0"/>
      <w:marBottom w:val="0"/>
      <w:divBdr>
        <w:top w:val="none" w:sz="0" w:space="0" w:color="auto"/>
        <w:left w:val="none" w:sz="0" w:space="0" w:color="auto"/>
        <w:bottom w:val="none" w:sz="0" w:space="0" w:color="auto"/>
        <w:right w:val="none" w:sz="0" w:space="0" w:color="auto"/>
      </w:divBdr>
    </w:div>
    <w:div w:id="981540011">
      <w:bodyDiv w:val="1"/>
      <w:marLeft w:val="0"/>
      <w:marRight w:val="0"/>
      <w:marTop w:val="0"/>
      <w:marBottom w:val="0"/>
      <w:divBdr>
        <w:top w:val="none" w:sz="0" w:space="0" w:color="auto"/>
        <w:left w:val="none" w:sz="0" w:space="0" w:color="auto"/>
        <w:bottom w:val="none" w:sz="0" w:space="0" w:color="auto"/>
        <w:right w:val="none" w:sz="0" w:space="0" w:color="auto"/>
      </w:divBdr>
    </w:div>
    <w:div w:id="984116445">
      <w:bodyDiv w:val="1"/>
      <w:marLeft w:val="0"/>
      <w:marRight w:val="0"/>
      <w:marTop w:val="0"/>
      <w:marBottom w:val="0"/>
      <w:divBdr>
        <w:top w:val="none" w:sz="0" w:space="0" w:color="auto"/>
        <w:left w:val="none" w:sz="0" w:space="0" w:color="auto"/>
        <w:bottom w:val="none" w:sz="0" w:space="0" w:color="auto"/>
        <w:right w:val="none" w:sz="0" w:space="0" w:color="auto"/>
      </w:divBdr>
    </w:div>
    <w:div w:id="984773162">
      <w:bodyDiv w:val="1"/>
      <w:marLeft w:val="0"/>
      <w:marRight w:val="0"/>
      <w:marTop w:val="0"/>
      <w:marBottom w:val="0"/>
      <w:divBdr>
        <w:top w:val="none" w:sz="0" w:space="0" w:color="auto"/>
        <w:left w:val="none" w:sz="0" w:space="0" w:color="auto"/>
        <w:bottom w:val="none" w:sz="0" w:space="0" w:color="auto"/>
        <w:right w:val="none" w:sz="0" w:space="0" w:color="auto"/>
      </w:divBdr>
    </w:div>
    <w:div w:id="996030823">
      <w:bodyDiv w:val="1"/>
      <w:marLeft w:val="0"/>
      <w:marRight w:val="0"/>
      <w:marTop w:val="0"/>
      <w:marBottom w:val="0"/>
      <w:divBdr>
        <w:top w:val="none" w:sz="0" w:space="0" w:color="auto"/>
        <w:left w:val="none" w:sz="0" w:space="0" w:color="auto"/>
        <w:bottom w:val="none" w:sz="0" w:space="0" w:color="auto"/>
        <w:right w:val="none" w:sz="0" w:space="0" w:color="auto"/>
      </w:divBdr>
    </w:div>
    <w:div w:id="999381799">
      <w:bodyDiv w:val="1"/>
      <w:marLeft w:val="0"/>
      <w:marRight w:val="0"/>
      <w:marTop w:val="0"/>
      <w:marBottom w:val="0"/>
      <w:divBdr>
        <w:top w:val="none" w:sz="0" w:space="0" w:color="auto"/>
        <w:left w:val="none" w:sz="0" w:space="0" w:color="auto"/>
        <w:bottom w:val="none" w:sz="0" w:space="0" w:color="auto"/>
        <w:right w:val="none" w:sz="0" w:space="0" w:color="auto"/>
      </w:divBdr>
    </w:div>
    <w:div w:id="1002974736">
      <w:bodyDiv w:val="1"/>
      <w:marLeft w:val="0"/>
      <w:marRight w:val="0"/>
      <w:marTop w:val="0"/>
      <w:marBottom w:val="0"/>
      <w:divBdr>
        <w:top w:val="none" w:sz="0" w:space="0" w:color="auto"/>
        <w:left w:val="none" w:sz="0" w:space="0" w:color="auto"/>
        <w:bottom w:val="none" w:sz="0" w:space="0" w:color="auto"/>
        <w:right w:val="none" w:sz="0" w:space="0" w:color="auto"/>
      </w:divBdr>
    </w:div>
    <w:div w:id="1010991012">
      <w:bodyDiv w:val="1"/>
      <w:marLeft w:val="0"/>
      <w:marRight w:val="0"/>
      <w:marTop w:val="0"/>
      <w:marBottom w:val="0"/>
      <w:divBdr>
        <w:top w:val="none" w:sz="0" w:space="0" w:color="auto"/>
        <w:left w:val="none" w:sz="0" w:space="0" w:color="auto"/>
        <w:bottom w:val="none" w:sz="0" w:space="0" w:color="auto"/>
        <w:right w:val="none" w:sz="0" w:space="0" w:color="auto"/>
      </w:divBdr>
    </w:div>
    <w:div w:id="1024863988">
      <w:bodyDiv w:val="1"/>
      <w:marLeft w:val="0"/>
      <w:marRight w:val="0"/>
      <w:marTop w:val="0"/>
      <w:marBottom w:val="0"/>
      <w:divBdr>
        <w:top w:val="none" w:sz="0" w:space="0" w:color="auto"/>
        <w:left w:val="none" w:sz="0" w:space="0" w:color="auto"/>
        <w:bottom w:val="none" w:sz="0" w:space="0" w:color="auto"/>
        <w:right w:val="none" w:sz="0" w:space="0" w:color="auto"/>
      </w:divBdr>
    </w:div>
    <w:div w:id="1030959092">
      <w:bodyDiv w:val="1"/>
      <w:marLeft w:val="0"/>
      <w:marRight w:val="0"/>
      <w:marTop w:val="0"/>
      <w:marBottom w:val="0"/>
      <w:divBdr>
        <w:top w:val="none" w:sz="0" w:space="0" w:color="auto"/>
        <w:left w:val="none" w:sz="0" w:space="0" w:color="auto"/>
        <w:bottom w:val="none" w:sz="0" w:space="0" w:color="auto"/>
        <w:right w:val="none" w:sz="0" w:space="0" w:color="auto"/>
      </w:divBdr>
    </w:div>
    <w:div w:id="1043210207">
      <w:bodyDiv w:val="1"/>
      <w:marLeft w:val="0"/>
      <w:marRight w:val="0"/>
      <w:marTop w:val="0"/>
      <w:marBottom w:val="0"/>
      <w:divBdr>
        <w:top w:val="none" w:sz="0" w:space="0" w:color="auto"/>
        <w:left w:val="none" w:sz="0" w:space="0" w:color="auto"/>
        <w:bottom w:val="none" w:sz="0" w:space="0" w:color="auto"/>
        <w:right w:val="none" w:sz="0" w:space="0" w:color="auto"/>
      </w:divBdr>
      <w:divsChild>
        <w:div w:id="365831312">
          <w:marLeft w:val="806"/>
          <w:marRight w:val="0"/>
          <w:marTop w:val="200"/>
          <w:marBottom w:val="0"/>
          <w:divBdr>
            <w:top w:val="none" w:sz="0" w:space="0" w:color="auto"/>
            <w:left w:val="none" w:sz="0" w:space="0" w:color="auto"/>
            <w:bottom w:val="none" w:sz="0" w:space="0" w:color="auto"/>
            <w:right w:val="none" w:sz="0" w:space="0" w:color="auto"/>
          </w:divBdr>
        </w:div>
      </w:divsChild>
    </w:div>
    <w:div w:id="1049959345">
      <w:bodyDiv w:val="1"/>
      <w:marLeft w:val="0"/>
      <w:marRight w:val="0"/>
      <w:marTop w:val="0"/>
      <w:marBottom w:val="0"/>
      <w:divBdr>
        <w:top w:val="none" w:sz="0" w:space="0" w:color="auto"/>
        <w:left w:val="none" w:sz="0" w:space="0" w:color="auto"/>
        <w:bottom w:val="none" w:sz="0" w:space="0" w:color="auto"/>
        <w:right w:val="none" w:sz="0" w:space="0" w:color="auto"/>
      </w:divBdr>
    </w:div>
    <w:div w:id="1060905943">
      <w:bodyDiv w:val="1"/>
      <w:marLeft w:val="0"/>
      <w:marRight w:val="0"/>
      <w:marTop w:val="0"/>
      <w:marBottom w:val="0"/>
      <w:divBdr>
        <w:top w:val="none" w:sz="0" w:space="0" w:color="auto"/>
        <w:left w:val="none" w:sz="0" w:space="0" w:color="auto"/>
        <w:bottom w:val="none" w:sz="0" w:space="0" w:color="auto"/>
        <w:right w:val="none" w:sz="0" w:space="0" w:color="auto"/>
      </w:divBdr>
    </w:div>
    <w:div w:id="1071469468">
      <w:bodyDiv w:val="1"/>
      <w:marLeft w:val="0"/>
      <w:marRight w:val="0"/>
      <w:marTop w:val="0"/>
      <w:marBottom w:val="0"/>
      <w:divBdr>
        <w:top w:val="none" w:sz="0" w:space="0" w:color="auto"/>
        <w:left w:val="none" w:sz="0" w:space="0" w:color="auto"/>
        <w:bottom w:val="none" w:sz="0" w:space="0" w:color="auto"/>
        <w:right w:val="none" w:sz="0" w:space="0" w:color="auto"/>
      </w:divBdr>
    </w:div>
    <w:div w:id="1072004016">
      <w:bodyDiv w:val="1"/>
      <w:marLeft w:val="0"/>
      <w:marRight w:val="0"/>
      <w:marTop w:val="0"/>
      <w:marBottom w:val="0"/>
      <w:divBdr>
        <w:top w:val="none" w:sz="0" w:space="0" w:color="auto"/>
        <w:left w:val="none" w:sz="0" w:space="0" w:color="auto"/>
        <w:bottom w:val="none" w:sz="0" w:space="0" w:color="auto"/>
        <w:right w:val="none" w:sz="0" w:space="0" w:color="auto"/>
      </w:divBdr>
    </w:div>
    <w:div w:id="1078790391">
      <w:bodyDiv w:val="1"/>
      <w:marLeft w:val="0"/>
      <w:marRight w:val="0"/>
      <w:marTop w:val="0"/>
      <w:marBottom w:val="0"/>
      <w:divBdr>
        <w:top w:val="none" w:sz="0" w:space="0" w:color="auto"/>
        <w:left w:val="none" w:sz="0" w:space="0" w:color="auto"/>
        <w:bottom w:val="none" w:sz="0" w:space="0" w:color="auto"/>
        <w:right w:val="none" w:sz="0" w:space="0" w:color="auto"/>
      </w:divBdr>
    </w:div>
    <w:div w:id="1079205831">
      <w:bodyDiv w:val="1"/>
      <w:marLeft w:val="0"/>
      <w:marRight w:val="0"/>
      <w:marTop w:val="0"/>
      <w:marBottom w:val="0"/>
      <w:divBdr>
        <w:top w:val="none" w:sz="0" w:space="0" w:color="auto"/>
        <w:left w:val="none" w:sz="0" w:space="0" w:color="auto"/>
        <w:bottom w:val="none" w:sz="0" w:space="0" w:color="auto"/>
        <w:right w:val="none" w:sz="0" w:space="0" w:color="auto"/>
      </w:divBdr>
    </w:div>
    <w:div w:id="1092772922">
      <w:bodyDiv w:val="1"/>
      <w:marLeft w:val="0"/>
      <w:marRight w:val="0"/>
      <w:marTop w:val="0"/>
      <w:marBottom w:val="0"/>
      <w:divBdr>
        <w:top w:val="none" w:sz="0" w:space="0" w:color="auto"/>
        <w:left w:val="none" w:sz="0" w:space="0" w:color="auto"/>
        <w:bottom w:val="none" w:sz="0" w:space="0" w:color="auto"/>
        <w:right w:val="none" w:sz="0" w:space="0" w:color="auto"/>
      </w:divBdr>
    </w:div>
    <w:div w:id="1099105768">
      <w:bodyDiv w:val="1"/>
      <w:marLeft w:val="0"/>
      <w:marRight w:val="0"/>
      <w:marTop w:val="0"/>
      <w:marBottom w:val="0"/>
      <w:divBdr>
        <w:top w:val="none" w:sz="0" w:space="0" w:color="auto"/>
        <w:left w:val="none" w:sz="0" w:space="0" w:color="auto"/>
        <w:bottom w:val="none" w:sz="0" w:space="0" w:color="auto"/>
        <w:right w:val="none" w:sz="0" w:space="0" w:color="auto"/>
      </w:divBdr>
    </w:div>
    <w:div w:id="1102073524">
      <w:bodyDiv w:val="1"/>
      <w:marLeft w:val="0"/>
      <w:marRight w:val="0"/>
      <w:marTop w:val="0"/>
      <w:marBottom w:val="0"/>
      <w:divBdr>
        <w:top w:val="none" w:sz="0" w:space="0" w:color="auto"/>
        <w:left w:val="none" w:sz="0" w:space="0" w:color="auto"/>
        <w:bottom w:val="none" w:sz="0" w:space="0" w:color="auto"/>
        <w:right w:val="none" w:sz="0" w:space="0" w:color="auto"/>
      </w:divBdr>
    </w:div>
    <w:div w:id="1104963929">
      <w:bodyDiv w:val="1"/>
      <w:marLeft w:val="0"/>
      <w:marRight w:val="0"/>
      <w:marTop w:val="0"/>
      <w:marBottom w:val="0"/>
      <w:divBdr>
        <w:top w:val="none" w:sz="0" w:space="0" w:color="auto"/>
        <w:left w:val="none" w:sz="0" w:space="0" w:color="auto"/>
        <w:bottom w:val="none" w:sz="0" w:space="0" w:color="auto"/>
        <w:right w:val="none" w:sz="0" w:space="0" w:color="auto"/>
      </w:divBdr>
    </w:div>
    <w:div w:id="1112627488">
      <w:bodyDiv w:val="1"/>
      <w:marLeft w:val="0"/>
      <w:marRight w:val="0"/>
      <w:marTop w:val="0"/>
      <w:marBottom w:val="0"/>
      <w:divBdr>
        <w:top w:val="none" w:sz="0" w:space="0" w:color="auto"/>
        <w:left w:val="none" w:sz="0" w:space="0" w:color="auto"/>
        <w:bottom w:val="none" w:sz="0" w:space="0" w:color="auto"/>
        <w:right w:val="none" w:sz="0" w:space="0" w:color="auto"/>
      </w:divBdr>
    </w:div>
    <w:div w:id="1116027617">
      <w:bodyDiv w:val="1"/>
      <w:marLeft w:val="0"/>
      <w:marRight w:val="0"/>
      <w:marTop w:val="0"/>
      <w:marBottom w:val="0"/>
      <w:divBdr>
        <w:top w:val="none" w:sz="0" w:space="0" w:color="auto"/>
        <w:left w:val="none" w:sz="0" w:space="0" w:color="auto"/>
        <w:bottom w:val="none" w:sz="0" w:space="0" w:color="auto"/>
        <w:right w:val="none" w:sz="0" w:space="0" w:color="auto"/>
      </w:divBdr>
    </w:div>
    <w:div w:id="1127775092">
      <w:bodyDiv w:val="1"/>
      <w:marLeft w:val="0"/>
      <w:marRight w:val="0"/>
      <w:marTop w:val="0"/>
      <w:marBottom w:val="0"/>
      <w:divBdr>
        <w:top w:val="none" w:sz="0" w:space="0" w:color="auto"/>
        <w:left w:val="none" w:sz="0" w:space="0" w:color="auto"/>
        <w:bottom w:val="none" w:sz="0" w:space="0" w:color="auto"/>
        <w:right w:val="none" w:sz="0" w:space="0" w:color="auto"/>
      </w:divBdr>
    </w:div>
    <w:div w:id="1131096141">
      <w:bodyDiv w:val="1"/>
      <w:marLeft w:val="0"/>
      <w:marRight w:val="0"/>
      <w:marTop w:val="0"/>
      <w:marBottom w:val="0"/>
      <w:divBdr>
        <w:top w:val="none" w:sz="0" w:space="0" w:color="auto"/>
        <w:left w:val="none" w:sz="0" w:space="0" w:color="auto"/>
        <w:bottom w:val="none" w:sz="0" w:space="0" w:color="auto"/>
        <w:right w:val="none" w:sz="0" w:space="0" w:color="auto"/>
      </w:divBdr>
    </w:div>
    <w:div w:id="1144783670">
      <w:bodyDiv w:val="1"/>
      <w:marLeft w:val="0"/>
      <w:marRight w:val="0"/>
      <w:marTop w:val="0"/>
      <w:marBottom w:val="0"/>
      <w:divBdr>
        <w:top w:val="none" w:sz="0" w:space="0" w:color="auto"/>
        <w:left w:val="none" w:sz="0" w:space="0" w:color="auto"/>
        <w:bottom w:val="none" w:sz="0" w:space="0" w:color="auto"/>
        <w:right w:val="none" w:sz="0" w:space="0" w:color="auto"/>
      </w:divBdr>
    </w:div>
    <w:div w:id="1146359031">
      <w:bodyDiv w:val="1"/>
      <w:marLeft w:val="0"/>
      <w:marRight w:val="0"/>
      <w:marTop w:val="0"/>
      <w:marBottom w:val="0"/>
      <w:divBdr>
        <w:top w:val="none" w:sz="0" w:space="0" w:color="auto"/>
        <w:left w:val="none" w:sz="0" w:space="0" w:color="auto"/>
        <w:bottom w:val="none" w:sz="0" w:space="0" w:color="auto"/>
        <w:right w:val="none" w:sz="0" w:space="0" w:color="auto"/>
      </w:divBdr>
    </w:div>
    <w:div w:id="1149129077">
      <w:bodyDiv w:val="1"/>
      <w:marLeft w:val="0"/>
      <w:marRight w:val="0"/>
      <w:marTop w:val="0"/>
      <w:marBottom w:val="0"/>
      <w:divBdr>
        <w:top w:val="none" w:sz="0" w:space="0" w:color="auto"/>
        <w:left w:val="none" w:sz="0" w:space="0" w:color="auto"/>
        <w:bottom w:val="none" w:sz="0" w:space="0" w:color="auto"/>
        <w:right w:val="none" w:sz="0" w:space="0" w:color="auto"/>
      </w:divBdr>
    </w:div>
    <w:div w:id="1158690076">
      <w:bodyDiv w:val="1"/>
      <w:marLeft w:val="0"/>
      <w:marRight w:val="0"/>
      <w:marTop w:val="0"/>
      <w:marBottom w:val="0"/>
      <w:divBdr>
        <w:top w:val="none" w:sz="0" w:space="0" w:color="auto"/>
        <w:left w:val="none" w:sz="0" w:space="0" w:color="auto"/>
        <w:bottom w:val="none" w:sz="0" w:space="0" w:color="auto"/>
        <w:right w:val="none" w:sz="0" w:space="0" w:color="auto"/>
      </w:divBdr>
    </w:div>
    <w:div w:id="1159616067">
      <w:bodyDiv w:val="1"/>
      <w:marLeft w:val="0"/>
      <w:marRight w:val="0"/>
      <w:marTop w:val="0"/>
      <w:marBottom w:val="0"/>
      <w:divBdr>
        <w:top w:val="none" w:sz="0" w:space="0" w:color="auto"/>
        <w:left w:val="none" w:sz="0" w:space="0" w:color="auto"/>
        <w:bottom w:val="none" w:sz="0" w:space="0" w:color="auto"/>
        <w:right w:val="none" w:sz="0" w:space="0" w:color="auto"/>
      </w:divBdr>
    </w:div>
    <w:div w:id="1169515576">
      <w:bodyDiv w:val="1"/>
      <w:marLeft w:val="0"/>
      <w:marRight w:val="0"/>
      <w:marTop w:val="0"/>
      <w:marBottom w:val="0"/>
      <w:divBdr>
        <w:top w:val="none" w:sz="0" w:space="0" w:color="auto"/>
        <w:left w:val="none" w:sz="0" w:space="0" w:color="auto"/>
        <w:bottom w:val="none" w:sz="0" w:space="0" w:color="auto"/>
        <w:right w:val="none" w:sz="0" w:space="0" w:color="auto"/>
      </w:divBdr>
    </w:div>
    <w:div w:id="1171679769">
      <w:bodyDiv w:val="1"/>
      <w:marLeft w:val="0"/>
      <w:marRight w:val="0"/>
      <w:marTop w:val="0"/>
      <w:marBottom w:val="0"/>
      <w:divBdr>
        <w:top w:val="none" w:sz="0" w:space="0" w:color="auto"/>
        <w:left w:val="none" w:sz="0" w:space="0" w:color="auto"/>
        <w:bottom w:val="none" w:sz="0" w:space="0" w:color="auto"/>
        <w:right w:val="none" w:sz="0" w:space="0" w:color="auto"/>
      </w:divBdr>
    </w:div>
    <w:div w:id="1175343453">
      <w:bodyDiv w:val="1"/>
      <w:marLeft w:val="0"/>
      <w:marRight w:val="0"/>
      <w:marTop w:val="0"/>
      <w:marBottom w:val="0"/>
      <w:divBdr>
        <w:top w:val="none" w:sz="0" w:space="0" w:color="auto"/>
        <w:left w:val="none" w:sz="0" w:space="0" w:color="auto"/>
        <w:bottom w:val="none" w:sz="0" w:space="0" w:color="auto"/>
        <w:right w:val="none" w:sz="0" w:space="0" w:color="auto"/>
      </w:divBdr>
    </w:div>
    <w:div w:id="1193613385">
      <w:bodyDiv w:val="1"/>
      <w:marLeft w:val="0"/>
      <w:marRight w:val="0"/>
      <w:marTop w:val="0"/>
      <w:marBottom w:val="0"/>
      <w:divBdr>
        <w:top w:val="none" w:sz="0" w:space="0" w:color="auto"/>
        <w:left w:val="none" w:sz="0" w:space="0" w:color="auto"/>
        <w:bottom w:val="none" w:sz="0" w:space="0" w:color="auto"/>
        <w:right w:val="none" w:sz="0" w:space="0" w:color="auto"/>
      </w:divBdr>
    </w:div>
    <w:div w:id="1193618125">
      <w:bodyDiv w:val="1"/>
      <w:marLeft w:val="0"/>
      <w:marRight w:val="0"/>
      <w:marTop w:val="0"/>
      <w:marBottom w:val="0"/>
      <w:divBdr>
        <w:top w:val="none" w:sz="0" w:space="0" w:color="auto"/>
        <w:left w:val="none" w:sz="0" w:space="0" w:color="auto"/>
        <w:bottom w:val="none" w:sz="0" w:space="0" w:color="auto"/>
        <w:right w:val="none" w:sz="0" w:space="0" w:color="auto"/>
      </w:divBdr>
    </w:div>
    <w:div w:id="1200435685">
      <w:bodyDiv w:val="1"/>
      <w:marLeft w:val="0"/>
      <w:marRight w:val="0"/>
      <w:marTop w:val="0"/>
      <w:marBottom w:val="0"/>
      <w:divBdr>
        <w:top w:val="none" w:sz="0" w:space="0" w:color="auto"/>
        <w:left w:val="none" w:sz="0" w:space="0" w:color="auto"/>
        <w:bottom w:val="none" w:sz="0" w:space="0" w:color="auto"/>
        <w:right w:val="none" w:sz="0" w:space="0" w:color="auto"/>
      </w:divBdr>
    </w:div>
    <w:div w:id="1201356155">
      <w:bodyDiv w:val="1"/>
      <w:marLeft w:val="0"/>
      <w:marRight w:val="0"/>
      <w:marTop w:val="0"/>
      <w:marBottom w:val="0"/>
      <w:divBdr>
        <w:top w:val="none" w:sz="0" w:space="0" w:color="auto"/>
        <w:left w:val="none" w:sz="0" w:space="0" w:color="auto"/>
        <w:bottom w:val="none" w:sz="0" w:space="0" w:color="auto"/>
        <w:right w:val="none" w:sz="0" w:space="0" w:color="auto"/>
      </w:divBdr>
    </w:div>
    <w:div w:id="1209149930">
      <w:bodyDiv w:val="1"/>
      <w:marLeft w:val="0"/>
      <w:marRight w:val="0"/>
      <w:marTop w:val="0"/>
      <w:marBottom w:val="0"/>
      <w:divBdr>
        <w:top w:val="none" w:sz="0" w:space="0" w:color="auto"/>
        <w:left w:val="none" w:sz="0" w:space="0" w:color="auto"/>
        <w:bottom w:val="none" w:sz="0" w:space="0" w:color="auto"/>
        <w:right w:val="none" w:sz="0" w:space="0" w:color="auto"/>
      </w:divBdr>
    </w:div>
    <w:div w:id="1211843043">
      <w:bodyDiv w:val="1"/>
      <w:marLeft w:val="0"/>
      <w:marRight w:val="0"/>
      <w:marTop w:val="0"/>
      <w:marBottom w:val="0"/>
      <w:divBdr>
        <w:top w:val="none" w:sz="0" w:space="0" w:color="auto"/>
        <w:left w:val="none" w:sz="0" w:space="0" w:color="auto"/>
        <w:bottom w:val="none" w:sz="0" w:space="0" w:color="auto"/>
        <w:right w:val="none" w:sz="0" w:space="0" w:color="auto"/>
      </w:divBdr>
    </w:div>
    <w:div w:id="1215385510">
      <w:bodyDiv w:val="1"/>
      <w:marLeft w:val="0"/>
      <w:marRight w:val="0"/>
      <w:marTop w:val="0"/>
      <w:marBottom w:val="0"/>
      <w:divBdr>
        <w:top w:val="none" w:sz="0" w:space="0" w:color="auto"/>
        <w:left w:val="none" w:sz="0" w:space="0" w:color="auto"/>
        <w:bottom w:val="none" w:sz="0" w:space="0" w:color="auto"/>
        <w:right w:val="none" w:sz="0" w:space="0" w:color="auto"/>
      </w:divBdr>
    </w:div>
    <w:div w:id="1222206574">
      <w:bodyDiv w:val="1"/>
      <w:marLeft w:val="0"/>
      <w:marRight w:val="0"/>
      <w:marTop w:val="0"/>
      <w:marBottom w:val="0"/>
      <w:divBdr>
        <w:top w:val="none" w:sz="0" w:space="0" w:color="auto"/>
        <w:left w:val="none" w:sz="0" w:space="0" w:color="auto"/>
        <w:bottom w:val="none" w:sz="0" w:space="0" w:color="auto"/>
        <w:right w:val="none" w:sz="0" w:space="0" w:color="auto"/>
      </w:divBdr>
    </w:div>
    <w:div w:id="1230187405">
      <w:bodyDiv w:val="1"/>
      <w:marLeft w:val="0"/>
      <w:marRight w:val="0"/>
      <w:marTop w:val="0"/>
      <w:marBottom w:val="0"/>
      <w:divBdr>
        <w:top w:val="none" w:sz="0" w:space="0" w:color="auto"/>
        <w:left w:val="none" w:sz="0" w:space="0" w:color="auto"/>
        <w:bottom w:val="none" w:sz="0" w:space="0" w:color="auto"/>
        <w:right w:val="none" w:sz="0" w:space="0" w:color="auto"/>
      </w:divBdr>
    </w:div>
    <w:div w:id="1231620382">
      <w:bodyDiv w:val="1"/>
      <w:marLeft w:val="0"/>
      <w:marRight w:val="0"/>
      <w:marTop w:val="0"/>
      <w:marBottom w:val="0"/>
      <w:divBdr>
        <w:top w:val="none" w:sz="0" w:space="0" w:color="auto"/>
        <w:left w:val="none" w:sz="0" w:space="0" w:color="auto"/>
        <w:bottom w:val="none" w:sz="0" w:space="0" w:color="auto"/>
        <w:right w:val="none" w:sz="0" w:space="0" w:color="auto"/>
      </w:divBdr>
    </w:div>
    <w:div w:id="1237208053">
      <w:bodyDiv w:val="1"/>
      <w:marLeft w:val="0"/>
      <w:marRight w:val="0"/>
      <w:marTop w:val="0"/>
      <w:marBottom w:val="0"/>
      <w:divBdr>
        <w:top w:val="none" w:sz="0" w:space="0" w:color="auto"/>
        <w:left w:val="none" w:sz="0" w:space="0" w:color="auto"/>
        <w:bottom w:val="none" w:sz="0" w:space="0" w:color="auto"/>
        <w:right w:val="none" w:sz="0" w:space="0" w:color="auto"/>
      </w:divBdr>
    </w:div>
    <w:div w:id="1238973512">
      <w:bodyDiv w:val="1"/>
      <w:marLeft w:val="0"/>
      <w:marRight w:val="0"/>
      <w:marTop w:val="0"/>
      <w:marBottom w:val="0"/>
      <w:divBdr>
        <w:top w:val="none" w:sz="0" w:space="0" w:color="auto"/>
        <w:left w:val="none" w:sz="0" w:space="0" w:color="auto"/>
        <w:bottom w:val="none" w:sz="0" w:space="0" w:color="auto"/>
        <w:right w:val="none" w:sz="0" w:space="0" w:color="auto"/>
      </w:divBdr>
    </w:div>
    <w:div w:id="1243179489">
      <w:bodyDiv w:val="1"/>
      <w:marLeft w:val="0"/>
      <w:marRight w:val="0"/>
      <w:marTop w:val="0"/>
      <w:marBottom w:val="0"/>
      <w:divBdr>
        <w:top w:val="none" w:sz="0" w:space="0" w:color="auto"/>
        <w:left w:val="none" w:sz="0" w:space="0" w:color="auto"/>
        <w:bottom w:val="none" w:sz="0" w:space="0" w:color="auto"/>
        <w:right w:val="none" w:sz="0" w:space="0" w:color="auto"/>
      </w:divBdr>
    </w:div>
    <w:div w:id="1245652795">
      <w:bodyDiv w:val="1"/>
      <w:marLeft w:val="0"/>
      <w:marRight w:val="0"/>
      <w:marTop w:val="0"/>
      <w:marBottom w:val="0"/>
      <w:divBdr>
        <w:top w:val="none" w:sz="0" w:space="0" w:color="auto"/>
        <w:left w:val="none" w:sz="0" w:space="0" w:color="auto"/>
        <w:bottom w:val="none" w:sz="0" w:space="0" w:color="auto"/>
        <w:right w:val="none" w:sz="0" w:space="0" w:color="auto"/>
      </w:divBdr>
    </w:div>
    <w:div w:id="1253586670">
      <w:bodyDiv w:val="1"/>
      <w:marLeft w:val="0"/>
      <w:marRight w:val="0"/>
      <w:marTop w:val="0"/>
      <w:marBottom w:val="0"/>
      <w:divBdr>
        <w:top w:val="none" w:sz="0" w:space="0" w:color="auto"/>
        <w:left w:val="none" w:sz="0" w:space="0" w:color="auto"/>
        <w:bottom w:val="none" w:sz="0" w:space="0" w:color="auto"/>
        <w:right w:val="none" w:sz="0" w:space="0" w:color="auto"/>
      </w:divBdr>
    </w:div>
    <w:div w:id="1277981013">
      <w:bodyDiv w:val="1"/>
      <w:marLeft w:val="0"/>
      <w:marRight w:val="0"/>
      <w:marTop w:val="0"/>
      <w:marBottom w:val="0"/>
      <w:divBdr>
        <w:top w:val="none" w:sz="0" w:space="0" w:color="auto"/>
        <w:left w:val="none" w:sz="0" w:space="0" w:color="auto"/>
        <w:bottom w:val="none" w:sz="0" w:space="0" w:color="auto"/>
        <w:right w:val="none" w:sz="0" w:space="0" w:color="auto"/>
      </w:divBdr>
    </w:div>
    <w:div w:id="1282689819">
      <w:bodyDiv w:val="1"/>
      <w:marLeft w:val="0"/>
      <w:marRight w:val="0"/>
      <w:marTop w:val="0"/>
      <w:marBottom w:val="0"/>
      <w:divBdr>
        <w:top w:val="none" w:sz="0" w:space="0" w:color="auto"/>
        <w:left w:val="none" w:sz="0" w:space="0" w:color="auto"/>
        <w:bottom w:val="none" w:sz="0" w:space="0" w:color="auto"/>
        <w:right w:val="none" w:sz="0" w:space="0" w:color="auto"/>
      </w:divBdr>
    </w:div>
    <w:div w:id="1282762410">
      <w:bodyDiv w:val="1"/>
      <w:marLeft w:val="0"/>
      <w:marRight w:val="0"/>
      <w:marTop w:val="0"/>
      <w:marBottom w:val="0"/>
      <w:divBdr>
        <w:top w:val="none" w:sz="0" w:space="0" w:color="auto"/>
        <w:left w:val="none" w:sz="0" w:space="0" w:color="auto"/>
        <w:bottom w:val="none" w:sz="0" w:space="0" w:color="auto"/>
        <w:right w:val="none" w:sz="0" w:space="0" w:color="auto"/>
      </w:divBdr>
    </w:div>
    <w:div w:id="1290471006">
      <w:bodyDiv w:val="1"/>
      <w:marLeft w:val="0"/>
      <w:marRight w:val="0"/>
      <w:marTop w:val="0"/>
      <w:marBottom w:val="0"/>
      <w:divBdr>
        <w:top w:val="none" w:sz="0" w:space="0" w:color="auto"/>
        <w:left w:val="none" w:sz="0" w:space="0" w:color="auto"/>
        <w:bottom w:val="none" w:sz="0" w:space="0" w:color="auto"/>
        <w:right w:val="none" w:sz="0" w:space="0" w:color="auto"/>
      </w:divBdr>
    </w:div>
    <w:div w:id="1294405069">
      <w:bodyDiv w:val="1"/>
      <w:marLeft w:val="0"/>
      <w:marRight w:val="0"/>
      <w:marTop w:val="0"/>
      <w:marBottom w:val="0"/>
      <w:divBdr>
        <w:top w:val="none" w:sz="0" w:space="0" w:color="auto"/>
        <w:left w:val="none" w:sz="0" w:space="0" w:color="auto"/>
        <w:bottom w:val="none" w:sz="0" w:space="0" w:color="auto"/>
        <w:right w:val="none" w:sz="0" w:space="0" w:color="auto"/>
      </w:divBdr>
    </w:div>
    <w:div w:id="1298993485">
      <w:bodyDiv w:val="1"/>
      <w:marLeft w:val="0"/>
      <w:marRight w:val="0"/>
      <w:marTop w:val="0"/>
      <w:marBottom w:val="0"/>
      <w:divBdr>
        <w:top w:val="none" w:sz="0" w:space="0" w:color="auto"/>
        <w:left w:val="none" w:sz="0" w:space="0" w:color="auto"/>
        <w:bottom w:val="none" w:sz="0" w:space="0" w:color="auto"/>
        <w:right w:val="none" w:sz="0" w:space="0" w:color="auto"/>
      </w:divBdr>
    </w:div>
    <w:div w:id="1304239400">
      <w:bodyDiv w:val="1"/>
      <w:marLeft w:val="0"/>
      <w:marRight w:val="0"/>
      <w:marTop w:val="0"/>
      <w:marBottom w:val="0"/>
      <w:divBdr>
        <w:top w:val="none" w:sz="0" w:space="0" w:color="auto"/>
        <w:left w:val="none" w:sz="0" w:space="0" w:color="auto"/>
        <w:bottom w:val="none" w:sz="0" w:space="0" w:color="auto"/>
        <w:right w:val="none" w:sz="0" w:space="0" w:color="auto"/>
      </w:divBdr>
    </w:div>
    <w:div w:id="1314139510">
      <w:bodyDiv w:val="1"/>
      <w:marLeft w:val="0"/>
      <w:marRight w:val="0"/>
      <w:marTop w:val="0"/>
      <w:marBottom w:val="0"/>
      <w:divBdr>
        <w:top w:val="none" w:sz="0" w:space="0" w:color="auto"/>
        <w:left w:val="none" w:sz="0" w:space="0" w:color="auto"/>
        <w:bottom w:val="none" w:sz="0" w:space="0" w:color="auto"/>
        <w:right w:val="none" w:sz="0" w:space="0" w:color="auto"/>
      </w:divBdr>
    </w:div>
    <w:div w:id="1320697634">
      <w:bodyDiv w:val="1"/>
      <w:marLeft w:val="0"/>
      <w:marRight w:val="0"/>
      <w:marTop w:val="0"/>
      <w:marBottom w:val="0"/>
      <w:divBdr>
        <w:top w:val="none" w:sz="0" w:space="0" w:color="auto"/>
        <w:left w:val="none" w:sz="0" w:space="0" w:color="auto"/>
        <w:bottom w:val="none" w:sz="0" w:space="0" w:color="auto"/>
        <w:right w:val="none" w:sz="0" w:space="0" w:color="auto"/>
      </w:divBdr>
    </w:div>
    <w:div w:id="1323466201">
      <w:bodyDiv w:val="1"/>
      <w:marLeft w:val="0"/>
      <w:marRight w:val="0"/>
      <w:marTop w:val="0"/>
      <w:marBottom w:val="0"/>
      <w:divBdr>
        <w:top w:val="none" w:sz="0" w:space="0" w:color="auto"/>
        <w:left w:val="none" w:sz="0" w:space="0" w:color="auto"/>
        <w:bottom w:val="none" w:sz="0" w:space="0" w:color="auto"/>
        <w:right w:val="none" w:sz="0" w:space="0" w:color="auto"/>
      </w:divBdr>
    </w:div>
    <w:div w:id="1330257230">
      <w:bodyDiv w:val="1"/>
      <w:marLeft w:val="0"/>
      <w:marRight w:val="0"/>
      <w:marTop w:val="0"/>
      <w:marBottom w:val="0"/>
      <w:divBdr>
        <w:top w:val="none" w:sz="0" w:space="0" w:color="auto"/>
        <w:left w:val="none" w:sz="0" w:space="0" w:color="auto"/>
        <w:bottom w:val="none" w:sz="0" w:space="0" w:color="auto"/>
        <w:right w:val="none" w:sz="0" w:space="0" w:color="auto"/>
      </w:divBdr>
    </w:div>
    <w:div w:id="1330447696">
      <w:bodyDiv w:val="1"/>
      <w:marLeft w:val="0"/>
      <w:marRight w:val="0"/>
      <w:marTop w:val="0"/>
      <w:marBottom w:val="0"/>
      <w:divBdr>
        <w:top w:val="none" w:sz="0" w:space="0" w:color="auto"/>
        <w:left w:val="none" w:sz="0" w:space="0" w:color="auto"/>
        <w:bottom w:val="none" w:sz="0" w:space="0" w:color="auto"/>
        <w:right w:val="none" w:sz="0" w:space="0" w:color="auto"/>
      </w:divBdr>
    </w:div>
    <w:div w:id="1330644213">
      <w:bodyDiv w:val="1"/>
      <w:marLeft w:val="0"/>
      <w:marRight w:val="0"/>
      <w:marTop w:val="0"/>
      <w:marBottom w:val="0"/>
      <w:divBdr>
        <w:top w:val="none" w:sz="0" w:space="0" w:color="auto"/>
        <w:left w:val="none" w:sz="0" w:space="0" w:color="auto"/>
        <w:bottom w:val="none" w:sz="0" w:space="0" w:color="auto"/>
        <w:right w:val="none" w:sz="0" w:space="0" w:color="auto"/>
      </w:divBdr>
    </w:div>
    <w:div w:id="1331836547">
      <w:bodyDiv w:val="1"/>
      <w:marLeft w:val="0"/>
      <w:marRight w:val="0"/>
      <w:marTop w:val="0"/>
      <w:marBottom w:val="0"/>
      <w:divBdr>
        <w:top w:val="none" w:sz="0" w:space="0" w:color="auto"/>
        <w:left w:val="none" w:sz="0" w:space="0" w:color="auto"/>
        <w:bottom w:val="none" w:sz="0" w:space="0" w:color="auto"/>
        <w:right w:val="none" w:sz="0" w:space="0" w:color="auto"/>
      </w:divBdr>
    </w:div>
    <w:div w:id="1335299209">
      <w:bodyDiv w:val="1"/>
      <w:marLeft w:val="0"/>
      <w:marRight w:val="0"/>
      <w:marTop w:val="0"/>
      <w:marBottom w:val="0"/>
      <w:divBdr>
        <w:top w:val="none" w:sz="0" w:space="0" w:color="auto"/>
        <w:left w:val="none" w:sz="0" w:space="0" w:color="auto"/>
        <w:bottom w:val="none" w:sz="0" w:space="0" w:color="auto"/>
        <w:right w:val="none" w:sz="0" w:space="0" w:color="auto"/>
      </w:divBdr>
    </w:div>
    <w:div w:id="1340304176">
      <w:bodyDiv w:val="1"/>
      <w:marLeft w:val="0"/>
      <w:marRight w:val="0"/>
      <w:marTop w:val="0"/>
      <w:marBottom w:val="0"/>
      <w:divBdr>
        <w:top w:val="none" w:sz="0" w:space="0" w:color="auto"/>
        <w:left w:val="none" w:sz="0" w:space="0" w:color="auto"/>
        <w:bottom w:val="none" w:sz="0" w:space="0" w:color="auto"/>
        <w:right w:val="none" w:sz="0" w:space="0" w:color="auto"/>
      </w:divBdr>
    </w:div>
    <w:div w:id="1345473580">
      <w:bodyDiv w:val="1"/>
      <w:marLeft w:val="0"/>
      <w:marRight w:val="0"/>
      <w:marTop w:val="0"/>
      <w:marBottom w:val="0"/>
      <w:divBdr>
        <w:top w:val="none" w:sz="0" w:space="0" w:color="auto"/>
        <w:left w:val="none" w:sz="0" w:space="0" w:color="auto"/>
        <w:bottom w:val="none" w:sz="0" w:space="0" w:color="auto"/>
        <w:right w:val="none" w:sz="0" w:space="0" w:color="auto"/>
      </w:divBdr>
    </w:div>
    <w:div w:id="1349138386">
      <w:bodyDiv w:val="1"/>
      <w:marLeft w:val="0"/>
      <w:marRight w:val="0"/>
      <w:marTop w:val="0"/>
      <w:marBottom w:val="0"/>
      <w:divBdr>
        <w:top w:val="none" w:sz="0" w:space="0" w:color="auto"/>
        <w:left w:val="none" w:sz="0" w:space="0" w:color="auto"/>
        <w:bottom w:val="none" w:sz="0" w:space="0" w:color="auto"/>
        <w:right w:val="none" w:sz="0" w:space="0" w:color="auto"/>
      </w:divBdr>
    </w:div>
    <w:div w:id="1359163844">
      <w:bodyDiv w:val="1"/>
      <w:marLeft w:val="0"/>
      <w:marRight w:val="0"/>
      <w:marTop w:val="0"/>
      <w:marBottom w:val="0"/>
      <w:divBdr>
        <w:top w:val="none" w:sz="0" w:space="0" w:color="auto"/>
        <w:left w:val="none" w:sz="0" w:space="0" w:color="auto"/>
        <w:bottom w:val="none" w:sz="0" w:space="0" w:color="auto"/>
        <w:right w:val="none" w:sz="0" w:space="0" w:color="auto"/>
      </w:divBdr>
    </w:div>
    <w:div w:id="1361393945">
      <w:bodyDiv w:val="1"/>
      <w:marLeft w:val="0"/>
      <w:marRight w:val="0"/>
      <w:marTop w:val="0"/>
      <w:marBottom w:val="0"/>
      <w:divBdr>
        <w:top w:val="none" w:sz="0" w:space="0" w:color="auto"/>
        <w:left w:val="none" w:sz="0" w:space="0" w:color="auto"/>
        <w:bottom w:val="none" w:sz="0" w:space="0" w:color="auto"/>
        <w:right w:val="none" w:sz="0" w:space="0" w:color="auto"/>
      </w:divBdr>
    </w:div>
    <w:div w:id="1365866085">
      <w:bodyDiv w:val="1"/>
      <w:marLeft w:val="0"/>
      <w:marRight w:val="0"/>
      <w:marTop w:val="0"/>
      <w:marBottom w:val="0"/>
      <w:divBdr>
        <w:top w:val="none" w:sz="0" w:space="0" w:color="auto"/>
        <w:left w:val="none" w:sz="0" w:space="0" w:color="auto"/>
        <w:bottom w:val="none" w:sz="0" w:space="0" w:color="auto"/>
        <w:right w:val="none" w:sz="0" w:space="0" w:color="auto"/>
      </w:divBdr>
    </w:div>
    <w:div w:id="1369793965">
      <w:bodyDiv w:val="1"/>
      <w:marLeft w:val="0"/>
      <w:marRight w:val="0"/>
      <w:marTop w:val="0"/>
      <w:marBottom w:val="0"/>
      <w:divBdr>
        <w:top w:val="none" w:sz="0" w:space="0" w:color="auto"/>
        <w:left w:val="none" w:sz="0" w:space="0" w:color="auto"/>
        <w:bottom w:val="none" w:sz="0" w:space="0" w:color="auto"/>
        <w:right w:val="none" w:sz="0" w:space="0" w:color="auto"/>
      </w:divBdr>
    </w:div>
    <w:div w:id="1389570662">
      <w:bodyDiv w:val="1"/>
      <w:marLeft w:val="0"/>
      <w:marRight w:val="0"/>
      <w:marTop w:val="0"/>
      <w:marBottom w:val="0"/>
      <w:divBdr>
        <w:top w:val="none" w:sz="0" w:space="0" w:color="auto"/>
        <w:left w:val="none" w:sz="0" w:space="0" w:color="auto"/>
        <w:bottom w:val="none" w:sz="0" w:space="0" w:color="auto"/>
        <w:right w:val="none" w:sz="0" w:space="0" w:color="auto"/>
      </w:divBdr>
    </w:div>
    <w:div w:id="1390693836">
      <w:bodyDiv w:val="1"/>
      <w:marLeft w:val="0"/>
      <w:marRight w:val="0"/>
      <w:marTop w:val="0"/>
      <w:marBottom w:val="0"/>
      <w:divBdr>
        <w:top w:val="none" w:sz="0" w:space="0" w:color="auto"/>
        <w:left w:val="none" w:sz="0" w:space="0" w:color="auto"/>
        <w:bottom w:val="none" w:sz="0" w:space="0" w:color="auto"/>
        <w:right w:val="none" w:sz="0" w:space="0" w:color="auto"/>
      </w:divBdr>
    </w:div>
    <w:div w:id="1394504313">
      <w:bodyDiv w:val="1"/>
      <w:marLeft w:val="0"/>
      <w:marRight w:val="0"/>
      <w:marTop w:val="0"/>
      <w:marBottom w:val="0"/>
      <w:divBdr>
        <w:top w:val="none" w:sz="0" w:space="0" w:color="auto"/>
        <w:left w:val="none" w:sz="0" w:space="0" w:color="auto"/>
        <w:bottom w:val="none" w:sz="0" w:space="0" w:color="auto"/>
        <w:right w:val="none" w:sz="0" w:space="0" w:color="auto"/>
      </w:divBdr>
    </w:div>
    <w:div w:id="1403991625">
      <w:bodyDiv w:val="1"/>
      <w:marLeft w:val="0"/>
      <w:marRight w:val="0"/>
      <w:marTop w:val="0"/>
      <w:marBottom w:val="0"/>
      <w:divBdr>
        <w:top w:val="none" w:sz="0" w:space="0" w:color="auto"/>
        <w:left w:val="none" w:sz="0" w:space="0" w:color="auto"/>
        <w:bottom w:val="none" w:sz="0" w:space="0" w:color="auto"/>
        <w:right w:val="none" w:sz="0" w:space="0" w:color="auto"/>
      </w:divBdr>
    </w:div>
    <w:div w:id="1406292996">
      <w:bodyDiv w:val="1"/>
      <w:marLeft w:val="0"/>
      <w:marRight w:val="0"/>
      <w:marTop w:val="0"/>
      <w:marBottom w:val="0"/>
      <w:divBdr>
        <w:top w:val="none" w:sz="0" w:space="0" w:color="auto"/>
        <w:left w:val="none" w:sz="0" w:space="0" w:color="auto"/>
        <w:bottom w:val="none" w:sz="0" w:space="0" w:color="auto"/>
        <w:right w:val="none" w:sz="0" w:space="0" w:color="auto"/>
      </w:divBdr>
    </w:div>
    <w:div w:id="1410612920">
      <w:bodyDiv w:val="1"/>
      <w:marLeft w:val="0"/>
      <w:marRight w:val="0"/>
      <w:marTop w:val="0"/>
      <w:marBottom w:val="0"/>
      <w:divBdr>
        <w:top w:val="none" w:sz="0" w:space="0" w:color="auto"/>
        <w:left w:val="none" w:sz="0" w:space="0" w:color="auto"/>
        <w:bottom w:val="none" w:sz="0" w:space="0" w:color="auto"/>
        <w:right w:val="none" w:sz="0" w:space="0" w:color="auto"/>
      </w:divBdr>
    </w:div>
    <w:div w:id="1411806601">
      <w:bodyDiv w:val="1"/>
      <w:marLeft w:val="0"/>
      <w:marRight w:val="0"/>
      <w:marTop w:val="0"/>
      <w:marBottom w:val="0"/>
      <w:divBdr>
        <w:top w:val="none" w:sz="0" w:space="0" w:color="auto"/>
        <w:left w:val="none" w:sz="0" w:space="0" w:color="auto"/>
        <w:bottom w:val="none" w:sz="0" w:space="0" w:color="auto"/>
        <w:right w:val="none" w:sz="0" w:space="0" w:color="auto"/>
      </w:divBdr>
    </w:div>
    <w:div w:id="1422411457">
      <w:bodyDiv w:val="1"/>
      <w:marLeft w:val="0"/>
      <w:marRight w:val="0"/>
      <w:marTop w:val="0"/>
      <w:marBottom w:val="0"/>
      <w:divBdr>
        <w:top w:val="none" w:sz="0" w:space="0" w:color="auto"/>
        <w:left w:val="none" w:sz="0" w:space="0" w:color="auto"/>
        <w:bottom w:val="none" w:sz="0" w:space="0" w:color="auto"/>
        <w:right w:val="none" w:sz="0" w:space="0" w:color="auto"/>
      </w:divBdr>
    </w:div>
    <w:div w:id="1434008250">
      <w:bodyDiv w:val="1"/>
      <w:marLeft w:val="0"/>
      <w:marRight w:val="0"/>
      <w:marTop w:val="0"/>
      <w:marBottom w:val="0"/>
      <w:divBdr>
        <w:top w:val="none" w:sz="0" w:space="0" w:color="auto"/>
        <w:left w:val="none" w:sz="0" w:space="0" w:color="auto"/>
        <w:bottom w:val="none" w:sz="0" w:space="0" w:color="auto"/>
        <w:right w:val="none" w:sz="0" w:space="0" w:color="auto"/>
      </w:divBdr>
    </w:div>
    <w:div w:id="1435435967">
      <w:bodyDiv w:val="1"/>
      <w:marLeft w:val="0"/>
      <w:marRight w:val="0"/>
      <w:marTop w:val="0"/>
      <w:marBottom w:val="0"/>
      <w:divBdr>
        <w:top w:val="none" w:sz="0" w:space="0" w:color="auto"/>
        <w:left w:val="none" w:sz="0" w:space="0" w:color="auto"/>
        <w:bottom w:val="none" w:sz="0" w:space="0" w:color="auto"/>
        <w:right w:val="none" w:sz="0" w:space="0" w:color="auto"/>
      </w:divBdr>
    </w:div>
    <w:div w:id="1441799582">
      <w:bodyDiv w:val="1"/>
      <w:marLeft w:val="0"/>
      <w:marRight w:val="0"/>
      <w:marTop w:val="0"/>
      <w:marBottom w:val="0"/>
      <w:divBdr>
        <w:top w:val="none" w:sz="0" w:space="0" w:color="auto"/>
        <w:left w:val="none" w:sz="0" w:space="0" w:color="auto"/>
        <w:bottom w:val="none" w:sz="0" w:space="0" w:color="auto"/>
        <w:right w:val="none" w:sz="0" w:space="0" w:color="auto"/>
      </w:divBdr>
    </w:div>
    <w:div w:id="1443767787">
      <w:bodyDiv w:val="1"/>
      <w:marLeft w:val="0"/>
      <w:marRight w:val="0"/>
      <w:marTop w:val="0"/>
      <w:marBottom w:val="0"/>
      <w:divBdr>
        <w:top w:val="none" w:sz="0" w:space="0" w:color="auto"/>
        <w:left w:val="none" w:sz="0" w:space="0" w:color="auto"/>
        <w:bottom w:val="none" w:sz="0" w:space="0" w:color="auto"/>
        <w:right w:val="none" w:sz="0" w:space="0" w:color="auto"/>
      </w:divBdr>
    </w:div>
    <w:div w:id="1448818615">
      <w:bodyDiv w:val="1"/>
      <w:marLeft w:val="0"/>
      <w:marRight w:val="0"/>
      <w:marTop w:val="0"/>
      <w:marBottom w:val="0"/>
      <w:divBdr>
        <w:top w:val="none" w:sz="0" w:space="0" w:color="auto"/>
        <w:left w:val="none" w:sz="0" w:space="0" w:color="auto"/>
        <w:bottom w:val="none" w:sz="0" w:space="0" w:color="auto"/>
        <w:right w:val="none" w:sz="0" w:space="0" w:color="auto"/>
      </w:divBdr>
    </w:div>
    <w:div w:id="1457993313">
      <w:bodyDiv w:val="1"/>
      <w:marLeft w:val="0"/>
      <w:marRight w:val="0"/>
      <w:marTop w:val="0"/>
      <w:marBottom w:val="0"/>
      <w:divBdr>
        <w:top w:val="none" w:sz="0" w:space="0" w:color="auto"/>
        <w:left w:val="none" w:sz="0" w:space="0" w:color="auto"/>
        <w:bottom w:val="none" w:sz="0" w:space="0" w:color="auto"/>
        <w:right w:val="none" w:sz="0" w:space="0" w:color="auto"/>
      </w:divBdr>
    </w:div>
    <w:div w:id="1474639305">
      <w:bodyDiv w:val="1"/>
      <w:marLeft w:val="0"/>
      <w:marRight w:val="0"/>
      <w:marTop w:val="0"/>
      <w:marBottom w:val="0"/>
      <w:divBdr>
        <w:top w:val="none" w:sz="0" w:space="0" w:color="auto"/>
        <w:left w:val="none" w:sz="0" w:space="0" w:color="auto"/>
        <w:bottom w:val="none" w:sz="0" w:space="0" w:color="auto"/>
        <w:right w:val="none" w:sz="0" w:space="0" w:color="auto"/>
      </w:divBdr>
      <w:divsChild>
        <w:div w:id="32966108">
          <w:marLeft w:val="274"/>
          <w:marRight w:val="0"/>
          <w:marTop w:val="240"/>
          <w:marBottom w:val="0"/>
          <w:divBdr>
            <w:top w:val="none" w:sz="0" w:space="0" w:color="auto"/>
            <w:left w:val="none" w:sz="0" w:space="0" w:color="auto"/>
            <w:bottom w:val="none" w:sz="0" w:space="0" w:color="auto"/>
            <w:right w:val="none" w:sz="0" w:space="0" w:color="auto"/>
          </w:divBdr>
        </w:div>
        <w:div w:id="156506905">
          <w:marLeft w:val="274"/>
          <w:marRight w:val="0"/>
          <w:marTop w:val="240"/>
          <w:marBottom w:val="0"/>
          <w:divBdr>
            <w:top w:val="none" w:sz="0" w:space="0" w:color="auto"/>
            <w:left w:val="none" w:sz="0" w:space="0" w:color="auto"/>
            <w:bottom w:val="none" w:sz="0" w:space="0" w:color="auto"/>
            <w:right w:val="none" w:sz="0" w:space="0" w:color="auto"/>
          </w:divBdr>
        </w:div>
        <w:div w:id="194078907">
          <w:marLeft w:val="274"/>
          <w:marRight w:val="0"/>
          <w:marTop w:val="240"/>
          <w:marBottom w:val="0"/>
          <w:divBdr>
            <w:top w:val="none" w:sz="0" w:space="0" w:color="auto"/>
            <w:left w:val="none" w:sz="0" w:space="0" w:color="auto"/>
            <w:bottom w:val="none" w:sz="0" w:space="0" w:color="auto"/>
            <w:right w:val="none" w:sz="0" w:space="0" w:color="auto"/>
          </w:divBdr>
        </w:div>
        <w:div w:id="592126713">
          <w:marLeft w:val="274"/>
          <w:marRight w:val="0"/>
          <w:marTop w:val="240"/>
          <w:marBottom w:val="0"/>
          <w:divBdr>
            <w:top w:val="none" w:sz="0" w:space="0" w:color="auto"/>
            <w:left w:val="none" w:sz="0" w:space="0" w:color="auto"/>
            <w:bottom w:val="none" w:sz="0" w:space="0" w:color="auto"/>
            <w:right w:val="none" w:sz="0" w:space="0" w:color="auto"/>
          </w:divBdr>
        </w:div>
        <w:div w:id="962661524">
          <w:marLeft w:val="274"/>
          <w:marRight w:val="0"/>
          <w:marTop w:val="240"/>
          <w:marBottom w:val="0"/>
          <w:divBdr>
            <w:top w:val="none" w:sz="0" w:space="0" w:color="auto"/>
            <w:left w:val="none" w:sz="0" w:space="0" w:color="auto"/>
            <w:bottom w:val="none" w:sz="0" w:space="0" w:color="auto"/>
            <w:right w:val="none" w:sz="0" w:space="0" w:color="auto"/>
          </w:divBdr>
        </w:div>
        <w:div w:id="1307738044">
          <w:marLeft w:val="274"/>
          <w:marRight w:val="0"/>
          <w:marTop w:val="240"/>
          <w:marBottom w:val="0"/>
          <w:divBdr>
            <w:top w:val="none" w:sz="0" w:space="0" w:color="auto"/>
            <w:left w:val="none" w:sz="0" w:space="0" w:color="auto"/>
            <w:bottom w:val="none" w:sz="0" w:space="0" w:color="auto"/>
            <w:right w:val="none" w:sz="0" w:space="0" w:color="auto"/>
          </w:divBdr>
        </w:div>
        <w:div w:id="1739548022">
          <w:marLeft w:val="274"/>
          <w:marRight w:val="0"/>
          <w:marTop w:val="240"/>
          <w:marBottom w:val="0"/>
          <w:divBdr>
            <w:top w:val="none" w:sz="0" w:space="0" w:color="auto"/>
            <w:left w:val="none" w:sz="0" w:space="0" w:color="auto"/>
            <w:bottom w:val="none" w:sz="0" w:space="0" w:color="auto"/>
            <w:right w:val="none" w:sz="0" w:space="0" w:color="auto"/>
          </w:divBdr>
        </w:div>
      </w:divsChild>
    </w:div>
    <w:div w:id="1475299180">
      <w:bodyDiv w:val="1"/>
      <w:marLeft w:val="0"/>
      <w:marRight w:val="0"/>
      <w:marTop w:val="0"/>
      <w:marBottom w:val="0"/>
      <w:divBdr>
        <w:top w:val="none" w:sz="0" w:space="0" w:color="auto"/>
        <w:left w:val="none" w:sz="0" w:space="0" w:color="auto"/>
        <w:bottom w:val="none" w:sz="0" w:space="0" w:color="auto"/>
        <w:right w:val="none" w:sz="0" w:space="0" w:color="auto"/>
      </w:divBdr>
    </w:div>
    <w:div w:id="1476138693">
      <w:bodyDiv w:val="1"/>
      <w:marLeft w:val="0"/>
      <w:marRight w:val="0"/>
      <w:marTop w:val="0"/>
      <w:marBottom w:val="0"/>
      <w:divBdr>
        <w:top w:val="none" w:sz="0" w:space="0" w:color="auto"/>
        <w:left w:val="none" w:sz="0" w:space="0" w:color="auto"/>
        <w:bottom w:val="none" w:sz="0" w:space="0" w:color="auto"/>
        <w:right w:val="none" w:sz="0" w:space="0" w:color="auto"/>
      </w:divBdr>
    </w:div>
    <w:div w:id="1476681837">
      <w:bodyDiv w:val="1"/>
      <w:marLeft w:val="0"/>
      <w:marRight w:val="0"/>
      <w:marTop w:val="0"/>
      <w:marBottom w:val="0"/>
      <w:divBdr>
        <w:top w:val="none" w:sz="0" w:space="0" w:color="auto"/>
        <w:left w:val="none" w:sz="0" w:space="0" w:color="auto"/>
        <w:bottom w:val="none" w:sz="0" w:space="0" w:color="auto"/>
        <w:right w:val="none" w:sz="0" w:space="0" w:color="auto"/>
      </w:divBdr>
    </w:div>
    <w:div w:id="1476990426">
      <w:bodyDiv w:val="1"/>
      <w:marLeft w:val="0"/>
      <w:marRight w:val="0"/>
      <w:marTop w:val="0"/>
      <w:marBottom w:val="0"/>
      <w:divBdr>
        <w:top w:val="none" w:sz="0" w:space="0" w:color="auto"/>
        <w:left w:val="none" w:sz="0" w:space="0" w:color="auto"/>
        <w:bottom w:val="none" w:sz="0" w:space="0" w:color="auto"/>
        <w:right w:val="none" w:sz="0" w:space="0" w:color="auto"/>
      </w:divBdr>
    </w:div>
    <w:div w:id="1482313310">
      <w:bodyDiv w:val="1"/>
      <w:marLeft w:val="0"/>
      <w:marRight w:val="0"/>
      <w:marTop w:val="0"/>
      <w:marBottom w:val="0"/>
      <w:divBdr>
        <w:top w:val="none" w:sz="0" w:space="0" w:color="auto"/>
        <w:left w:val="none" w:sz="0" w:space="0" w:color="auto"/>
        <w:bottom w:val="none" w:sz="0" w:space="0" w:color="auto"/>
        <w:right w:val="none" w:sz="0" w:space="0" w:color="auto"/>
      </w:divBdr>
    </w:div>
    <w:div w:id="1488353959">
      <w:bodyDiv w:val="1"/>
      <w:marLeft w:val="0"/>
      <w:marRight w:val="0"/>
      <w:marTop w:val="0"/>
      <w:marBottom w:val="0"/>
      <w:divBdr>
        <w:top w:val="none" w:sz="0" w:space="0" w:color="auto"/>
        <w:left w:val="none" w:sz="0" w:space="0" w:color="auto"/>
        <w:bottom w:val="none" w:sz="0" w:space="0" w:color="auto"/>
        <w:right w:val="none" w:sz="0" w:space="0" w:color="auto"/>
      </w:divBdr>
    </w:div>
    <w:div w:id="1504972034">
      <w:bodyDiv w:val="1"/>
      <w:marLeft w:val="0"/>
      <w:marRight w:val="0"/>
      <w:marTop w:val="0"/>
      <w:marBottom w:val="0"/>
      <w:divBdr>
        <w:top w:val="none" w:sz="0" w:space="0" w:color="auto"/>
        <w:left w:val="none" w:sz="0" w:space="0" w:color="auto"/>
        <w:bottom w:val="none" w:sz="0" w:space="0" w:color="auto"/>
        <w:right w:val="none" w:sz="0" w:space="0" w:color="auto"/>
      </w:divBdr>
    </w:div>
    <w:div w:id="1509902166">
      <w:bodyDiv w:val="1"/>
      <w:marLeft w:val="0"/>
      <w:marRight w:val="0"/>
      <w:marTop w:val="0"/>
      <w:marBottom w:val="0"/>
      <w:divBdr>
        <w:top w:val="none" w:sz="0" w:space="0" w:color="auto"/>
        <w:left w:val="none" w:sz="0" w:space="0" w:color="auto"/>
        <w:bottom w:val="none" w:sz="0" w:space="0" w:color="auto"/>
        <w:right w:val="none" w:sz="0" w:space="0" w:color="auto"/>
      </w:divBdr>
    </w:div>
    <w:div w:id="1513302693">
      <w:bodyDiv w:val="1"/>
      <w:marLeft w:val="0"/>
      <w:marRight w:val="0"/>
      <w:marTop w:val="0"/>
      <w:marBottom w:val="0"/>
      <w:divBdr>
        <w:top w:val="none" w:sz="0" w:space="0" w:color="auto"/>
        <w:left w:val="none" w:sz="0" w:space="0" w:color="auto"/>
        <w:bottom w:val="none" w:sz="0" w:space="0" w:color="auto"/>
        <w:right w:val="none" w:sz="0" w:space="0" w:color="auto"/>
      </w:divBdr>
    </w:div>
    <w:div w:id="1517964476">
      <w:bodyDiv w:val="1"/>
      <w:marLeft w:val="0"/>
      <w:marRight w:val="0"/>
      <w:marTop w:val="0"/>
      <w:marBottom w:val="0"/>
      <w:divBdr>
        <w:top w:val="none" w:sz="0" w:space="0" w:color="auto"/>
        <w:left w:val="none" w:sz="0" w:space="0" w:color="auto"/>
        <w:bottom w:val="none" w:sz="0" w:space="0" w:color="auto"/>
        <w:right w:val="none" w:sz="0" w:space="0" w:color="auto"/>
      </w:divBdr>
    </w:div>
    <w:div w:id="1522551141">
      <w:bodyDiv w:val="1"/>
      <w:marLeft w:val="0"/>
      <w:marRight w:val="0"/>
      <w:marTop w:val="0"/>
      <w:marBottom w:val="0"/>
      <w:divBdr>
        <w:top w:val="none" w:sz="0" w:space="0" w:color="auto"/>
        <w:left w:val="none" w:sz="0" w:space="0" w:color="auto"/>
        <w:bottom w:val="none" w:sz="0" w:space="0" w:color="auto"/>
        <w:right w:val="none" w:sz="0" w:space="0" w:color="auto"/>
      </w:divBdr>
    </w:div>
    <w:div w:id="1523006111">
      <w:bodyDiv w:val="1"/>
      <w:marLeft w:val="0"/>
      <w:marRight w:val="0"/>
      <w:marTop w:val="0"/>
      <w:marBottom w:val="0"/>
      <w:divBdr>
        <w:top w:val="none" w:sz="0" w:space="0" w:color="auto"/>
        <w:left w:val="none" w:sz="0" w:space="0" w:color="auto"/>
        <w:bottom w:val="none" w:sz="0" w:space="0" w:color="auto"/>
        <w:right w:val="none" w:sz="0" w:space="0" w:color="auto"/>
      </w:divBdr>
    </w:div>
    <w:div w:id="1525749972">
      <w:bodyDiv w:val="1"/>
      <w:marLeft w:val="0"/>
      <w:marRight w:val="0"/>
      <w:marTop w:val="0"/>
      <w:marBottom w:val="0"/>
      <w:divBdr>
        <w:top w:val="none" w:sz="0" w:space="0" w:color="auto"/>
        <w:left w:val="none" w:sz="0" w:space="0" w:color="auto"/>
        <w:bottom w:val="none" w:sz="0" w:space="0" w:color="auto"/>
        <w:right w:val="none" w:sz="0" w:space="0" w:color="auto"/>
      </w:divBdr>
    </w:div>
    <w:div w:id="1526753209">
      <w:bodyDiv w:val="1"/>
      <w:marLeft w:val="0"/>
      <w:marRight w:val="0"/>
      <w:marTop w:val="0"/>
      <w:marBottom w:val="0"/>
      <w:divBdr>
        <w:top w:val="none" w:sz="0" w:space="0" w:color="auto"/>
        <w:left w:val="none" w:sz="0" w:space="0" w:color="auto"/>
        <w:bottom w:val="none" w:sz="0" w:space="0" w:color="auto"/>
        <w:right w:val="none" w:sz="0" w:space="0" w:color="auto"/>
      </w:divBdr>
    </w:div>
    <w:div w:id="1537738553">
      <w:bodyDiv w:val="1"/>
      <w:marLeft w:val="0"/>
      <w:marRight w:val="0"/>
      <w:marTop w:val="0"/>
      <w:marBottom w:val="0"/>
      <w:divBdr>
        <w:top w:val="none" w:sz="0" w:space="0" w:color="auto"/>
        <w:left w:val="none" w:sz="0" w:space="0" w:color="auto"/>
        <w:bottom w:val="none" w:sz="0" w:space="0" w:color="auto"/>
        <w:right w:val="none" w:sz="0" w:space="0" w:color="auto"/>
      </w:divBdr>
    </w:div>
    <w:div w:id="1539388184">
      <w:bodyDiv w:val="1"/>
      <w:marLeft w:val="0"/>
      <w:marRight w:val="0"/>
      <w:marTop w:val="0"/>
      <w:marBottom w:val="0"/>
      <w:divBdr>
        <w:top w:val="none" w:sz="0" w:space="0" w:color="auto"/>
        <w:left w:val="none" w:sz="0" w:space="0" w:color="auto"/>
        <w:bottom w:val="none" w:sz="0" w:space="0" w:color="auto"/>
        <w:right w:val="none" w:sz="0" w:space="0" w:color="auto"/>
      </w:divBdr>
    </w:div>
    <w:div w:id="1540975209">
      <w:bodyDiv w:val="1"/>
      <w:marLeft w:val="0"/>
      <w:marRight w:val="0"/>
      <w:marTop w:val="0"/>
      <w:marBottom w:val="0"/>
      <w:divBdr>
        <w:top w:val="none" w:sz="0" w:space="0" w:color="auto"/>
        <w:left w:val="none" w:sz="0" w:space="0" w:color="auto"/>
        <w:bottom w:val="none" w:sz="0" w:space="0" w:color="auto"/>
        <w:right w:val="none" w:sz="0" w:space="0" w:color="auto"/>
      </w:divBdr>
    </w:div>
    <w:div w:id="1541817415">
      <w:bodyDiv w:val="1"/>
      <w:marLeft w:val="0"/>
      <w:marRight w:val="0"/>
      <w:marTop w:val="0"/>
      <w:marBottom w:val="0"/>
      <w:divBdr>
        <w:top w:val="none" w:sz="0" w:space="0" w:color="auto"/>
        <w:left w:val="none" w:sz="0" w:space="0" w:color="auto"/>
        <w:bottom w:val="none" w:sz="0" w:space="0" w:color="auto"/>
        <w:right w:val="none" w:sz="0" w:space="0" w:color="auto"/>
      </w:divBdr>
    </w:div>
    <w:div w:id="1548569917">
      <w:bodyDiv w:val="1"/>
      <w:marLeft w:val="0"/>
      <w:marRight w:val="0"/>
      <w:marTop w:val="0"/>
      <w:marBottom w:val="0"/>
      <w:divBdr>
        <w:top w:val="none" w:sz="0" w:space="0" w:color="auto"/>
        <w:left w:val="none" w:sz="0" w:space="0" w:color="auto"/>
        <w:bottom w:val="none" w:sz="0" w:space="0" w:color="auto"/>
        <w:right w:val="none" w:sz="0" w:space="0" w:color="auto"/>
      </w:divBdr>
    </w:div>
    <w:div w:id="1555391354">
      <w:bodyDiv w:val="1"/>
      <w:marLeft w:val="0"/>
      <w:marRight w:val="0"/>
      <w:marTop w:val="0"/>
      <w:marBottom w:val="0"/>
      <w:divBdr>
        <w:top w:val="none" w:sz="0" w:space="0" w:color="auto"/>
        <w:left w:val="none" w:sz="0" w:space="0" w:color="auto"/>
        <w:bottom w:val="none" w:sz="0" w:space="0" w:color="auto"/>
        <w:right w:val="none" w:sz="0" w:space="0" w:color="auto"/>
      </w:divBdr>
    </w:div>
    <w:div w:id="1555893083">
      <w:bodyDiv w:val="1"/>
      <w:marLeft w:val="0"/>
      <w:marRight w:val="0"/>
      <w:marTop w:val="0"/>
      <w:marBottom w:val="0"/>
      <w:divBdr>
        <w:top w:val="none" w:sz="0" w:space="0" w:color="auto"/>
        <w:left w:val="none" w:sz="0" w:space="0" w:color="auto"/>
        <w:bottom w:val="none" w:sz="0" w:space="0" w:color="auto"/>
        <w:right w:val="none" w:sz="0" w:space="0" w:color="auto"/>
      </w:divBdr>
    </w:div>
    <w:div w:id="1560168037">
      <w:bodyDiv w:val="1"/>
      <w:marLeft w:val="0"/>
      <w:marRight w:val="0"/>
      <w:marTop w:val="0"/>
      <w:marBottom w:val="0"/>
      <w:divBdr>
        <w:top w:val="none" w:sz="0" w:space="0" w:color="auto"/>
        <w:left w:val="none" w:sz="0" w:space="0" w:color="auto"/>
        <w:bottom w:val="none" w:sz="0" w:space="0" w:color="auto"/>
        <w:right w:val="none" w:sz="0" w:space="0" w:color="auto"/>
      </w:divBdr>
    </w:div>
    <w:div w:id="1562249166">
      <w:bodyDiv w:val="1"/>
      <w:marLeft w:val="0"/>
      <w:marRight w:val="0"/>
      <w:marTop w:val="0"/>
      <w:marBottom w:val="0"/>
      <w:divBdr>
        <w:top w:val="none" w:sz="0" w:space="0" w:color="auto"/>
        <w:left w:val="none" w:sz="0" w:space="0" w:color="auto"/>
        <w:bottom w:val="none" w:sz="0" w:space="0" w:color="auto"/>
        <w:right w:val="none" w:sz="0" w:space="0" w:color="auto"/>
      </w:divBdr>
    </w:div>
    <w:div w:id="1562325050">
      <w:bodyDiv w:val="1"/>
      <w:marLeft w:val="0"/>
      <w:marRight w:val="0"/>
      <w:marTop w:val="0"/>
      <w:marBottom w:val="0"/>
      <w:divBdr>
        <w:top w:val="none" w:sz="0" w:space="0" w:color="auto"/>
        <w:left w:val="none" w:sz="0" w:space="0" w:color="auto"/>
        <w:bottom w:val="none" w:sz="0" w:space="0" w:color="auto"/>
        <w:right w:val="none" w:sz="0" w:space="0" w:color="auto"/>
      </w:divBdr>
    </w:div>
    <w:div w:id="1564677656">
      <w:bodyDiv w:val="1"/>
      <w:marLeft w:val="0"/>
      <w:marRight w:val="0"/>
      <w:marTop w:val="0"/>
      <w:marBottom w:val="0"/>
      <w:divBdr>
        <w:top w:val="none" w:sz="0" w:space="0" w:color="auto"/>
        <w:left w:val="none" w:sz="0" w:space="0" w:color="auto"/>
        <w:bottom w:val="none" w:sz="0" w:space="0" w:color="auto"/>
        <w:right w:val="none" w:sz="0" w:space="0" w:color="auto"/>
      </w:divBdr>
    </w:div>
    <w:div w:id="1568152370">
      <w:bodyDiv w:val="1"/>
      <w:marLeft w:val="0"/>
      <w:marRight w:val="0"/>
      <w:marTop w:val="0"/>
      <w:marBottom w:val="0"/>
      <w:divBdr>
        <w:top w:val="none" w:sz="0" w:space="0" w:color="auto"/>
        <w:left w:val="none" w:sz="0" w:space="0" w:color="auto"/>
        <w:bottom w:val="none" w:sz="0" w:space="0" w:color="auto"/>
        <w:right w:val="none" w:sz="0" w:space="0" w:color="auto"/>
      </w:divBdr>
    </w:div>
    <w:div w:id="1576742432">
      <w:bodyDiv w:val="1"/>
      <w:marLeft w:val="0"/>
      <w:marRight w:val="0"/>
      <w:marTop w:val="0"/>
      <w:marBottom w:val="0"/>
      <w:divBdr>
        <w:top w:val="none" w:sz="0" w:space="0" w:color="auto"/>
        <w:left w:val="none" w:sz="0" w:space="0" w:color="auto"/>
        <w:bottom w:val="none" w:sz="0" w:space="0" w:color="auto"/>
        <w:right w:val="none" w:sz="0" w:space="0" w:color="auto"/>
      </w:divBdr>
    </w:div>
    <w:div w:id="1577746140">
      <w:bodyDiv w:val="1"/>
      <w:marLeft w:val="0"/>
      <w:marRight w:val="0"/>
      <w:marTop w:val="0"/>
      <w:marBottom w:val="0"/>
      <w:divBdr>
        <w:top w:val="none" w:sz="0" w:space="0" w:color="auto"/>
        <w:left w:val="none" w:sz="0" w:space="0" w:color="auto"/>
        <w:bottom w:val="none" w:sz="0" w:space="0" w:color="auto"/>
        <w:right w:val="none" w:sz="0" w:space="0" w:color="auto"/>
      </w:divBdr>
    </w:div>
    <w:div w:id="1583635468">
      <w:bodyDiv w:val="1"/>
      <w:marLeft w:val="0"/>
      <w:marRight w:val="0"/>
      <w:marTop w:val="0"/>
      <w:marBottom w:val="0"/>
      <w:divBdr>
        <w:top w:val="none" w:sz="0" w:space="0" w:color="auto"/>
        <w:left w:val="none" w:sz="0" w:space="0" w:color="auto"/>
        <w:bottom w:val="none" w:sz="0" w:space="0" w:color="auto"/>
        <w:right w:val="none" w:sz="0" w:space="0" w:color="auto"/>
      </w:divBdr>
    </w:div>
    <w:div w:id="1584336894">
      <w:bodyDiv w:val="1"/>
      <w:marLeft w:val="0"/>
      <w:marRight w:val="0"/>
      <w:marTop w:val="0"/>
      <w:marBottom w:val="0"/>
      <w:divBdr>
        <w:top w:val="none" w:sz="0" w:space="0" w:color="auto"/>
        <w:left w:val="none" w:sz="0" w:space="0" w:color="auto"/>
        <w:bottom w:val="none" w:sz="0" w:space="0" w:color="auto"/>
        <w:right w:val="none" w:sz="0" w:space="0" w:color="auto"/>
      </w:divBdr>
    </w:div>
    <w:div w:id="1593276597">
      <w:bodyDiv w:val="1"/>
      <w:marLeft w:val="0"/>
      <w:marRight w:val="0"/>
      <w:marTop w:val="0"/>
      <w:marBottom w:val="0"/>
      <w:divBdr>
        <w:top w:val="none" w:sz="0" w:space="0" w:color="auto"/>
        <w:left w:val="none" w:sz="0" w:space="0" w:color="auto"/>
        <w:bottom w:val="none" w:sz="0" w:space="0" w:color="auto"/>
        <w:right w:val="none" w:sz="0" w:space="0" w:color="auto"/>
      </w:divBdr>
    </w:div>
    <w:div w:id="1595359502">
      <w:bodyDiv w:val="1"/>
      <w:marLeft w:val="0"/>
      <w:marRight w:val="0"/>
      <w:marTop w:val="0"/>
      <w:marBottom w:val="0"/>
      <w:divBdr>
        <w:top w:val="none" w:sz="0" w:space="0" w:color="auto"/>
        <w:left w:val="none" w:sz="0" w:space="0" w:color="auto"/>
        <w:bottom w:val="none" w:sz="0" w:space="0" w:color="auto"/>
        <w:right w:val="none" w:sz="0" w:space="0" w:color="auto"/>
      </w:divBdr>
    </w:div>
    <w:div w:id="1604995094">
      <w:bodyDiv w:val="1"/>
      <w:marLeft w:val="0"/>
      <w:marRight w:val="0"/>
      <w:marTop w:val="0"/>
      <w:marBottom w:val="0"/>
      <w:divBdr>
        <w:top w:val="none" w:sz="0" w:space="0" w:color="auto"/>
        <w:left w:val="none" w:sz="0" w:space="0" w:color="auto"/>
        <w:bottom w:val="none" w:sz="0" w:space="0" w:color="auto"/>
        <w:right w:val="none" w:sz="0" w:space="0" w:color="auto"/>
      </w:divBdr>
    </w:div>
    <w:div w:id="1636250138">
      <w:bodyDiv w:val="1"/>
      <w:marLeft w:val="0"/>
      <w:marRight w:val="0"/>
      <w:marTop w:val="0"/>
      <w:marBottom w:val="0"/>
      <w:divBdr>
        <w:top w:val="none" w:sz="0" w:space="0" w:color="auto"/>
        <w:left w:val="none" w:sz="0" w:space="0" w:color="auto"/>
        <w:bottom w:val="none" w:sz="0" w:space="0" w:color="auto"/>
        <w:right w:val="none" w:sz="0" w:space="0" w:color="auto"/>
      </w:divBdr>
    </w:div>
    <w:div w:id="1643002413">
      <w:bodyDiv w:val="1"/>
      <w:marLeft w:val="0"/>
      <w:marRight w:val="0"/>
      <w:marTop w:val="0"/>
      <w:marBottom w:val="0"/>
      <w:divBdr>
        <w:top w:val="none" w:sz="0" w:space="0" w:color="auto"/>
        <w:left w:val="none" w:sz="0" w:space="0" w:color="auto"/>
        <w:bottom w:val="none" w:sz="0" w:space="0" w:color="auto"/>
        <w:right w:val="none" w:sz="0" w:space="0" w:color="auto"/>
      </w:divBdr>
    </w:div>
    <w:div w:id="1644115140">
      <w:bodyDiv w:val="1"/>
      <w:marLeft w:val="0"/>
      <w:marRight w:val="0"/>
      <w:marTop w:val="0"/>
      <w:marBottom w:val="0"/>
      <w:divBdr>
        <w:top w:val="none" w:sz="0" w:space="0" w:color="auto"/>
        <w:left w:val="none" w:sz="0" w:space="0" w:color="auto"/>
        <w:bottom w:val="none" w:sz="0" w:space="0" w:color="auto"/>
        <w:right w:val="none" w:sz="0" w:space="0" w:color="auto"/>
      </w:divBdr>
    </w:div>
    <w:div w:id="1646011150">
      <w:bodyDiv w:val="1"/>
      <w:marLeft w:val="0"/>
      <w:marRight w:val="0"/>
      <w:marTop w:val="0"/>
      <w:marBottom w:val="0"/>
      <w:divBdr>
        <w:top w:val="none" w:sz="0" w:space="0" w:color="auto"/>
        <w:left w:val="none" w:sz="0" w:space="0" w:color="auto"/>
        <w:bottom w:val="none" w:sz="0" w:space="0" w:color="auto"/>
        <w:right w:val="none" w:sz="0" w:space="0" w:color="auto"/>
      </w:divBdr>
    </w:div>
    <w:div w:id="1646929215">
      <w:bodyDiv w:val="1"/>
      <w:marLeft w:val="0"/>
      <w:marRight w:val="0"/>
      <w:marTop w:val="0"/>
      <w:marBottom w:val="0"/>
      <w:divBdr>
        <w:top w:val="none" w:sz="0" w:space="0" w:color="auto"/>
        <w:left w:val="none" w:sz="0" w:space="0" w:color="auto"/>
        <w:bottom w:val="none" w:sz="0" w:space="0" w:color="auto"/>
        <w:right w:val="none" w:sz="0" w:space="0" w:color="auto"/>
      </w:divBdr>
    </w:div>
    <w:div w:id="1648899219">
      <w:bodyDiv w:val="1"/>
      <w:marLeft w:val="0"/>
      <w:marRight w:val="0"/>
      <w:marTop w:val="0"/>
      <w:marBottom w:val="0"/>
      <w:divBdr>
        <w:top w:val="none" w:sz="0" w:space="0" w:color="auto"/>
        <w:left w:val="none" w:sz="0" w:space="0" w:color="auto"/>
        <w:bottom w:val="none" w:sz="0" w:space="0" w:color="auto"/>
        <w:right w:val="none" w:sz="0" w:space="0" w:color="auto"/>
      </w:divBdr>
    </w:div>
    <w:div w:id="1659113078">
      <w:bodyDiv w:val="1"/>
      <w:marLeft w:val="0"/>
      <w:marRight w:val="0"/>
      <w:marTop w:val="0"/>
      <w:marBottom w:val="0"/>
      <w:divBdr>
        <w:top w:val="none" w:sz="0" w:space="0" w:color="auto"/>
        <w:left w:val="none" w:sz="0" w:space="0" w:color="auto"/>
        <w:bottom w:val="none" w:sz="0" w:space="0" w:color="auto"/>
        <w:right w:val="none" w:sz="0" w:space="0" w:color="auto"/>
      </w:divBdr>
    </w:div>
    <w:div w:id="1665008727">
      <w:bodyDiv w:val="1"/>
      <w:marLeft w:val="0"/>
      <w:marRight w:val="0"/>
      <w:marTop w:val="0"/>
      <w:marBottom w:val="0"/>
      <w:divBdr>
        <w:top w:val="none" w:sz="0" w:space="0" w:color="auto"/>
        <w:left w:val="none" w:sz="0" w:space="0" w:color="auto"/>
        <w:bottom w:val="none" w:sz="0" w:space="0" w:color="auto"/>
        <w:right w:val="none" w:sz="0" w:space="0" w:color="auto"/>
      </w:divBdr>
    </w:div>
    <w:div w:id="1672637600">
      <w:bodyDiv w:val="1"/>
      <w:marLeft w:val="0"/>
      <w:marRight w:val="0"/>
      <w:marTop w:val="0"/>
      <w:marBottom w:val="0"/>
      <w:divBdr>
        <w:top w:val="none" w:sz="0" w:space="0" w:color="auto"/>
        <w:left w:val="none" w:sz="0" w:space="0" w:color="auto"/>
        <w:bottom w:val="none" w:sz="0" w:space="0" w:color="auto"/>
        <w:right w:val="none" w:sz="0" w:space="0" w:color="auto"/>
      </w:divBdr>
    </w:div>
    <w:div w:id="1675523581">
      <w:bodyDiv w:val="1"/>
      <w:marLeft w:val="0"/>
      <w:marRight w:val="0"/>
      <w:marTop w:val="0"/>
      <w:marBottom w:val="0"/>
      <w:divBdr>
        <w:top w:val="none" w:sz="0" w:space="0" w:color="auto"/>
        <w:left w:val="none" w:sz="0" w:space="0" w:color="auto"/>
        <w:bottom w:val="none" w:sz="0" w:space="0" w:color="auto"/>
        <w:right w:val="none" w:sz="0" w:space="0" w:color="auto"/>
      </w:divBdr>
    </w:div>
    <w:div w:id="1682664518">
      <w:bodyDiv w:val="1"/>
      <w:marLeft w:val="0"/>
      <w:marRight w:val="0"/>
      <w:marTop w:val="0"/>
      <w:marBottom w:val="0"/>
      <w:divBdr>
        <w:top w:val="none" w:sz="0" w:space="0" w:color="auto"/>
        <w:left w:val="none" w:sz="0" w:space="0" w:color="auto"/>
        <w:bottom w:val="none" w:sz="0" w:space="0" w:color="auto"/>
        <w:right w:val="none" w:sz="0" w:space="0" w:color="auto"/>
      </w:divBdr>
    </w:div>
    <w:div w:id="1682850927">
      <w:bodyDiv w:val="1"/>
      <w:marLeft w:val="0"/>
      <w:marRight w:val="0"/>
      <w:marTop w:val="0"/>
      <w:marBottom w:val="0"/>
      <w:divBdr>
        <w:top w:val="none" w:sz="0" w:space="0" w:color="auto"/>
        <w:left w:val="none" w:sz="0" w:space="0" w:color="auto"/>
        <w:bottom w:val="none" w:sz="0" w:space="0" w:color="auto"/>
        <w:right w:val="none" w:sz="0" w:space="0" w:color="auto"/>
      </w:divBdr>
    </w:div>
    <w:div w:id="1686518500">
      <w:bodyDiv w:val="1"/>
      <w:marLeft w:val="0"/>
      <w:marRight w:val="0"/>
      <w:marTop w:val="0"/>
      <w:marBottom w:val="0"/>
      <w:divBdr>
        <w:top w:val="none" w:sz="0" w:space="0" w:color="auto"/>
        <w:left w:val="none" w:sz="0" w:space="0" w:color="auto"/>
        <w:bottom w:val="none" w:sz="0" w:space="0" w:color="auto"/>
        <w:right w:val="none" w:sz="0" w:space="0" w:color="auto"/>
      </w:divBdr>
    </w:div>
    <w:div w:id="1696692993">
      <w:bodyDiv w:val="1"/>
      <w:marLeft w:val="0"/>
      <w:marRight w:val="0"/>
      <w:marTop w:val="0"/>
      <w:marBottom w:val="0"/>
      <w:divBdr>
        <w:top w:val="none" w:sz="0" w:space="0" w:color="auto"/>
        <w:left w:val="none" w:sz="0" w:space="0" w:color="auto"/>
        <w:bottom w:val="none" w:sz="0" w:space="0" w:color="auto"/>
        <w:right w:val="none" w:sz="0" w:space="0" w:color="auto"/>
      </w:divBdr>
    </w:div>
    <w:div w:id="1722246995">
      <w:bodyDiv w:val="1"/>
      <w:marLeft w:val="0"/>
      <w:marRight w:val="0"/>
      <w:marTop w:val="0"/>
      <w:marBottom w:val="0"/>
      <w:divBdr>
        <w:top w:val="none" w:sz="0" w:space="0" w:color="auto"/>
        <w:left w:val="none" w:sz="0" w:space="0" w:color="auto"/>
        <w:bottom w:val="none" w:sz="0" w:space="0" w:color="auto"/>
        <w:right w:val="none" w:sz="0" w:space="0" w:color="auto"/>
      </w:divBdr>
    </w:div>
    <w:div w:id="1734430440">
      <w:bodyDiv w:val="1"/>
      <w:marLeft w:val="0"/>
      <w:marRight w:val="0"/>
      <w:marTop w:val="0"/>
      <w:marBottom w:val="0"/>
      <w:divBdr>
        <w:top w:val="none" w:sz="0" w:space="0" w:color="auto"/>
        <w:left w:val="none" w:sz="0" w:space="0" w:color="auto"/>
        <w:bottom w:val="none" w:sz="0" w:space="0" w:color="auto"/>
        <w:right w:val="none" w:sz="0" w:space="0" w:color="auto"/>
      </w:divBdr>
    </w:div>
    <w:div w:id="1743870006">
      <w:bodyDiv w:val="1"/>
      <w:marLeft w:val="0"/>
      <w:marRight w:val="0"/>
      <w:marTop w:val="0"/>
      <w:marBottom w:val="0"/>
      <w:divBdr>
        <w:top w:val="none" w:sz="0" w:space="0" w:color="auto"/>
        <w:left w:val="none" w:sz="0" w:space="0" w:color="auto"/>
        <w:bottom w:val="none" w:sz="0" w:space="0" w:color="auto"/>
        <w:right w:val="none" w:sz="0" w:space="0" w:color="auto"/>
      </w:divBdr>
    </w:div>
    <w:div w:id="1744377187">
      <w:bodyDiv w:val="1"/>
      <w:marLeft w:val="0"/>
      <w:marRight w:val="0"/>
      <w:marTop w:val="0"/>
      <w:marBottom w:val="0"/>
      <w:divBdr>
        <w:top w:val="none" w:sz="0" w:space="0" w:color="auto"/>
        <w:left w:val="none" w:sz="0" w:space="0" w:color="auto"/>
        <w:bottom w:val="none" w:sz="0" w:space="0" w:color="auto"/>
        <w:right w:val="none" w:sz="0" w:space="0" w:color="auto"/>
      </w:divBdr>
    </w:div>
    <w:div w:id="1756707533">
      <w:bodyDiv w:val="1"/>
      <w:marLeft w:val="0"/>
      <w:marRight w:val="0"/>
      <w:marTop w:val="0"/>
      <w:marBottom w:val="0"/>
      <w:divBdr>
        <w:top w:val="none" w:sz="0" w:space="0" w:color="auto"/>
        <w:left w:val="none" w:sz="0" w:space="0" w:color="auto"/>
        <w:bottom w:val="none" w:sz="0" w:space="0" w:color="auto"/>
        <w:right w:val="none" w:sz="0" w:space="0" w:color="auto"/>
      </w:divBdr>
    </w:div>
    <w:div w:id="1758356674">
      <w:bodyDiv w:val="1"/>
      <w:marLeft w:val="0"/>
      <w:marRight w:val="0"/>
      <w:marTop w:val="0"/>
      <w:marBottom w:val="0"/>
      <w:divBdr>
        <w:top w:val="none" w:sz="0" w:space="0" w:color="auto"/>
        <w:left w:val="none" w:sz="0" w:space="0" w:color="auto"/>
        <w:bottom w:val="none" w:sz="0" w:space="0" w:color="auto"/>
        <w:right w:val="none" w:sz="0" w:space="0" w:color="auto"/>
      </w:divBdr>
    </w:div>
    <w:div w:id="1764495990">
      <w:bodyDiv w:val="1"/>
      <w:marLeft w:val="0"/>
      <w:marRight w:val="0"/>
      <w:marTop w:val="0"/>
      <w:marBottom w:val="0"/>
      <w:divBdr>
        <w:top w:val="none" w:sz="0" w:space="0" w:color="auto"/>
        <w:left w:val="none" w:sz="0" w:space="0" w:color="auto"/>
        <w:bottom w:val="none" w:sz="0" w:space="0" w:color="auto"/>
        <w:right w:val="none" w:sz="0" w:space="0" w:color="auto"/>
      </w:divBdr>
    </w:div>
    <w:div w:id="1767312097">
      <w:bodyDiv w:val="1"/>
      <w:marLeft w:val="0"/>
      <w:marRight w:val="0"/>
      <w:marTop w:val="0"/>
      <w:marBottom w:val="0"/>
      <w:divBdr>
        <w:top w:val="none" w:sz="0" w:space="0" w:color="auto"/>
        <w:left w:val="none" w:sz="0" w:space="0" w:color="auto"/>
        <w:bottom w:val="none" w:sz="0" w:space="0" w:color="auto"/>
        <w:right w:val="none" w:sz="0" w:space="0" w:color="auto"/>
      </w:divBdr>
    </w:div>
    <w:div w:id="1772698115">
      <w:bodyDiv w:val="1"/>
      <w:marLeft w:val="0"/>
      <w:marRight w:val="0"/>
      <w:marTop w:val="0"/>
      <w:marBottom w:val="0"/>
      <w:divBdr>
        <w:top w:val="none" w:sz="0" w:space="0" w:color="auto"/>
        <w:left w:val="none" w:sz="0" w:space="0" w:color="auto"/>
        <w:bottom w:val="none" w:sz="0" w:space="0" w:color="auto"/>
        <w:right w:val="none" w:sz="0" w:space="0" w:color="auto"/>
      </w:divBdr>
    </w:div>
    <w:div w:id="1775782242">
      <w:bodyDiv w:val="1"/>
      <w:marLeft w:val="0"/>
      <w:marRight w:val="0"/>
      <w:marTop w:val="0"/>
      <w:marBottom w:val="0"/>
      <w:divBdr>
        <w:top w:val="none" w:sz="0" w:space="0" w:color="auto"/>
        <w:left w:val="none" w:sz="0" w:space="0" w:color="auto"/>
        <w:bottom w:val="none" w:sz="0" w:space="0" w:color="auto"/>
        <w:right w:val="none" w:sz="0" w:space="0" w:color="auto"/>
      </w:divBdr>
    </w:div>
    <w:div w:id="1776748682">
      <w:bodyDiv w:val="1"/>
      <w:marLeft w:val="0"/>
      <w:marRight w:val="0"/>
      <w:marTop w:val="0"/>
      <w:marBottom w:val="0"/>
      <w:divBdr>
        <w:top w:val="none" w:sz="0" w:space="0" w:color="auto"/>
        <w:left w:val="none" w:sz="0" w:space="0" w:color="auto"/>
        <w:bottom w:val="none" w:sz="0" w:space="0" w:color="auto"/>
        <w:right w:val="none" w:sz="0" w:space="0" w:color="auto"/>
      </w:divBdr>
    </w:div>
    <w:div w:id="1780837930">
      <w:bodyDiv w:val="1"/>
      <w:marLeft w:val="0"/>
      <w:marRight w:val="0"/>
      <w:marTop w:val="0"/>
      <w:marBottom w:val="0"/>
      <w:divBdr>
        <w:top w:val="none" w:sz="0" w:space="0" w:color="auto"/>
        <w:left w:val="none" w:sz="0" w:space="0" w:color="auto"/>
        <w:bottom w:val="none" w:sz="0" w:space="0" w:color="auto"/>
        <w:right w:val="none" w:sz="0" w:space="0" w:color="auto"/>
      </w:divBdr>
    </w:div>
    <w:div w:id="1782263380">
      <w:bodyDiv w:val="1"/>
      <w:marLeft w:val="0"/>
      <w:marRight w:val="0"/>
      <w:marTop w:val="0"/>
      <w:marBottom w:val="0"/>
      <w:divBdr>
        <w:top w:val="none" w:sz="0" w:space="0" w:color="auto"/>
        <w:left w:val="none" w:sz="0" w:space="0" w:color="auto"/>
        <w:bottom w:val="none" w:sz="0" w:space="0" w:color="auto"/>
        <w:right w:val="none" w:sz="0" w:space="0" w:color="auto"/>
      </w:divBdr>
    </w:div>
    <w:div w:id="1784688904">
      <w:bodyDiv w:val="1"/>
      <w:marLeft w:val="0"/>
      <w:marRight w:val="0"/>
      <w:marTop w:val="0"/>
      <w:marBottom w:val="0"/>
      <w:divBdr>
        <w:top w:val="none" w:sz="0" w:space="0" w:color="auto"/>
        <w:left w:val="none" w:sz="0" w:space="0" w:color="auto"/>
        <w:bottom w:val="none" w:sz="0" w:space="0" w:color="auto"/>
        <w:right w:val="none" w:sz="0" w:space="0" w:color="auto"/>
      </w:divBdr>
    </w:div>
    <w:div w:id="1800301669">
      <w:bodyDiv w:val="1"/>
      <w:marLeft w:val="0"/>
      <w:marRight w:val="0"/>
      <w:marTop w:val="0"/>
      <w:marBottom w:val="0"/>
      <w:divBdr>
        <w:top w:val="none" w:sz="0" w:space="0" w:color="auto"/>
        <w:left w:val="none" w:sz="0" w:space="0" w:color="auto"/>
        <w:bottom w:val="none" w:sz="0" w:space="0" w:color="auto"/>
        <w:right w:val="none" w:sz="0" w:space="0" w:color="auto"/>
      </w:divBdr>
    </w:div>
    <w:div w:id="1805390462">
      <w:bodyDiv w:val="1"/>
      <w:marLeft w:val="0"/>
      <w:marRight w:val="0"/>
      <w:marTop w:val="0"/>
      <w:marBottom w:val="0"/>
      <w:divBdr>
        <w:top w:val="none" w:sz="0" w:space="0" w:color="auto"/>
        <w:left w:val="none" w:sz="0" w:space="0" w:color="auto"/>
        <w:bottom w:val="none" w:sz="0" w:space="0" w:color="auto"/>
        <w:right w:val="none" w:sz="0" w:space="0" w:color="auto"/>
      </w:divBdr>
    </w:div>
    <w:div w:id="1805735903">
      <w:bodyDiv w:val="1"/>
      <w:marLeft w:val="0"/>
      <w:marRight w:val="0"/>
      <w:marTop w:val="0"/>
      <w:marBottom w:val="0"/>
      <w:divBdr>
        <w:top w:val="none" w:sz="0" w:space="0" w:color="auto"/>
        <w:left w:val="none" w:sz="0" w:space="0" w:color="auto"/>
        <w:bottom w:val="none" w:sz="0" w:space="0" w:color="auto"/>
        <w:right w:val="none" w:sz="0" w:space="0" w:color="auto"/>
      </w:divBdr>
    </w:div>
    <w:div w:id="1820537618">
      <w:bodyDiv w:val="1"/>
      <w:marLeft w:val="0"/>
      <w:marRight w:val="0"/>
      <w:marTop w:val="0"/>
      <w:marBottom w:val="0"/>
      <w:divBdr>
        <w:top w:val="none" w:sz="0" w:space="0" w:color="auto"/>
        <w:left w:val="none" w:sz="0" w:space="0" w:color="auto"/>
        <w:bottom w:val="none" w:sz="0" w:space="0" w:color="auto"/>
        <w:right w:val="none" w:sz="0" w:space="0" w:color="auto"/>
      </w:divBdr>
    </w:div>
    <w:div w:id="1825387532">
      <w:bodyDiv w:val="1"/>
      <w:marLeft w:val="0"/>
      <w:marRight w:val="0"/>
      <w:marTop w:val="0"/>
      <w:marBottom w:val="0"/>
      <w:divBdr>
        <w:top w:val="none" w:sz="0" w:space="0" w:color="auto"/>
        <w:left w:val="none" w:sz="0" w:space="0" w:color="auto"/>
        <w:bottom w:val="none" w:sz="0" w:space="0" w:color="auto"/>
        <w:right w:val="none" w:sz="0" w:space="0" w:color="auto"/>
      </w:divBdr>
    </w:div>
    <w:div w:id="1836921296">
      <w:bodyDiv w:val="1"/>
      <w:marLeft w:val="0"/>
      <w:marRight w:val="0"/>
      <w:marTop w:val="0"/>
      <w:marBottom w:val="0"/>
      <w:divBdr>
        <w:top w:val="none" w:sz="0" w:space="0" w:color="auto"/>
        <w:left w:val="none" w:sz="0" w:space="0" w:color="auto"/>
        <w:bottom w:val="none" w:sz="0" w:space="0" w:color="auto"/>
        <w:right w:val="none" w:sz="0" w:space="0" w:color="auto"/>
      </w:divBdr>
    </w:div>
    <w:div w:id="1838810767">
      <w:bodyDiv w:val="1"/>
      <w:marLeft w:val="0"/>
      <w:marRight w:val="0"/>
      <w:marTop w:val="0"/>
      <w:marBottom w:val="0"/>
      <w:divBdr>
        <w:top w:val="none" w:sz="0" w:space="0" w:color="auto"/>
        <w:left w:val="none" w:sz="0" w:space="0" w:color="auto"/>
        <w:bottom w:val="none" w:sz="0" w:space="0" w:color="auto"/>
        <w:right w:val="none" w:sz="0" w:space="0" w:color="auto"/>
      </w:divBdr>
    </w:div>
    <w:div w:id="1852333257">
      <w:bodyDiv w:val="1"/>
      <w:marLeft w:val="0"/>
      <w:marRight w:val="0"/>
      <w:marTop w:val="0"/>
      <w:marBottom w:val="0"/>
      <w:divBdr>
        <w:top w:val="none" w:sz="0" w:space="0" w:color="auto"/>
        <w:left w:val="none" w:sz="0" w:space="0" w:color="auto"/>
        <w:bottom w:val="none" w:sz="0" w:space="0" w:color="auto"/>
        <w:right w:val="none" w:sz="0" w:space="0" w:color="auto"/>
      </w:divBdr>
    </w:div>
    <w:div w:id="1854102407">
      <w:bodyDiv w:val="1"/>
      <w:marLeft w:val="0"/>
      <w:marRight w:val="0"/>
      <w:marTop w:val="0"/>
      <w:marBottom w:val="0"/>
      <w:divBdr>
        <w:top w:val="none" w:sz="0" w:space="0" w:color="auto"/>
        <w:left w:val="none" w:sz="0" w:space="0" w:color="auto"/>
        <w:bottom w:val="none" w:sz="0" w:space="0" w:color="auto"/>
        <w:right w:val="none" w:sz="0" w:space="0" w:color="auto"/>
      </w:divBdr>
    </w:div>
    <w:div w:id="1856994168">
      <w:bodyDiv w:val="1"/>
      <w:marLeft w:val="0"/>
      <w:marRight w:val="0"/>
      <w:marTop w:val="0"/>
      <w:marBottom w:val="0"/>
      <w:divBdr>
        <w:top w:val="none" w:sz="0" w:space="0" w:color="auto"/>
        <w:left w:val="none" w:sz="0" w:space="0" w:color="auto"/>
        <w:bottom w:val="none" w:sz="0" w:space="0" w:color="auto"/>
        <w:right w:val="none" w:sz="0" w:space="0" w:color="auto"/>
      </w:divBdr>
    </w:div>
    <w:div w:id="1858958773">
      <w:bodyDiv w:val="1"/>
      <w:marLeft w:val="0"/>
      <w:marRight w:val="0"/>
      <w:marTop w:val="0"/>
      <w:marBottom w:val="0"/>
      <w:divBdr>
        <w:top w:val="none" w:sz="0" w:space="0" w:color="auto"/>
        <w:left w:val="none" w:sz="0" w:space="0" w:color="auto"/>
        <w:bottom w:val="none" w:sz="0" w:space="0" w:color="auto"/>
        <w:right w:val="none" w:sz="0" w:space="0" w:color="auto"/>
      </w:divBdr>
    </w:div>
    <w:div w:id="1860310967">
      <w:bodyDiv w:val="1"/>
      <w:marLeft w:val="0"/>
      <w:marRight w:val="0"/>
      <w:marTop w:val="0"/>
      <w:marBottom w:val="0"/>
      <w:divBdr>
        <w:top w:val="none" w:sz="0" w:space="0" w:color="auto"/>
        <w:left w:val="none" w:sz="0" w:space="0" w:color="auto"/>
        <w:bottom w:val="none" w:sz="0" w:space="0" w:color="auto"/>
        <w:right w:val="none" w:sz="0" w:space="0" w:color="auto"/>
      </w:divBdr>
    </w:div>
    <w:div w:id="1862426146">
      <w:bodyDiv w:val="1"/>
      <w:marLeft w:val="0"/>
      <w:marRight w:val="0"/>
      <w:marTop w:val="0"/>
      <w:marBottom w:val="0"/>
      <w:divBdr>
        <w:top w:val="none" w:sz="0" w:space="0" w:color="auto"/>
        <w:left w:val="none" w:sz="0" w:space="0" w:color="auto"/>
        <w:bottom w:val="none" w:sz="0" w:space="0" w:color="auto"/>
        <w:right w:val="none" w:sz="0" w:space="0" w:color="auto"/>
      </w:divBdr>
    </w:div>
    <w:div w:id="1875464243">
      <w:bodyDiv w:val="1"/>
      <w:marLeft w:val="0"/>
      <w:marRight w:val="0"/>
      <w:marTop w:val="0"/>
      <w:marBottom w:val="0"/>
      <w:divBdr>
        <w:top w:val="none" w:sz="0" w:space="0" w:color="auto"/>
        <w:left w:val="none" w:sz="0" w:space="0" w:color="auto"/>
        <w:bottom w:val="none" w:sz="0" w:space="0" w:color="auto"/>
        <w:right w:val="none" w:sz="0" w:space="0" w:color="auto"/>
      </w:divBdr>
    </w:div>
    <w:div w:id="1878277920">
      <w:bodyDiv w:val="1"/>
      <w:marLeft w:val="0"/>
      <w:marRight w:val="0"/>
      <w:marTop w:val="0"/>
      <w:marBottom w:val="0"/>
      <w:divBdr>
        <w:top w:val="none" w:sz="0" w:space="0" w:color="auto"/>
        <w:left w:val="none" w:sz="0" w:space="0" w:color="auto"/>
        <w:bottom w:val="none" w:sz="0" w:space="0" w:color="auto"/>
        <w:right w:val="none" w:sz="0" w:space="0" w:color="auto"/>
      </w:divBdr>
    </w:div>
    <w:div w:id="1881749090">
      <w:bodyDiv w:val="1"/>
      <w:marLeft w:val="0"/>
      <w:marRight w:val="0"/>
      <w:marTop w:val="0"/>
      <w:marBottom w:val="0"/>
      <w:divBdr>
        <w:top w:val="none" w:sz="0" w:space="0" w:color="auto"/>
        <w:left w:val="none" w:sz="0" w:space="0" w:color="auto"/>
        <w:bottom w:val="none" w:sz="0" w:space="0" w:color="auto"/>
        <w:right w:val="none" w:sz="0" w:space="0" w:color="auto"/>
      </w:divBdr>
    </w:div>
    <w:div w:id="1885093469">
      <w:bodyDiv w:val="1"/>
      <w:marLeft w:val="0"/>
      <w:marRight w:val="0"/>
      <w:marTop w:val="0"/>
      <w:marBottom w:val="0"/>
      <w:divBdr>
        <w:top w:val="none" w:sz="0" w:space="0" w:color="auto"/>
        <w:left w:val="none" w:sz="0" w:space="0" w:color="auto"/>
        <w:bottom w:val="none" w:sz="0" w:space="0" w:color="auto"/>
        <w:right w:val="none" w:sz="0" w:space="0" w:color="auto"/>
      </w:divBdr>
    </w:div>
    <w:div w:id="1895702016">
      <w:bodyDiv w:val="1"/>
      <w:marLeft w:val="0"/>
      <w:marRight w:val="0"/>
      <w:marTop w:val="0"/>
      <w:marBottom w:val="0"/>
      <w:divBdr>
        <w:top w:val="none" w:sz="0" w:space="0" w:color="auto"/>
        <w:left w:val="none" w:sz="0" w:space="0" w:color="auto"/>
        <w:bottom w:val="none" w:sz="0" w:space="0" w:color="auto"/>
        <w:right w:val="none" w:sz="0" w:space="0" w:color="auto"/>
      </w:divBdr>
    </w:div>
    <w:div w:id="1902520906">
      <w:bodyDiv w:val="1"/>
      <w:marLeft w:val="0"/>
      <w:marRight w:val="0"/>
      <w:marTop w:val="0"/>
      <w:marBottom w:val="0"/>
      <w:divBdr>
        <w:top w:val="none" w:sz="0" w:space="0" w:color="auto"/>
        <w:left w:val="none" w:sz="0" w:space="0" w:color="auto"/>
        <w:bottom w:val="none" w:sz="0" w:space="0" w:color="auto"/>
        <w:right w:val="none" w:sz="0" w:space="0" w:color="auto"/>
      </w:divBdr>
    </w:div>
    <w:div w:id="1928152409">
      <w:bodyDiv w:val="1"/>
      <w:marLeft w:val="0"/>
      <w:marRight w:val="0"/>
      <w:marTop w:val="0"/>
      <w:marBottom w:val="0"/>
      <w:divBdr>
        <w:top w:val="none" w:sz="0" w:space="0" w:color="auto"/>
        <w:left w:val="none" w:sz="0" w:space="0" w:color="auto"/>
        <w:bottom w:val="none" w:sz="0" w:space="0" w:color="auto"/>
        <w:right w:val="none" w:sz="0" w:space="0" w:color="auto"/>
      </w:divBdr>
    </w:div>
    <w:div w:id="1929540627">
      <w:bodyDiv w:val="1"/>
      <w:marLeft w:val="0"/>
      <w:marRight w:val="0"/>
      <w:marTop w:val="0"/>
      <w:marBottom w:val="0"/>
      <w:divBdr>
        <w:top w:val="none" w:sz="0" w:space="0" w:color="auto"/>
        <w:left w:val="none" w:sz="0" w:space="0" w:color="auto"/>
        <w:bottom w:val="none" w:sz="0" w:space="0" w:color="auto"/>
        <w:right w:val="none" w:sz="0" w:space="0" w:color="auto"/>
      </w:divBdr>
    </w:div>
    <w:div w:id="1945335741">
      <w:bodyDiv w:val="1"/>
      <w:marLeft w:val="0"/>
      <w:marRight w:val="0"/>
      <w:marTop w:val="0"/>
      <w:marBottom w:val="0"/>
      <w:divBdr>
        <w:top w:val="none" w:sz="0" w:space="0" w:color="auto"/>
        <w:left w:val="none" w:sz="0" w:space="0" w:color="auto"/>
        <w:bottom w:val="none" w:sz="0" w:space="0" w:color="auto"/>
        <w:right w:val="none" w:sz="0" w:space="0" w:color="auto"/>
      </w:divBdr>
    </w:div>
    <w:div w:id="1946619016">
      <w:bodyDiv w:val="1"/>
      <w:marLeft w:val="0"/>
      <w:marRight w:val="0"/>
      <w:marTop w:val="0"/>
      <w:marBottom w:val="0"/>
      <w:divBdr>
        <w:top w:val="none" w:sz="0" w:space="0" w:color="auto"/>
        <w:left w:val="none" w:sz="0" w:space="0" w:color="auto"/>
        <w:bottom w:val="none" w:sz="0" w:space="0" w:color="auto"/>
        <w:right w:val="none" w:sz="0" w:space="0" w:color="auto"/>
      </w:divBdr>
    </w:div>
    <w:div w:id="1947158078">
      <w:bodyDiv w:val="1"/>
      <w:marLeft w:val="0"/>
      <w:marRight w:val="0"/>
      <w:marTop w:val="0"/>
      <w:marBottom w:val="0"/>
      <w:divBdr>
        <w:top w:val="none" w:sz="0" w:space="0" w:color="auto"/>
        <w:left w:val="none" w:sz="0" w:space="0" w:color="auto"/>
        <w:bottom w:val="none" w:sz="0" w:space="0" w:color="auto"/>
        <w:right w:val="none" w:sz="0" w:space="0" w:color="auto"/>
      </w:divBdr>
    </w:div>
    <w:div w:id="1955167184">
      <w:bodyDiv w:val="1"/>
      <w:marLeft w:val="0"/>
      <w:marRight w:val="0"/>
      <w:marTop w:val="0"/>
      <w:marBottom w:val="0"/>
      <w:divBdr>
        <w:top w:val="none" w:sz="0" w:space="0" w:color="auto"/>
        <w:left w:val="none" w:sz="0" w:space="0" w:color="auto"/>
        <w:bottom w:val="none" w:sz="0" w:space="0" w:color="auto"/>
        <w:right w:val="none" w:sz="0" w:space="0" w:color="auto"/>
      </w:divBdr>
    </w:div>
    <w:div w:id="1955817898">
      <w:bodyDiv w:val="1"/>
      <w:marLeft w:val="0"/>
      <w:marRight w:val="0"/>
      <w:marTop w:val="0"/>
      <w:marBottom w:val="0"/>
      <w:divBdr>
        <w:top w:val="none" w:sz="0" w:space="0" w:color="auto"/>
        <w:left w:val="none" w:sz="0" w:space="0" w:color="auto"/>
        <w:bottom w:val="none" w:sz="0" w:space="0" w:color="auto"/>
        <w:right w:val="none" w:sz="0" w:space="0" w:color="auto"/>
      </w:divBdr>
    </w:div>
    <w:div w:id="1956055911">
      <w:bodyDiv w:val="1"/>
      <w:marLeft w:val="0"/>
      <w:marRight w:val="0"/>
      <w:marTop w:val="0"/>
      <w:marBottom w:val="0"/>
      <w:divBdr>
        <w:top w:val="none" w:sz="0" w:space="0" w:color="auto"/>
        <w:left w:val="none" w:sz="0" w:space="0" w:color="auto"/>
        <w:bottom w:val="none" w:sz="0" w:space="0" w:color="auto"/>
        <w:right w:val="none" w:sz="0" w:space="0" w:color="auto"/>
      </w:divBdr>
    </w:div>
    <w:div w:id="1958829908">
      <w:bodyDiv w:val="1"/>
      <w:marLeft w:val="0"/>
      <w:marRight w:val="0"/>
      <w:marTop w:val="0"/>
      <w:marBottom w:val="0"/>
      <w:divBdr>
        <w:top w:val="none" w:sz="0" w:space="0" w:color="auto"/>
        <w:left w:val="none" w:sz="0" w:space="0" w:color="auto"/>
        <w:bottom w:val="none" w:sz="0" w:space="0" w:color="auto"/>
        <w:right w:val="none" w:sz="0" w:space="0" w:color="auto"/>
      </w:divBdr>
    </w:div>
    <w:div w:id="1959139035">
      <w:bodyDiv w:val="1"/>
      <w:marLeft w:val="0"/>
      <w:marRight w:val="0"/>
      <w:marTop w:val="0"/>
      <w:marBottom w:val="0"/>
      <w:divBdr>
        <w:top w:val="none" w:sz="0" w:space="0" w:color="auto"/>
        <w:left w:val="none" w:sz="0" w:space="0" w:color="auto"/>
        <w:bottom w:val="none" w:sz="0" w:space="0" w:color="auto"/>
        <w:right w:val="none" w:sz="0" w:space="0" w:color="auto"/>
      </w:divBdr>
    </w:div>
    <w:div w:id="1970014107">
      <w:bodyDiv w:val="1"/>
      <w:marLeft w:val="0"/>
      <w:marRight w:val="0"/>
      <w:marTop w:val="0"/>
      <w:marBottom w:val="0"/>
      <w:divBdr>
        <w:top w:val="none" w:sz="0" w:space="0" w:color="auto"/>
        <w:left w:val="none" w:sz="0" w:space="0" w:color="auto"/>
        <w:bottom w:val="none" w:sz="0" w:space="0" w:color="auto"/>
        <w:right w:val="none" w:sz="0" w:space="0" w:color="auto"/>
      </w:divBdr>
    </w:div>
    <w:div w:id="1973710404">
      <w:bodyDiv w:val="1"/>
      <w:marLeft w:val="0"/>
      <w:marRight w:val="0"/>
      <w:marTop w:val="0"/>
      <w:marBottom w:val="0"/>
      <w:divBdr>
        <w:top w:val="none" w:sz="0" w:space="0" w:color="auto"/>
        <w:left w:val="none" w:sz="0" w:space="0" w:color="auto"/>
        <w:bottom w:val="none" w:sz="0" w:space="0" w:color="auto"/>
        <w:right w:val="none" w:sz="0" w:space="0" w:color="auto"/>
      </w:divBdr>
    </w:div>
    <w:div w:id="1978804333">
      <w:bodyDiv w:val="1"/>
      <w:marLeft w:val="0"/>
      <w:marRight w:val="0"/>
      <w:marTop w:val="0"/>
      <w:marBottom w:val="0"/>
      <w:divBdr>
        <w:top w:val="none" w:sz="0" w:space="0" w:color="auto"/>
        <w:left w:val="none" w:sz="0" w:space="0" w:color="auto"/>
        <w:bottom w:val="none" w:sz="0" w:space="0" w:color="auto"/>
        <w:right w:val="none" w:sz="0" w:space="0" w:color="auto"/>
      </w:divBdr>
    </w:div>
    <w:div w:id="1979528984">
      <w:bodyDiv w:val="1"/>
      <w:marLeft w:val="0"/>
      <w:marRight w:val="0"/>
      <w:marTop w:val="0"/>
      <w:marBottom w:val="0"/>
      <w:divBdr>
        <w:top w:val="none" w:sz="0" w:space="0" w:color="auto"/>
        <w:left w:val="none" w:sz="0" w:space="0" w:color="auto"/>
        <w:bottom w:val="none" w:sz="0" w:space="0" w:color="auto"/>
        <w:right w:val="none" w:sz="0" w:space="0" w:color="auto"/>
      </w:divBdr>
    </w:div>
    <w:div w:id="1982805376">
      <w:bodyDiv w:val="1"/>
      <w:marLeft w:val="0"/>
      <w:marRight w:val="0"/>
      <w:marTop w:val="0"/>
      <w:marBottom w:val="0"/>
      <w:divBdr>
        <w:top w:val="none" w:sz="0" w:space="0" w:color="auto"/>
        <w:left w:val="none" w:sz="0" w:space="0" w:color="auto"/>
        <w:bottom w:val="none" w:sz="0" w:space="0" w:color="auto"/>
        <w:right w:val="none" w:sz="0" w:space="0" w:color="auto"/>
      </w:divBdr>
    </w:div>
    <w:div w:id="1985965765">
      <w:bodyDiv w:val="1"/>
      <w:marLeft w:val="0"/>
      <w:marRight w:val="0"/>
      <w:marTop w:val="0"/>
      <w:marBottom w:val="0"/>
      <w:divBdr>
        <w:top w:val="none" w:sz="0" w:space="0" w:color="auto"/>
        <w:left w:val="none" w:sz="0" w:space="0" w:color="auto"/>
        <w:bottom w:val="none" w:sz="0" w:space="0" w:color="auto"/>
        <w:right w:val="none" w:sz="0" w:space="0" w:color="auto"/>
      </w:divBdr>
    </w:div>
    <w:div w:id="1990087935">
      <w:bodyDiv w:val="1"/>
      <w:marLeft w:val="0"/>
      <w:marRight w:val="0"/>
      <w:marTop w:val="0"/>
      <w:marBottom w:val="0"/>
      <w:divBdr>
        <w:top w:val="none" w:sz="0" w:space="0" w:color="auto"/>
        <w:left w:val="none" w:sz="0" w:space="0" w:color="auto"/>
        <w:bottom w:val="none" w:sz="0" w:space="0" w:color="auto"/>
        <w:right w:val="none" w:sz="0" w:space="0" w:color="auto"/>
      </w:divBdr>
    </w:div>
    <w:div w:id="2002152112">
      <w:bodyDiv w:val="1"/>
      <w:marLeft w:val="0"/>
      <w:marRight w:val="0"/>
      <w:marTop w:val="0"/>
      <w:marBottom w:val="0"/>
      <w:divBdr>
        <w:top w:val="none" w:sz="0" w:space="0" w:color="auto"/>
        <w:left w:val="none" w:sz="0" w:space="0" w:color="auto"/>
        <w:bottom w:val="none" w:sz="0" w:space="0" w:color="auto"/>
        <w:right w:val="none" w:sz="0" w:space="0" w:color="auto"/>
      </w:divBdr>
    </w:div>
    <w:div w:id="2007660257">
      <w:bodyDiv w:val="1"/>
      <w:marLeft w:val="0"/>
      <w:marRight w:val="0"/>
      <w:marTop w:val="0"/>
      <w:marBottom w:val="0"/>
      <w:divBdr>
        <w:top w:val="none" w:sz="0" w:space="0" w:color="auto"/>
        <w:left w:val="none" w:sz="0" w:space="0" w:color="auto"/>
        <w:bottom w:val="none" w:sz="0" w:space="0" w:color="auto"/>
        <w:right w:val="none" w:sz="0" w:space="0" w:color="auto"/>
      </w:divBdr>
    </w:div>
    <w:div w:id="2016806685">
      <w:bodyDiv w:val="1"/>
      <w:marLeft w:val="0"/>
      <w:marRight w:val="0"/>
      <w:marTop w:val="0"/>
      <w:marBottom w:val="0"/>
      <w:divBdr>
        <w:top w:val="none" w:sz="0" w:space="0" w:color="auto"/>
        <w:left w:val="none" w:sz="0" w:space="0" w:color="auto"/>
        <w:bottom w:val="none" w:sz="0" w:space="0" w:color="auto"/>
        <w:right w:val="none" w:sz="0" w:space="0" w:color="auto"/>
      </w:divBdr>
    </w:div>
    <w:div w:id="2017491420">
      <w:bodyDiv w:val="1"/>
      <w:marLeft w:val="0"/>
      <w:marRight w:val="0"/>
      <w:marTop w:val="0"/>
      <w:marBottom w:val="0"/>
      <w:divBdr>
        <w:top w:val="none" w:sz="0" w:space="0" w:color="auto"/>
        <w:left w:val="none" w:sz="0" w:space="0" w:color="auto"/>
        <w:bottom w:val="none" w:sz="0" w:space="0" w:color="auto"/>
        <w:right w:val="none" w:sz="0" w:space="0" w:color="auto"/>
      </w:divBdr>
    </w:div>
    <w:div w:id="2020348937">
      <w:bodyDiv w:val="1"/>
      <w:marLeft w:val="0"/>
      <w:marRight w:val="0"/>
      <w:marTop w:val="0"/>
      <w:marBottom w:val="0"/>
      <w:divBdr>
        <w:top w:val="none" w:sz="0" w:space="0" w:color="auto"/>
        <w:left w:val="none" w:sz="0" w:space="0" w:color="auto"/>
        <w:bottom w:val="none" w:sz="0" w:space="0" w:color="auto"/>
        <w:right w:val="none" w:sz="0" w:space="0" w:color="auto"/>
      </w:divBdr>
    </w:div>
    <w:div w:id="2020765479">
      <w:bodyDiv w:val="1"/>
      <w:marLeft w:val="0"/>
      <w:marRight w:val="0"/>
      <w:marTop w:val="0"/>
      <w:marBottom w:val="0"/>
      <w:divBdr>
        <w:top w:val="none" w:sz="0" w:space="0" w:color="auto"/>
        <w:left w:val="none" w:sz="0" w:space="0" w:color="auto"/>
        <w:bottom w:val="none" w:sz="0" w:space="0" w:color="auto"/>
        <w:right w:val="none" w:sz="0" w:space="0" w:color="auto"/>
      </w:divBdr>
    </w:div>
    <w:div w:id="2022078011">
      <w:bodyDiv w:val="1"/>
      <w:marLeft w:val="0"/>
      <w:marRight w:val="0"/>
      <w:marTop w:val="0"/>
      <w:marBottom w:val="0"/>
      <w:divBdr>
        <w:top w:val="none" w:sz="0" w:space="0" w:color="auto"/>
        <w:left w:val="none" w:sz="0" w:space="0" w:color="auto"/>
        <w:bottom w:val="none" w:sz="0" w:space="0" w:color="auto"/>
        <w:right w:val="none" w:sz="0" w:space="0" w:color="auto"/>
      </w:divBdr>
    </w:div>
    <w:div w:id="2022585036">
      <w:bodyDiv w:val="1"/>
      <w:marLeft w:val="0"/>
      <w:marRight w:val="0"/>
      <w:marTop w:val="0"/>
      <w:marBottom w:val="0"/>
      <w:divBdr>
        <w:top w:val="none" w:sz="0" w:space="0" w:color="auto"/>
        <w:left w:val="none" w:sz="0" w:space="0" w:color="auto"/>
        <w:bottom w:val="none" w:sz="0" w:space="0" w:color="auto"/>
        <w:right w:val="none" w:sz="0" w:space="0" w:color="auto"/>
      </w:divBdr>
    </w:div>
    <w:div w:id="2024818047">
      <w:bodyDiv w:val="1"/>
      <w:marLeft w:val="0"/>
      <w:marRight w:val="0"/>
      <w:marTop w:val="0"/>
      <w:marBottom w:val="0"/>
      <w:divBdr>
        <w:top w:val="none" w:sz="0" w:space="0" w:color="auto"/>
        <w:left w:val="none" w:sz="0" w:space="0" w:color="auto"/>
        <w:bottom w:val="none" w:sz="0" w:space="0" w:color="auto"/>
        <w:right w:val="none" w:sz="0" w:space="0" w:color="auto"/>
      </w:divBdr>
    </w:div>
    <w:div w:id="2028098441">
      <w:bodyDiv w:val="1"/>
      <w:marLeft w:val="0"/>
      <w:marRight w:val="0"/>
      <w:marTop w:val="0"/>
      <w:marBottom w:val="0"/>
      <w:divBdr>
        <w:top w:val="none" w:sz="0" w:space="0" w:color="auto"/>
        <w:left w:val="none" w:sz="0" w:space="0" w:color="auto"/>
        <w:bottom w:val="none" w:sz="0" w:space="0" w:color="auto"/>
        <w:right w:val="none" w:sz="0" w:space="0" w:color="auto"/>
      </w:divBdr>
    </w:div>
    <w:div w:id="2028673600">
      <w:bodyDiv w:val="1"/>
      <w:marLeft w:val="0"/>
      <w:marRight w:val="0"/>
      <w:marTop w:val="0"/>
      <w:marBottom w:val="0"/>
      <w:divBdr>
        <w:top w:val="none" w:sz="0" w:space="0" w:color="auto"/>
        <w:left w:val="none" w:sz="0" w:space="0" w:color="auto"/>
        <w:bottom w:val="none" w:sz="0" w:space="0" w:color="auto"/>
        <w:right w:val="none" w:sz="0" w:space="0" w:color="auto"/>
      </w:divBdr>
    </w:div>
    <w:div w:id="2043750353">
      <w:bodyDiv w:val="1"/>
      <w:marLeft w:val="0"/>
      <w:marRight w:val="0"/>
      <w:marTop w:val="0"/>
      <w:marBottom w:val="0"/>
      <w:divBdr>
        <w:top w:val="none" w:sz="0" w:space="0" w:color="auto"/>
        <w:left w:val="none" w:sz="0" w:space="0" w:color="auto"/>
        <w:bottom w:val="none" w:sz="0" w:space="0" w:color="auto"/>
        <w:right w:val="none" w:sz="0" w:space="0" w:color="auto"/>
      </w:divBdr>
    </w:div>
    <w:div w:id="2060666954">
      <w:bodyDiv w:val="1"/>
      <w:marLeft w:val="0"/>
      <w:marRight w:val="0"/>
      <w:marTop w:val="0"/>
      <w:marBottom w:val="0"/>
      <w:divBdr>
        <w:top w:val="none" w:sz="0" w:space="0" w:color="auto"/>
        <w:left w:val="none" w:sz="0" w:space="0" w:color="auto"/>
        <w:bottom w:val="none" w:sz="0" w:space="0" w:color="auto"/>
        <w:right w:val="none" w:sz="0" w:space="0" w:color="auto"/>
      </w:divBdr>
    </w:div>
    <w:div w:id="2071731682">
      <w:bodyDiv w:val="1"/>
      <w:marLeft w:val="0"/>
      <w:marRight w:val="0"/>
      <w:marTop w:val="0"/>
      <w:marBottom w:val="0"/>
      <w:divBdr>
        <w:top w:val="none" w:sz="0" w:space="0" w:color="auto"/>
        <w:left w:val="none" w:sz="0" w:space="0" w:color="auto"/>
        <w:bottom w:val="none" w:sz="0" w:space="0" w:color="auto"/>
        <w:right w:val="none" w:sz="0" w:space="0" w:color="auto"/>
      </w:divBdr>
    </w:div>
    <w:div w:id="2072652664">
      <w:bodyDiv w:val="1"/>
      <w:marLeft w:val="0"/>
      <w:marRight w:val="0"/>
      <w:marTop w:val="0"/>
      <w:marBottom w:val="0"/>
      <w:divBdr>
        <w:top w:val="none" w:sz="0" w:space="0" w:color="auto"/>
        <w:left w:val="none" w:sz="0" w:space="0" w:color="auto"/>
        <w:bottom w:val="none" w:sz="0" w:space="0" w:color="auto"/>
        <w:right w:val="none" w:sz="0" w:space="0" w:color="auto"/>
      </w:divBdr>
    </w:div>
    <w:div w:id="2075078793">
      <w:bodyDiv w:val="1"/>
      <w:marLeft w:val="0"/>
      <w:marRight w:val="0"/>
      <w:marTop w:val="0"/>
      <w:marBottom w:val="0"/>
      <w:divBdr>
        <w:top w:val="none" w:sz="0" w:space="0" w:color="auto"/>
        <w:left w:val="none" w:sz="0" w:space="0" w:color="auto"/>
        <w:bottom w:val="none" w:sz="0" w:space="0" w:color="auto"/>
        <w:right w:val="none" w:sz="0" w:space="0" w:color="auto"/>
      </w:divBdr>
    </w:div>
    <w:div w:id="2078436197">
      <w:bodyDiv w:val="1"/>
      <w:marLeft w:val="0"/>
      <w:marRight w:val="0"/>
      <w:marTop w:val="0"/>
      <w:marBottom w:val="0"/>
      <w:divBdr>
        <w:top w:val="none" w:sz="0" w:space="0" w:color="auto"/>
        <w:left w:val="none" w:sz="0" w:space="0" w:color="auto"/>
        <w:bottom w:val="none" w:sz="0" w:space="0" w:color="auto"/>
        <w:right w:val="none" w:sz="0" w:space="0" w:color="auto"/>
      </w:divBdr>
    </w:div>
    <w:div w:id="2089224970">
      <w:bodyDiv w:val="1"/>
      <w:marLeft w:val="0"/>
      <w:marRight w:val="0"/>
      <w:marTop w:val="0"/>
      <w:marBottom w:val="0"/>
      <w:divBdr>
        <w:top w:val="none" w:sz="0" w:space="0" w:color="auto"/>
        <w:left w:val="none" w:sz="0" w:space="0" w:color="auto"/>
        <w:bottom w:val="none" w:sz="0" w:space="0" w:color="auto"/>
        <w:right w:val="none" w:sz="0" w:space="0" w:color="auto"/>
      </w:divBdr>
    </w:div>
    <w:div w:id="2099401630">
      <w:bodyDiv w:val="1"/>
      <w:marLeft w:val="0"/>
      <w:marRight w:val="0"/>
      <w:marTop w:val="0"/>
      <w:marBottom w:val="0"/>
      <w:divBdr>
        <w:top w:val="none" w:sz="0" w:space="0" w:color="auto"/>
        <w:left w:val="none" w:sz="0" w:space="0" w:color="auto"/>
        <w:bottom w:val="none" w:sz="0" w:space="0" w:color="auto"/>
        <w:right w:val="none" w:sz="0" w:space="0" w:color="auto"/>
      </w:divBdr>
    </w:div>
    <w:div w:id="2100173179">
      <w:bodyDiv w:val="1"/>
      <w:marLeft w:val="0"/>
      <w:marRight w:val="0"/>
      <w:marTop w:val="0"/>
      <w:marBottom w:val="0"/>
      <w:divBdr>
        <w:top w:val="none" w:sz="0" w:space="0" w:color="auto"/>
        <w:left w:val="none" w:sz="0" w:space="0" w:color="auto"/>
        <w:bottom w:val="none" w:sz="0" w:space="0" w:color="auto"/>
        <w:right w:val="none" w:sz="0" w:space="0" w:color="auto"/>
      </w:divBdr>
    </w:div>
    <w:div w:id="2103839241">
      <w:bodyDiv w:val="1"/>
      <w:marLeft w:val="0"/>
      <w:marRight w:val="0"/>
      <w:marTop w:val="0"/>
      <w:marBottom w:val="0"/>
      <w:divBdr>
        <w:top w:val="none" w:sz="0" w:space="0" w:color="auto"/>
        <w:left w:val="none" w:sz="0" w:space="0" w:color="auto"/>
        <w:bottom w:val="none" w:sz="0" w:space="0" w:color="auto"/>
        <w:right w:val="none" w:sz="0" w:space="0" w:color="auto"/>
      </w:divBdr>
    </w:div>
    <w:div w:id="2105495688">
      <w:bodyDiv w:val="1"/>
      <w:marLeft w:val="0"/>
      <w:marRight w:val="0"/>
      <w:marTop w:val="0"/>
      <w:marBottom w:val="0"/>
      <w:divBdr>
        <w:top w:val="none" w:sz="0" w:space="0" w:color="auto"/>
        <w:left w:val="none" w:sz="0" w:space="0" w:color="auto"/>
        <w:bottom w:val="none" w:sz="0" w:space="0" w:color="auto"/>
        <w:right w:val="none" w:sz="0" w:space="0" w:color="auto"/>
      </w:divBdr>
    </w:div>
    <w:div w:id="2138453394">
      <w:bodyDiv w:val="1"/>
      <w:marLeft w:val="0"/>
      <w:marRight w:val="0"/>
      <w:marTop w:val="0"/>
      <w:marBottom w:val="0"/>
      <w:divBdr>
        <w:top w:val="none" w:sz="0" w:space="0" w:color="auto"/>
        <w:left w:val="none" w:sz="0" w:space="0" w:color="auto"/>
        <w:bottom w:val="none" w:sz="0" w:space="0" w:color="auto"/>
        <w:right w:val="none" w:sz="0" w:space="0" w:color="auto"/>
      </w:divBdr>
    </w:div>
    <w:div w:id="2141142649">
      <w:bodyDiv w:val="1"/>
      <w:marLeft w:val="0"/>
      <w:marRight w:val="0"/>
      <w:marTop w:val="0"/>
      <w:marBottom w:val="0"/>
      <w:divBdr>
        <w:top w:val="none" w:sz="0" w:space="0" w:color="auto"/>
        <w:left w:val="none" w:sz="0" w:space="0" w:color="auto"/>
        <w:bottom w:val="none" w:sz="0" w:space="0" w:color="auto"/>
        <w:right w:val="none" w:sz="0" w:space="0" w:color="auto"/>
      </w:divBdr>
    </w:div>
    <w:div w:id="2141603923">
      <w:bodyDiv w:val="1"/>
      <w:marLeft w:val="0"/>
      <w:marRight w:val="0"/>
      <w:marTop w:val="0"/>
      <w:marBottom w:val="0"/>
      <w:divBdr>
        <w:top w:val="none" w:sz="0" w:space="0" w:color="auto"/>
        <w:left w:val="none" w:sz="0" w:space="0" w:color="auto"/>
        <w:bottom w:val="none" w:sz="0" w:space="0" w:color="auto"/>
        <w:right w:val="none" w:sz="0" w:space="0" w:color="auto"/>
      </w:divBdr>
    </w:div>
    <w:div w:id="2143424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diagramQuickStyle" Target="diagrams/quickStyle1.xml"/><Relationship Id="rId50"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diagramLayout" Target="diagrams/layout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diagramData" Target="diagrams/data1.xml"/><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header" Target="header5.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diagramColors" Target="diagrams/colors1.xml"/><Relationship Id="rId8" Type="http://schemas.openxmlformats.org/officeDocument/2006/relationships/endnotes" Target="endnotes.xml"/><Relationship Id="rId51" Type="http://schemas.openxmlformats.org/officeDocument/2006/relationships/image" Target="media/image31.png"/></Relationships>
</file>

<file path=word/_rels/footnotes.xml.rels><?xml version="1.0" encoding="UTF-8" standalone="yes"?>
<Relationships xmlns="http://schemas.openxmlformats.org/package/2006/relationships"><Relationship Id="rId1" Type="http://schemas.openxmlformats.org/officeDocument/2006/relationships/hyperlink" Target="https://worldpopulationreview.com/countries/bangladesh-populatio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3E640A-3848-47BA-81B9-B34508FB181A}" type="doc">
      <dgm:prSet loTypeId="urn:microsoft.com/office/officeart/2005/8/layout/orgChart1#1" loCatId="hierarchy" qsTypeId="urn:microsoft.com/office/officeart/2005/8/quickstyle/simple1" qsCatId="simple" csTypeId="urn:microsoft.com/office/officeart/2005/8/colors/accent1_2" csCatId="accent1" phldr="1"/>
      <dgm:spPr/>
      <dgm:t>
        <a:bodyPr/>
        <a:lstStyle/>
        <a:p>
          <a:endParaRPr lang="en-US"/>
        </a:p>
      </dgm:t>
    </dgm:pt>
    <dgm:pt modelId="{4571EA84-01AC-4D93-B56B-196DCDA5614D}">
      <dgm:prSet custT="1"/>
      <dgm:spPr>
        <a:solidFill>
          <a:schemeClr val="bg1"/>
        </a:solidFill>
        <a:ln w="25400">
          <a:solidFill>
            <a:srgbClr val="FF0000"/>
          </a:solidFill>
        </a:ln>
      </dgm:spPr>
      <dgm:t>
        <a:bodyPr anchor="ctr" anchorCtr="0"/>
        <a:lstStyle/>
        <a:p>
          <a:pPr algn="ctr"/>
          <a:r>
            <a:rPr lang="en-US" sz="500" b="1" baseline="0" dirty="0">
              <a:solidFill>
                <a:schemeClr val="tx1"/>
              </a:solidFill>
              <a:latin typeface="Calibri" panose="020F0502020204030204" pitchFamily="34" charset="0"/>
            </a:rPr>
            <a:t>A2</a:t>
          </a:r>
        </a:p>
        <a:p>
          <a:pPr algn="ctr"/>
          <a:r>
            <a:rPr lang="en-US" sz="500" b="1" baseline="0" dirty="0">
              <a:solidFill>
                <a:schemeClr val="tx1"/>
              </a:solidFill>
              <a:latin typeface="Calibri" panose="020F0502020204030204" pitchFamily="34" charset="0"/>
            </a:rPr>
            <a:t>Uptake of immunization services</a:t>
          </a:r>
        </a:p>
      </dgm:t>
    </dgm:pt>
    <dgm:pt modelId="{A6B29782-02C3-489A-B989-D022B918E818}" type="parTrans" cxnId="{8084FFE3-CB70-45E8-BFC2-E7DA240E8827}">
      <dgm:prSet/>
      <dgm:spPr>
        <a:ln w="3175">
          <a:solidFill>
            <a:srgbClr val="FF0000"/>
          </a:solidFill>
        </a:ln>
      </dgm:spPr>
      <dgm:t>
        <a:bodyPr/>
        <a:lstStyle/>
        <a:p>
          <a:pPr algn="ctr"/>
          <a:endParaRPr lang="en-US" sz="500">
            <a:solidFill>
              <a:schemeClr val="tx1"/>
            </a:solidFill>
          </a:endParaRPr>
        </a:p>
      </dgm:t>
    </dgm:pt>
    <dgm:pt modelId="{556C3310-FF9B-47C5-BE2E-3674AC3BEE0E}" type="sibTrans" cxnId="{8084FFE3-CB70-45E8-BFC2-E7DA240E8827}">
      <dgm:prSet/>
      <dgm:spPr/>
      <dgm:t>
        <a:bodyPr/>
        <a:lstStyle/>
        <a:p>
          <a:pPr algn="ctr"/>
          <a:endParaRPr lang="en-US" sz="1200">
            <a:solidFill>
              <a:schemeClr val="tx1"/>
            </a:solidFill>
          </a:endParaRPr>
        </a:p>
      </dgm:t>
    </dgm:pt>
    <dgm:pt modelId="{1A8A40EF-8DAF-4F95-A8A8-9EDC60EFF261}">
      <dgm:prSet custT="1"/>
      <dgm:spPr>
        <a:solidFill>
          <a:schemeClr val="bg1"/>
        </a:solidFill>
        <a:ln w="25400">
          <a:solidFill>
            <a:srgbClr val="7030A0"/>
          </a:solidFill>
        </a:ln>
      </dgm:spPr>
      <dgm:t>
        <a:bodyPr/>
        <a:lstStyle/>
        <a:p>
          <a:pPr algn="ctr"/>
          <a:r>
            <a:rPr lang="en-US" sz="500" b="0" baseline="0" dirty="0">
              <a:solidFill>
                <a:schemeClr val="tx1"/>
              </a:solidFill>
              <a:latin typeface="Calibri" panose="020F0502020204030204" pitchFamily="34" charset="0"/>
            </a:rPr>
            <a:t>A2.1</a:t>
          </a:r>
        </a:p>
        <a:p>
          <a:pPr algn="ctr"/>
          <a:r>
            <a:rPr lang="en-US" sz="500" b="0" baseline="0" dirty="0">
              <a:solidFill>
                <a:schemeClr val="tx1"/>
              </a:solidFill>
              <a:latin typeface="Calibri" panose="020F0502020204030204" pitchFamily="34" charset="0"/>
            </a:rPr>
            <a:t>Demand for vaccination in the low performing communities</a:t>
          </a:r>
        </a:p>
      </dgm:t>
    </dgm:pt>
    <dgm:pt modelId="{9BDBF31B-5B9C-421E-A0AC-87C28A91D8A3}" type="parTrans" cxnId="{7DBC9531-FF6F-4A03-9D80-120E6963535F}">
      <dgm:prSet/>
      <dgm:spPr>
        <a:ln w="1270">
          <a:solidFill>
            <a:srgbClr val="FF0000"/>
          </a:solidFill>
        </a:ln>
      </dgm:spPr>
      <dgm:t>
        <a:bodyPr/>
        <a:lstStyle/>
        <a:p>
          <a:pPr algn="ctr"/>
          <a:endParaRPr lang="en-US" sz="500">
            <a:solidFill>
              <a:schemeClr val="tx1"/>
            </a:solidFill>
            <a:latin typeface="Calibri" panose="020F0502020204030204" pitchFamily="34" charset="0"/>
          </a:endParaRPr>
        </a:p>
      </dgm:t>
    </dgm:pt>
    <dgm:pt modelId="{64261DEB-17BB-457F-AA56-241C6D62CEED}" type="sibTrans" cxnId="{7DBC9531-FF6F-4A03-9D80-120E6963535F}">
      <dgm:prSet/>
      <dgm:spPr/>
      <dgm:t>
        <a:bodyPr/>
        <a:lstStyle/>
        <a:p>
          <a:pPr algn="ctr"/>
          <a:endParaRPr lang="en-US" sz="1200">
            <a:solidFill>
              <a:schemeClr val="tx1"/>
            </a:solidFill>
          </a:endParaRPr>
        </a:p>
      </dgm:t>
    </dgm:pt>
    <dgm:pt modelId="{4508D32A-1C7C-481C-B519-CAECB39B3DB0}">
      <dgm:prSet custT="1"/>
      <dgm:spPr>
        <a:solidFill>
          <a:schemeClr val="accent1">
            <a:lumMod val="20000"/>
            <a:lumOff val="80000"/>
          </a:schemeClr>
        </a:solidFill>
        <a:ln w="25400">
          <a:solidFill>
            <a:schemeClr val="accent1">
              <a:lumMod val="50000"/>
            </a:schemeClr>
          </a:solidFill>
        </a:ln>
      </dgm:spPr>
      <dgm:t>
        <a:bodyPr/>
        <a:lstStyle/>
        <a:p>
          <a:pPr algn="ctr"/>
          <a:r>
            <a:rPr lang="en-US" sz="500" b="1" baseline="0">
              <a:solidFill>
                <a:schemeClr val="tx1"/>
              </a:solidFill>
              <a:latin typeface="Calibri" panose="020F0502020204030204" pitchFamily="34" charset="0"/>
            </a:rPr>
            <a:t>A</a:t>
          </a:r>
        </a:p>
        <a:p>
          <a:pPr algn="ctr"/>
          <a:r>
            <a:rPr lang="en-US" sz="700" b="1" baseline="0">
              <a:solidFill>
                <a:schemeClr val="tx1"/>
              </a:solidFill>
              <a:latin typeface="Calibri" panose="020F0502020204030204" pitchFamily="34" charset="0"/>
            </a:rPr>
            <a:t>Maintenance of High Covarage Rates in all Areas of the Country</a:t>
          </a:r>
        </a:p>
      </dgm:t>
    </dgm:pt>
    <dgm:pt modelId="{080B188F-966B-47EB-83DB-96BA06850321}" type="parTrans" cxnId="{176414FB-C391-4C6E-AD20-1009E82C7133}">
      <dgm:prSet/>
      <dgm:spPr>
        <a:ln w="1270"/>
      </dgm:spPr>
      <dgm:t>
        <a:bodyPr/>
        <a:lstStyle/>
        <a:p>
          <a:pPr algn="ctr"/>
          <a:endParaRPr lang="en-US" sz="500">
            <a:solidFill>
              <a:schemeClr val="tx1"/>
            </a:solidFill>
          </a:endParaRPr>
        </a:p>
      </dgm:t>
    </dgm:pt>
    <dgm:pt modelId="{7CF9235C-673C-414B-A839-1C80F929E7A5}" type="sibTrans" cxnId="{176414FB-C391-4C6E-AD20-1009E82C7133}">
      <dgm:prSet/>
      <dgm:spPr/>
      <dgm:t>
        <a:bodyPr/>
        <a:lstStyle/>
        <a:p>
          <a:pPr algn="ctr"/>
          <a:endParaRPr lang="en-US">
            <a:solidFill>
              <a:schemeClr val="tx1"/>
            </a:solidFill>
          </a:endParaRPr>
        </a:p>
      </dgm:t>
    </dgm:pt>
    <dgm:pt modelId="{F45CD80F-ED6A-4D88-8BC9-801A30FB53FD}">
      <dgm:prSet custT="1"/>
      <dgm:spPr>
        <a:solidFill>
          <a:srgbClr val="FF0000">
            <a:alpha val="41000"/>
          </a:srgbClr>
        </a:solidFill>
        <a:ln w="25400">
          <a:solidFill>
            <a:srgbClr val="FF0000"/>
          </a:solidFill>
        </a:ln>
      </dgm:spPr>
      <dgm:t>
        <a:bodyPr/>
        <a:lstStyle/>
        <a:p>
          <a:pPr algn="ctr"/>
          <a:r>
            <a:rPr lang="en-US" sz="700" b="1" baseline="0">
              <a:solidFill>
                <a:schemeClr val="tx1"/>
              </a:solidFill>
            </a:rPr>
            <a:t>SUSTAINED PROTECTION OF POPULATION AGAINST VPD</a:t>
          </a:r>
        </a:p>
      </dgm:t>
    </dgm:pt>
    <dgm:pt modelId="{3F7DAE45-1368-4FF0-80E3-0BA10AEC7DA8}" type="parTrans" cxnId="{708B4E18-786F-4174-BD7F-D081634AAEB4}">
      <dgm:prSet/>
      <dgm:spPr/>
      <dgm:t>
        <a:bodyPr/>
        <a:lstStyle/>
        <a:p>
          <a:pPr algn="ctr"/>
          <a:endParaRPr lang="en-US">
            <a:solidFill>
              <a:schemeClr val="tx1"/>
            </a:solidFill>
          </a:endParaRPr>
        </a:p>
      </dgm:t>
    </dgm:pt>
    <dgm:pt modelId="{D2CBA259-4F25-41A9-9BC6-3868118CF017}" type="sibTrans" cxnId="{708B4E18-786F-4174-BD7F-D081634AAEB4}">
      <dgm:prSet/>
      <dgm:spPr/>
      <dgm:t>
        <a:bodyPr/>
        <a:lstStyle/>
        <a:p>
          <a:pPr algn="ctr"/>
          <a:endParaRPr lang="en-US">
            <a:solidFill>
              <a:schemeClr val="tx1"/>
            </a:solidFill>
          </a:endParaRPr>
        </a:p>
      </dgm:t>
    </dgm:pt>
    <dgm:pt modelId="{B423AFE7-FB2C-42C8-8B41-47A08D8883D4}">
      <dgm:prSet custT="1"/>
      <dgm:spPr>
        <a:solidFill>
          <a:schemeClr val="bg1"/>
        </a:solidFill>
        <a:ln w="25400">
          <a:solidFill>
            <a:schemeClr val="accent1">
              <a:lumMod val="75000"/>
            </a:schemeClr>
          </a:solidFill>
        </a:ln>
      </dgm:spPr>
      <dgm:t>
        <a:bodyPr/>
        <a:lstStyle/>
        <a:p>
          <a:r>
            <a:rPr lang="en-US" sz="500">
              <a:solidFill>
                <a:schemeClr val="tx1"/>
              </a:solidFill>
            </a:rPr>
            <a:t>A.1.1</a:t>
          </a:r>
        </a:p>
        <a:p>
          <a:r>
            <a:rPr lang="en-US" sz="500">
              <a:solidFill>
                <a:schemeClr val="tx1"/>
              </a:solidFill>
            </a:rPr>
            <a:t>Valid RI vaccination rate</a:t>
          </a:r>
        </a:p>
      </dgm:t>
    </dgm:pt>
    <dgm:pt modelId="{B2A1ED79-49F8-462B-9137-D253BF3E38F8}" type="parTrans" cxnId="{A5ADB429-4996-4B1E-939A-2C8BEC1C98D9}">
      <dgm:prSet/>
      <dgm:spPr>
        <a:ln w="1270">
          <a:solidFill>
            <a:schemeClr val="accent1">
              <a:lumMod val="75000"/>
            </a:schemeClr>
          </a:solidFill>
        </a:ln>
      </dgm:spPr>
      <dgm:t>
        <a:bodyPr/>
        <a:lstStyle/>
        <a:p>
          <a:endParaRPr lang="en-US" sz="500"/>
        </a:p>
      </dgm:t>
    </dgm:pt>
    <dgm:pt modelId="{102EE7DE-4BB4-4089-9D72-26460768A27E}" type="sibTrans" cxnId="{A5ADB429-4996-4B1E-939A-2C8BEC1C98D9}">
      <dgm:prSet/>
      <dgm:spPr/>
      <dgm:t>
        <a:bodyPr/>
        <a:lstStyle/>
        <a:p>
          <a:endParaRPr lang="en-US"/>
        </a:p>
      </dgm:t>
    </dgm:pt>
    <dgm:pt modelId="{C86C3F81-DC2B-40F7-A432-AF7D0F5C364F}">
      <dgm:prSet custT="1"/>
      <dgm:spPr>
        <a:solidFill>
          <a:schemeClr val="bg1"/>
        </a:solidFill>
        <a:ln w="25400">
          <a:solidFill>
            <a:srgbClr val="FF0000"/>
          </a:solidFill>
        </a:ln>
      </dgm:spPr>
      <dgm:t>
        <a:bodyPr/>
        <a:lstStyle/>
        <a:p>
          <a:r>
            <a:rPr lang="en-US" sz="500">
              <a:solidFill>
                <a:schemeClr val="tx1"/>
              </a:solidFill>
            </a:rPr>
            <a:t>A.1.2 Reporting and recording systems</a:t>
          </a:r>
        </a:p>
      </dgm:t>
    </dgm:pt>
    <dgm:pt modelId="{BDFACBE3-21D8-48CA-9400-A8A1E6AE0BC4}" type="parTrans" cxnId="{99AEFDE7-8307-4719-BBF3-A08B5CA3D048}">
      <dgm:prSet/>
      <dgm:spPr>
        <a:ln w="1270">
          <a:solidFill>
            <a:srgbClr val="FF0000"/>
          </a:solidFill>
        </a:ln>
      </dgm:spPr>
      <dgm:t>
        <a:bodyPr/>
        <a:lstStyle/>
        <a:p>
          <a:endParaRPr lang="en-US" sz="500"/>
        </a:p>
      </dgm:t>
    </dgm:pt>
    <dgm:pt modelId="{7DEDABBA-9050-4493-93E9-CDC55B839424}" type="sibTrans" cxnId="{99AEFDE7-8307-4719-BBF3-A08B5CA3D048}">
      <dgm:prSet/>
      <dgm:spPr/>
      <dgm:t>
        <a:bodyPr/>
        <a:lstStyle/>
        <a:p>
          <a:endParaRPr lang="en-US"/>
        </a:p>
      </dgm:t>
    </dgm:pt>
    <dgm:pt modelId="{9A638245-AB7F-442D-B1BF-C0761A9B9C5F}">
      <dgm:prSet custT="1"/>
      <dgm:spPr>
        <a:solidFill>
          <a:schemeClr val="bg1"/>
        </a:solidFill>
        <a:ln w="25400">
          <a:solidFill>
            <a:schemeClr val="accent1">
              <a:lumMod val="75000"/>
            </a:schemeClr>
          </a:solidFill>
        </a:ln>
      </dgm:spPr>
      <dgm:t>
        <a:bodyPr/>
        <a:lstStyle/>
        <a:p>
          <a:r>
            <a:rPr lang="en-US" sz="500" b="1">
              <a:solidFill>
                <a:schemeClr val="tx1"/>
              </a:solidFill>
            </a:rPr>
            <a:t>A.1</a:t>
          </a:r>
        </a:p>
        <a:p>
          <a:r>
            <a:rPr lang="en-US" sz="500" b="1">
              <a:solidFill>
                <a:schemeClr val="tx1"/>
              </a:solidFill>
            </a:rPr>
            <a:t>Missed opportunities for Vaccination</a:t>
          </a:r>
        </a:p>
      </dgm:t>
    </dgm:pt>
    <dgm:pt modelId="{1E92EF3D-3CEC-4CD8-B396-0F2A2D536F44}" type="sibTrans" cxnId="{6F96DA01-FC74-4ED2-B367-3EF85818A0D5}">
      <dgm:prSet/>
      <dgm:spPr/>
      <dgm:t>
        <a:bodyPr/>
        <a:lstStyle/>
        <a:p>
          <a:endParaRPr lang="en-US"/>
        </a:p>
      </dgm:t>
    </dgm:pt>
    <dgm:pt modelId="{CA234379-E00F-451C-8A89-3B8A823C1DCA}" type="parTrans" cxnId="{6F96DA01-FC74-4ED2-B367-3EF85818A0D5}">
      <dgm:prSet/>
      <dgm:spPr>
        <a:ln w="1270">
          <a:solidFill>
            <a:schemeClr val="accent1">
              <a:lumMod val="75000"/>
            </a:schemeClr>
          </a:solidFill>
        </a:ln>
      </dgm:spPr>
      <dgm:t>
        <a:bodyPr/>
        <a:lstStyle/>
        <a:p>
          <a:endParaRPr lang="en-US" sz="500"/>
        </a:p>
      </dgm:t>
    </dgm:pt>
    <dgm:pt modelId="{0F9F4A7E-DA2C-426C-B383-0DD87DE18415}">
      <dgm:prSet custT="1"/>
      <dgm:spPr>
        <a:solidFill>
          <a:schemeClr val="bg1"/>
        </a:solidFill>
        <a:ln w="25400">
          <a:solidFill>
            <a:schemeClr val="accent6">
              <a:lumMod val="75000"/>
            </a:schemeClr>
          </a:solidFill>
        </a:ln>
      </dgm:spPr>
      <dgm:t>
        <a:bodyPr/>
        <a:lstStyle/>
        <a:p>
          <a:r>
            <a:rPr lang="en-US" sz="500" b="0" baseline="0" dirty="0">
              <a:solidFill>
                <a:schemeClr val="tx1"/>
              </a:solidFill>
              <a:latin typeface="Calibri" panose="020F0502020204030204" pitchFamily="34" charset="0"/>
            </a:rPr>
            <a:t>A2.2</a:t>
          </a:r>
        </a:p>
        <a:p>
          <a:r>
            <a:rPr lang="en-US" sz="500" b="0" baseline="0" dirty="0">
              <a:solidFill>
                <a:schemeClr val="tx1"/>
              </a:solidFill>
              <a:latin typeface="Calibri" panose="020F0502020204030204" pitchFamily="34" charset="0"/>
            </a:rPr>
            <a:t>Barriers for vaccination</a:t>
          </a:r>
        </a:p>
      </dgm:t>
    </dgm:pt>
    <dgm:pt modelId="{EF3BF389-5649-42E5-B1A0-8CB8CDBD636A}" type="parTrans" cxnId="{E50C907D-00D9-46D1-B5DF-5871D94B5974}">
      <dgm:prSet/>
      <dgm:spPr>
        <a:ln w="1270">
          <a:solidFill>
            <a:schemeClr val="accent6">
              <a:lumMod val="75000"/>
            </a:schemeClr>
          </a:solidFill>
        </a:ln>
      </dgm:spPr>
      <dgm:t>
        <a:bodyPr/>
        <a:lstStyle/>
        <a:p>
          <a:endParaRPr lang="en-US" sz="500"/>
        </a:p>
      </dgm:t>
    </dgm:pt>
    <dgm:pt modelId="{C3BE0B67-FAEB-4697-8E0C-162B95F1737D}" type="sibTrans" cxnId="{E50C907D-00D9-46D1-B5DF-5871D94B5974}">
      <dgm:prSet/>
      <dgm:spPr/>
      <dgm:t>
        <a:bodyPr/>
        <a:lstStyle/>
        <a:p>
          <a:endParaRPr lang="en-US"/>
        </a:p>
      </dgm:t>
    </dgm:pt>
    <dgm:pt modelId="{048FF3A5-23F8-44FA-B8F5-99D5398474A8}">
      <dgm:prSet custT="1"/>
      <dgm:spPr>
        <a:solidFill>
          <a:schemeClr val="bg1"/>
        </a:solidFill>
        <a:ln w="25400">
          <a:solidFill>
            <a:schemeClr val="accent6">
              <a:lumMod val="75000"/>
            </a:schemeClr>
          </a:solidFill>
        </a:ln>
      </dgm:spPr>
      <dgm:t>
        <a:bodyPr/>
        <a:lstStyle/>
        <a:p>
          <a:r>
            <a:rPr lang="en-US" sz="500">
              <a:solidFill>
                <a:schemeClr val="tx1"/>
              </a:solidFill>
            </a:rPr>
            <a:t>A.2.2.1</a:t>
          </a:r>
        </a:p>
        <a:p>
          <a:r>
            <a:rPr lang="en-US" sz="500" b="0" baseline="0" dirty="0">
              <a:solidFill>
                <a:schemeClr val="tx1"/>
              </a:solidFill>
              <a:latin typeface="Calibri" panose="020F0502020204030204" pitchFamily="34" charset="0"/>
            </a:rPr>
            <a:t>Mobile and outreach service delivery in urban areas</a:t>
          </a:r>
          <a:endParaRPr lang="en-US" sz="500">
            <a:solidFill>
              <a:schemeClr val="tx1"/>
            </a:solidFill>
          </a:endParaRPr>
        </a:p>
      </dgm:t>
    </dgm:pt>
    <dgm:pt modelId="{7B30B2CC-09D3-46B9-96F4-F2E8195D5557}" type="parTrans" cxnId="{5DA71F58-B3C1-45BA-B869-3B093EC017A4}">
      <dgm:prSet/>
      <dgm:spPr>
        <a:ln w="1270">
          <a:solidFill>
            <a:schemeClr val="accent6">
              <a:lumMod val="75000"/>
            </a:schemeClr>
          </a:solidFill>
        </a:ln>
      </dgm:spPr>
      <dgm:t>
        <a:bodyPr/>
        <a:lstStyle/>
        <a:p>
          <a:endParaRPr lang="en-US" sz="500"/>
        </a:p>
      </dgm:t>
    </dgm:pt>
    <dgm:pt modelId="{F9B98007-3C13-4CD4-9144-B062DBADF8A6}" type="sibTrans" cxnId="{5DA71F58-B3C1-45BA-B869-3B093EC017A4}">
      <dgm:prSet/>
      <dgm:spPr/>
      <dgm:t>
        <a:bodyPr/>
        <a:lstStyle/>
        <a:p>
          <a:endParaRPr lang="en-US"/>
        </a:p>
      </dgm:t>
    </dgm:pt>
    <dgm:pt modelId="{69F1C45B-4215-4300-9ED2-6B8D3C5324FB}">
      <dgm:prSet custT="1"/>
      <dgm:spPr>
        <a:solidFill>
          <a:schemeClr val="bg1"/>
        </a:solidFill>
        <a:ln w="25400">
          <a:solidFill>
            <a:schemeClr val="accent6">
              <a:lumMod val="75000"/>
            </a:schemeClr>
          </a:solidFill>
        </a:ln>
      </dgm:spPr>
      <dgm:t>
        <a:bodyPr/>
        <a:lstStyle/>
        <a:p>
          <a:r>
            <a:rPr lang="en-US" sz="500">
              <a:solidFill>
                <a:schemeClr val="tx1"/>
              </a:solidFill>
            </a:rPr>
            <a:t>A.2.2.2</a:t>
          </a:r>
        </a:p>
        <a:p>
          <a:r>
            <a:rPr lang="en-US" sz="500" b="0" baseline="0" dirty="0">
              <a:solidFill>
                <a:schemeClr val="tx1"/>
              </a:solidFill>
              <a:latin typeface="Calibri" panose="020F0502020204030204" pitchFamily="34" charset="0"/>
            </a:rPr>
            <a:t>Effective strategies for covering urban and hard-to-reach areasA</a:t>
          </a:r>
          <a:endParaRPr lang="en-US" sz="500">
            <a:solidFill>
              <a:schemeClr val="tx1"/>
            </a:solidFill>
          </a:endParaRPr>
        </a:p>
      </dgm:t>
    </dgm:pt>
    <dgm:pt modelId="{1EEE020F-231A-441F-93AD-26A36345B786}" type="parTrans" cxnId="{3A3E53C6-BE84-4BEE-AF89-84CB679550E3}">
      <dgm:prSet/>
      <dgm:spPr>
        <a:ln w="1270">
          <a:solidFill>
            <a:schemeClr val="accent6">
              <a:lumMod val="75000"/>
            </a:schemeClr>
          </a:solidFill>
        </a:ln>
      </dgm:spPr>
      <dgm:t>
        <a:bodyPr/>
        <a:lstStyle/>
        <a:p>
          <a:endParaRPr lang="en-US" sz="500"/>
        </a:p>
      </dgm:t>
    </dgm:pt>
    <dgm:pt modelId="{B514F85B-505B-4FC5-B5BB-AE2A019605F1}" type="sibTrans" cxnId="{3A3E53C6-BE84-4BEE-AF89-84CB679550E3}">
      <dgm:prSet/>
      <dgm:spPr/>
      <dgm:t>
        <a:bodyPr/>
        <a:lstStyle/>
        <a:p>
          <a:endParaRPr lang="en-US"/>
        </a:p>
      </dgm:t>
    </dgm:pt>
    <dgm:pt modelId="{9DC69E29-5945-4125-8DE4-A849A5610A0D}">
      <dgm:prSet custT="1"/>
      <dgm:spPr>
        <a:solidFill>
          <a:schemeClr val="bg1"/>
        </a:solidFill>
        <a:ln w="25400">
          <a:solidFill>
            <a:schemeClr val="accent1">
              <a:lumMod val="75000"/>
            </a:schemeClr>
          </a:solidFill>
        </a:ln>
      </dgm:spPr>
      <dgm:t>
        <a:bodyPr/>
        <a:lstStyle/>
        <a:p>
          <a:r>
            <a:rPr lang="en-US" sz="500">
              <a:solidFill>
                <a:schemeClr val="tx1"/>
              </a:solidFill>
            </a:rPr>
            <a:t>A.1.1.1</a:t>
          </a:r>
        </a:p>
        <a:p>
          <a:r>
            <a:rPr lang="en-US" sz="500">
              <a:solidFill>
                <a:schemeClr val="tx1"/>
              </a:solidFill>
            </a:rPr>
            <a:t>Availability of well organized high quality services</a:t>
          </a:r>
        </a:p>
      </dgm:t>
    </dgm:pt>
    <dgm:pt modelId="{2FF1C3E0-1B54-4957-8BAD-8CF5834E38BD}" type="parTrans" cxnId="{0721C9A0-B1DA-4E71-9422-F59903B586AC}">
      <dgm:prSet/>
      <dgm:spPr>
        <a:ln w="1270">
          <a:solidFill>
            <a:schemeClr val="accent1">
              <a:lumMod val="75000"/>
            </a:schemeClr>
          </a:solidFill>
        </a:ln>
      </dgm:spPr>
      <dgm:t>
        <a:bodyPr/>
        <a:lstStyle/>
        <a:p>
          <a:endParaRPr lang="en-US" sz="500"/>
        </a:p>
      </dgm:t>
    </dgm:pt>
    <dgm:pt modelId="{1768DB2D-5396-47B4-B5EF-6A6D0D155C83}" type="sibTrans" cxnId="{0721C9A0-B1DA-4E71-9422-F59903B586AC}">
      <dgm:prSet/>
      <dgm:spPr/>
      <dgm:t>
        <a:bodyPr/>
        <a:lstStyle/>
        <a:p>
          <a:endParaRPr lang="en-US"/>
        </a:p>
      </dgm:t>
    </dgm:pt>
    <dgm:pt modelId="{D88FDF20-64B2-4A6D-AFB8-DD0FFB5AF950}">
      <dgm:prSet custT="1"/>
      <dgm:spPr>
        <a:solidFill>
          <a:schemeClr val="bg1"/>
        </a:solidFill>
        <a:ln w="25400">
          <a:solidFill>
            <a:srgbClr val="FF0000"/>
          </a:solidFill>
        </a:ln>
      </dgm:spPr>
      <dgm:t>
        <a:bodyPr/>
        <a:lstStyle/>
        <a:p>
          <a:r>
            <a:rPr lang="en-US" sz="500">
              <a:solidFill>
                <a:schemeClr val="tx1"/>
              </a:solidFill>
            </a:rPr>
            <a:t>A.1.1.2</a:t>
          </a:r>
        </a:p>
        <a:p>
          <a:r>
            <a:rPr lang="en-US" sz="500">
              <a:solidFill>
                <a:schemeClr val="tx1"/>
              </a:solidFill>
            </a:rPr>
            <a:t>Service providers are not motivated to achieve immunization targets in valid coverage</a:t>
          </a:r>
        </a:p>
      </dgm:t>
    </dgm:pt>
    <dgm:pt modelId="{50984BDC-7EE1-45D5-971E-2994F873286B}" type="parTrans" cxnId="{C946AD72-8A4B-45A0-909F-05E08C446666}">
      <dgm:prSet/>
      <dgm:spPr>
        <a:ln w="1270">
          <a:solidFill>
            <a:srgbClr val="FF0000"/>
          </a:solidFill>
        </a:ln>
      </dgm:spPr>
      <dgm:t>
        <a:bodyPr/>
        <a:lstStyle/>
        <a:p>
          <a:endParaRPr lang="en-US" sz="500"/>
        </a:p>
      </dgm:t>
    </dgm:pt>
    <dgm:pt modelId="{D99CB23C-248F-4430-BB67-E8837294EEE1}" type="sibTrans" cxnId="{C946AD72-8A4B-45A0-909F-05E08C446666}">
      <dgm:prSet/>
      <dgm:spPr/>
      <dgm:t>
        <a:bodyPr/>
        <a:lstStyle/>
        <a:p>
          <a:endParaRPr lang="en-US"/>
        </a:p>
      </dgm:t>
    </dgm:pt>
    <dgm:pt modelId="{98845F25-1A2A-4107-A901-0DC39AC19230}">
      <dgm:prSet custT="1"/>
      <dgm:spPr>
        <a:solidFill>
          <a:schemeClr val="bg1"/>
        </a:solidFill>
        <a:ln w="25400">
          <a:solidFill>
            <a:schemeClr val="accent1">
              <a:lumMod val="75000"/>
            </a:schemeClr>
          </a:solidFill>
        </a:ln>
      </dgm:spPr>
      <dgm:t>
        <a:bodyPr/>
        <a:lstStyle/>
        <a:p>
          <a:r>
            <a:rPr lang="en-US" sz="500">
              <a:solidFill>
                <a:schemeClr val="tx1"/>
              </a:solidFill>
            </a:rPr>
            <a:t>A.1.1.1.1</a:t>
          </a:r>
        </a:p>
        <a:p>
          <a:r>
            <a:rPr lang="en-US" sz="500">
              <a:solidFill>
                <a:schemeClr val="tx1"/>
              </a:solidFill>
            </a:rPr>
            <a:t>Capacity in micro-planning</a:t>
          </a:r>
        </a:p>
      </dgm:t>
    </dgm:pt>
    <dgm:pt modelId="{2303E7BA-2C91-4DCE-B8A6-50670B9D7D0E}" type="parTrans" cxnId="{2E298BD7-DFA1-4359-ADE5-D747A964E14B}">
      <dgm:prSet/>
      <dgm:spPr>
        <a:ln w="1270">
          <a:solidFill>
            <a:schemeClr val="accent1">
              <a:lumMod val="75000"/>
            </a:schemeClr>
          </a:solidFill>
        </a:ln>
      </dgm:spPr>
      <dgm:t>
        <a:bodyPr/>
        <a:lstStyle/>
        <a:p>
          <a:endParaRPr lang="en-US" sz="500"/>
        </a:p>
      </dgm:t>
    </dgm:pt>
    <dgm:pt modelId="{56F7D128-3228-4F4A-9D42-E3CC37F7368A}" type="sibTrans" cxnId="{2E298BD7-DFA1-4359-ADE5-D747A964E14B}">
      <dgm:prSet/>
      <dgm:spPr/>
      <dgm:t>
        <a:bodyPr/>
        <a:lstStyle/>
        <a:p>
          <a:endParaRPr lang="en-US"/>
        </a:p>
      </dgm:t>
    </dgm:pt>
    <dgm:pt modelId="{9EC8931D-517B-41B7-A415-9606E2D092C3}">
      <dgm:prSet custT="1"/>
      <dgm:spPr>
        <a:solidFill>
          <a:schemeClr val="bg1"/>
        </a:solidFill>
        <a:ln w="25400">
          <a:solidFill>
            <a:srgbClr val="FF0000"/>
          </a:solidFill>
        </a:ln>
      </dgm:spPr>
      <dgm:t>
        <a:bodyPr/>
        <a:lstStyle/>
        <a:p>
          <a:r>
            <a:rPr lang="en-US" sz="500">
              <a:solidFill>
                <a:schemeClr val="tx1"/>
              </a:solidFill>
            </a:rPr>
            <a:t>A.1.1.2.1</a:t>
          </a:r>
        </a:p>
        <a:p>
          <a:r>
            <a:rPr lang="en-US" sz="500">
              <a:solidFill>
                <a:schemeClr val="tx1"/>
              </a:solidFill>
            </a:rPr>
            <a:t>Non-financial Incentives and/or motivating factors for increasing valid covarege rates</a:t>
          </a:r>
        </a:p>
      </dgm:t>
    </dgm:pt>
    <dgm:pt modelId="{8DE01D35-529F-4172-8E61-0D5518A744C8}" type="parTrans" cxnId="{1E35FF1A-D84B-428C-9824-75A3F0FF00DA}">
      <dgm:prSet/>
      <dgm:spPr>
        <a:ln w="1270">
          <a:solidFill>
            <a:srgbClr val="FF0000"/>
          </a:solidFill>
        </a:ln>
      </dgm:spPr>
      <dgm:t>
        <a:bodyPr/>
        <a:lstStyle/>
        <a:p>
          <a:endParaRPr lang="en-US" sz="500"/>
        </a:p>
      </dgm:t>
    </dgm:pt>
    <dgm:pt modelId="{165F3B81-2C3E-4EC8-846B-2540FD28B9D7}" type="sibTrans" cxnId="{1E35FF1A-D84B-428C-9824-75A3F0FF00DA}">
      <dgm:prSet/>
      <dgm:spPr/>
      <dgm:t>
        <a:bodyPr/>
        <a:lstStyle/>
        <a:p>
          <a:endParaRPr lang="en-US"/>
        </a:p>
      </dgm:t>
    </dgm:pt>
    <dgm:pt modelId="{ABBFA838-B17B-40D7-9783-60F1013DD7F5}">
      <dgm:prSet custT="1"/>
      <dgm:spPr>
        <a:solidFill>
          <a:schemeClr val="bg1"/>
        </a:solidFill>
        <a:ln w="25400">
          <a:solidFill>
            <a:srgbClr val="FF0000"/>
          </a:solidFill>
        </a:ln>
      </dgm:spPr>
      <dgm:t>
        <a:bodyPr/>
        <a:lstStyle/>
        <a:p>
          <a:r>
            <a:rPr lang="en-US" sz="500">
              <a:solidFill>
                <a:schemeClr val="tx1"/>
              </a:solidFill>
            </a:rPr>
            <a:t>A.1.1.2.2</a:t>
          </a:r>
        </a:p>
        <a:p>
          <a:r>
            <a:rPr lang="en-US" sz="500">
              <a:solidFill>
                <a:schemeClr val="tx1"/>
              </a:solidFill>
            </a:rPr>
            <a:t>Supportive supervision systems for improving quality of provided services</a:t>
          </a:r>
        </a:p>
      </dgm:t>
    </dgm:pt>
    <dgm:pt modelId="{F3C076E6-55F1-40FE-A291-5A97AD4CC9AF}" type="parTrans" cxnId="{44363966-6675-4983-8D67-8725053B9105}">
      <dgm:prSet/>
      <dgm:spPr>
        <a:ln w="1270">
          <a:solidFill>
            <a:srgbClr val="FF0000"/>
          </a:solidFill>
        </a:ln>
      </dgm:spPr>
      <dgm:t>
        <a:bodyPr/>
        <a:lstStyle/>
        <a:p>
          <a:endParaRPr lang="en-US" sz="500"/>
        </a:p>
      </dgm:t>
    </dgm:pt>
    <dgm:pt modelId="{D61325CF-B6D3-4945-81B2-3A1D8FE90BCC}" type="sibTrans" cxnId="{44363966-6675-4983-8D67-8725053B9105}">
      <dgm:prSet/>
      <dgm:spPr/>
      <dgm:t>
        <a:bodyPr/>
        <a:lstStyle/>
        <a:p>
          <a:endParaRPr lang="en-US"/>
        </a:p>
      </dgm:t>
    </dgm:pt>
    <dgm:pt modelId="{4BBE6D1A-FA2F-4025-A15D-3D020079CE04}">
      <dgm:prSet custT="1"/>
      <dgm:spPr>
        <a:solidFill>
          <a:schemeClr val="bg1"/>
        </a:solidFill>
        <a:ln w="25400">
          <a:solidFill>
            <a:schemeClr val="accent1">
              <a:lumMod val="75000"/>
            </a:schemeClr>
          </a:solidFill>
        </a:ln>
      </dgm:spPr>
      <dgm:t>
        <a:bodyPr/>
        <a:lstStyle/>
        <a:p>
          <a:r>
            <a:rPr lang="en-US" sz="500">
              <a:solidFill>
                <a:schemeClr val="tx1"/>
              </a:solidFill>
            </a:rPr>
            <a:t>A.1.1.1.2</a:t>
          </a:r>
        </a:p>
        <a:p>
          <a:r>
            <a:rPr lang="en-US" sz="500">
              <a:solidFill>
                <a:schemeClr val="tx1"/>
              </a:solidFill>
            </a:rPr>
            <a:t>Capacities and skills of service providers in service delivery</a:t>
          </a:r>
        </a:p>
      </dgm:t>
    </dgm:pt>
    <dgm:pt modelId="{34FB7A4B-58A6-4D06-9E2C-D23EBB5FB8D0}" type="parTrans" cxnId="{C66AE9AB-CC47-415A-9555-3F5736C35A2C}">
      <dgm:prSet/>
      <dgm:spPr>
        <a:ln w="1270">
          <a:solidFill>
            <a:schemeClr val="accent1">
              <a:lumMod val="75000"/>
            </a:schemeClr>
          </a:solidFill>
        </a:ln>
      </dgm:spPr>
      <dgm:t>
        <a:bodyPr/>
        <a:lstStyle/>
        <a:p>
          <a:endParaRPr lang="en-US" sz="500"/>
        </a:p>
      </dgm:t>
    </dgm:pt>
    <dgm:pt modelId="{A618E801-5271-4585-B48E-5E52694EE88B}" type="sibTrans" cxnId="{C66AE9AB-CC47-415A-9555-3F5736C35A2C}">
      <dgm:prSet/>
      <dgm:spPr/>
      <dgm:t>
        <a:bodyPr/>
        <a:lstStyle/>
        <a:p>
          <a:endParaRPr lang="en-US"/>
        </a:p>
      </dgm:t>
    </dgm:pt>
    <dgm:pt modelId="{1B56FF2A-98B2-454E-971E-4753D1A7EF7C}">
      <dgm:prSet custT="1"/>
      <dgm:spPr>
        <a:solidFill>
          <a:schemeClr val="bg1"/>
        </a:solidFill>
        <a:ln w="25400">
          <a:solidFill>
            <a:schemeClr val="bg1">
              <a:lumMod val="50000"/>
            </a:schemeClr>
          </a:solidFill>
        </a:ln>
      </dgm:spPr>
      <dgm:t>
        <a:bodyPr/>
        <a:lstStyle/>
        <a:p>
          <a:r>
            <a:rPr lang="en-US" sz="500">
              <a:solidFill>
                <a:schemeClr val="tx1"/>
              </a:solidFill>
            </a:rPr>
            <a:t>A.1.3</a:t>
          </a:r>
        </a:p>
        <a:p>
          <a:r>
            <a:rPr lang="en-US" sz="500">
              <a:solidFill>
                <a:schemeClr val="tx1"/>
              </a:solidFill>
            </a:rPr>
            <a:t>Staff shortage at vaccination points</a:t>
          </a:r>
        </a:p>
      </dgm:t>
    </dgm:pt>
    <dgm:pt modelId="{8B29C9A1-8BEB-44C0-A670-E3EC8BD54292}" type="parTrans" cxnId="{4E92A0A5-A346-457E-B5CB-4D0F4D609EC1}">
      <dgm:prSet/>
      <dgm:spPr>
        <a:ln w="1270">
          <a:solidFill>
            <a:schemeClr val="bg1">
              <a:lumMod val="65000"/>
            </a:schemeClr>
          </a:solidFill>
        </a:ln>
      </dgm:spPr>
      <dgm:t>
        <a:bodyPr/>
        <a:lstStyle/>
        <a:p>
          <a:endParaRPr lang="en-US" sz="500"/>
        </a:p>
      </dgm:t>
    </dgm:pt>
    <dgm:pt modelId="{072ECF6E-C358-4EC2-B023-ECDC877A1080}" type="sibTrans" cxnId="{4E92A0A5-A346-457E-B5CB-4D0F4D609EC1}">
      <dgm:prSet/>
      <dgm:spPr/>
      <dgm:t>
        <a:bodyPr/>
        <a:lstStyle/>
        <a:p>
          <a:endParaRPr lang="en-US"/>
        </a:p>
      </dgm:t>
    </dgm:pt>
    <dgm:pt modelId="{3A2356B5-1986-46C1-9F75-7AADD0384E1D}">
      <dgm:prSet custT="1"/>
      <dgm:spPr>
        <a:solidFill>
          <a:schemeClr val="bg1"/>
        </a:solidFill>
        <a:ln w="25400">
          <a:solidFill>
            <a:schemeClr val="bg1">
              <a:lumMod val="50000"/>
            </a:schemeClr>
          </a:solidFill>
        </a:ln>
      </dgm:spPr>
      <dgm:t>
        <a:bodyPr/>
        <a:lstStyle/>
        <a:p>
          <a:r>
            <a:rPr lang="en-US" sz="500">
              <a:solidFill>
                <a:schemeClr val="tx1"/>
              </a:solidFill>
            </a:rPr>
            <a:t>A.1.3.2</a:t>
          </a:r>
        </a:p>
        <a:p>
          <a:r>
            <a:rPr lang="en-US" sz="500">
              <a:solidFill>
                <a:schemeClr val="tx1"/>
              </a:solidFill>
            </a:rPr>
            <a:t>National Immunization policy and HR strategy for immunization</a:t>
          </a:r>
        </a:p>
      </dgm:t>
    </dgm:pt>
    <dgm:pt modelId="{4AD12C06-2CD5-42A1-B2C7-E4B06B7C3585}" type="parTrans" cxnId="{ABBDA419-342E-4EC3-851B-2869747A3593}">
      <dgm:prSet/>
      <dgm:spPr>
        <a:ln w="1270">
          <a:solidFill>
            <a:schemeClr val="bg1">
              <a:lumMod val="85000"/>
            </a:schemeClr>
          </a:solidFill>
        </a:ln>
      </dgm:spPr>
      <dgm:t>
        <a:bodyPr/>
        <a:lstStyle/>
        <a:p>
          <a:endParaRPr lang="en-US" sz="500"/>
        </a:p>
      </dgm:t>
    </dgm:pt>
    <dgm:pt modelId="{4E7E9D0F-796C-470E-AE20-D171F35E949C}" type="sibTrans" cxnId="{ABBDA419-342E-4EC3-851B-2869747A3593}">
      <dgm:prSet/>
      <dgm:spPr/>
      <dgm:t>
        <a:bodyPr/>
        <a:lstStyle/>
        <a:p>
          <a:endParaRPr lang="en-US"/>
        </a:p>
      </dgm:t>
    </dgm:pt>
    <dgm:pt modelId="{3044870D-FC68-4186-9677-CC7B542C1C0A}">
      <dgm:prSet custT="1"/>
      <dgm:spPr>
        <a:solidFill>
          <a:schemeClr val="bg1"/>
        </a:solidFill>
        <a:ln w="25400">
          <a:solidFill>
            <a:schemeClr val="bg1">
              <a:lumMod val="50000"/>
            </a:schemeClr>
          </a:solidFill>
        </a:ln>
      </dgm:spPr>
      <dgm:t>
        <a:bodyPr/>
        <a:lstStyle/>
        <a:p>
          <a:r>
            <a:rPr lang="en-US" sz="500">
              <a:solidFill>
                <a:schemeClr val="tx1"/>
              </a:solidFill>
            </a:rPr>
            <a:t>A.1.3.1</a:t>
          </a:r>
        </a:p>
        <a:p>
          <a:r>
            <a:rPr lang="en-US" sz="500">
              <a:solidFill>
                <a:schemeClr val="tx1"/>
              </a:solidFill>
            </a:rPr>
            <a:t>Full reliance on fixed service delivery in urban slums</a:t>
          </a:r>
        </a:p>
      </dgm:t>
    </dgm:pt>
    <dgm:pt modelId="{3E11DC76-C909-4E8C-93D5-D1AAB8114DC5}" type="parTrans" cxnId="{C47693C0-4CF6-4FD9-9E03-5F7F05A7946C}">
      <dgm:prSet/>
      <dgm:spPr>
        <a:ln w="1270">
          <a:solidFill>
            <a:schemeClr val="bg1">
              <a:lumMod val="75000"/>
            </a:schemeClr>
          </a:solidFill>
        </a:ln>
      </dgm:spPr>
      <dgm:t>
        <a:bodyPr/>
        <a:lstStyle/>
        <a:p>
          <a:endParaRPr lang="en-US" sz="500"/>
        </a:p>
      </dgm:t>
    </dgm:pt>
    <dgm:pt modelId="{562DF77F-7191-4E64-BD31-B0117BDD8517}" type="sibTrans" cxnId="{C47693C0-4CF6-4FD9-9E03-5F7F05A7946C}">
      <dgm:prSet/>
      <dgm:spPr/>
      <dgm:t>
        <a:bodyPr/>
        <a:lstStyle/>
        <a:p>
          <a:endParaRPr lang="en-US"/>
        </a:p>
      </dgm:t>
    </dgm:pt>
    <dgm:pt modelId="{0D23C73D-0900-4AEF-B6BF-96B0FD833B74}">
      <dgm:prSet custT="1"/>
      <dgm:spPr>
        <a:solidFill>
          <a:schemeClr val="bg1"/>
        </a:solidFill>
        <a:ln w="25400">
          <a:solidFill>
            <a:srgbClr val="FF0000"/>
          </a:solidFill>
        </a:ln>
      </dgm:spPr>
      <dgm:t>
        <a:bodyPr/>
        <a:lstStyle/>
        <a:p>
          <a:r>
            <a:rPr lang="en-US" sz="500" baseline="0">
              <a:solidFill>
                <a:schemeClr val="tx1"/>
              </a:solidFill>
            </a:rPr>
            <a:t>A.1.4</a:t>
          </a:r>
        </a:p>
        <a:p>
          <a:r>
            <a:rPr lang="en-US" sz="500" baseline="0">
              <a:solidFill>
                <a:schemeClr val="tx1"/>
              </a:solidFill>
            </a:rPr>
            <a:t>Capacity for defaulter tracking</a:t>
          </a:r>
        </a:p>
      </dgm:t>
    </dgm:pt>
    <dgm:pt modelId="{9A29F3FA-828D-49FB-AA89-BAA85C34523A}" type="parTrans" cxnId="{50F1C454-0562-46FD-AFF0-3E11FCEBA3C5}">
      <dgm:prSet/>
      <dgm:spPr>
        <a:ln w="1270">
          <a:solidFill>
            <a:srgbClr val="FF0000"/>
          </a:solidFill>
        </a:ln>
      </dgm:spPr>
      <dgm:t>
        <a:bodyPr/>
        <a:lstStyle/>
        <a:p>
          <a:endParaRPr lang="en-US" sz="500"/>
        </a:p>
      </dgm:t>
    </dgm:pt>
    <dgm:pt modelId="{D06EF226-28FB-41C2-ADAC-D22CAA03CB9A}" type="sibTrans" cxnId="{50F1C454-0562-46FD-AFF0-3E11FCEBA3C5}">
      <dgm:prSet/>
      <dgm:spPr/>
      <dgm:t>
        <a:bodyPr/>
        <a:lstStyle/>
        <a:p>
          <a:endParaRPr lang="en-US"/>
        </a:p>
      </dgm:t>
    </dgm:pt>
    <dgm:pt modelId="{84431EE1-3F05-46E2-AF4F-9E9D8C273F27}">
      <dgm:prSet custT="1"/>
      <dgm:spPr>
        <a:solidFill>
          <a:schemeClr val="bg1"/>
        </a:solidFill>
        <a:ln w="25400">
          <a:solidFill>
            <a:srgbClr val="FF0000"/>
          </a:solidFill>
        </a:ln>
      </dgm:spPr>
      <dgm:t>
        <a:bodyPr/>
        <a:lstStyle/>
        <a:p>
          <a:r>
            <a:rPr lang="en-US" sz="500" baseline="0">
              <a:solidFill>
                <a:sysClr val="windowText" lastClr="000000"/>
              </a:solidFill>
              <a:latin typeface="Calibri" panose="020F0502020204030204" pitchFamily="34" charset="0"/>
            </a:rPr>
            <a:t>A.1.4.1</a:t>
          </a:r>
        </a:p>
        <a:p>
          <a:r>
            <a:rPr lang="en-US" sz="500" baseline="0">
              <a:solidFill>
                <a:sysClr val="windowText" lastClr="000000"/>
              </a:solidFill>
              <a:latin typeface="Calibri" panose="020F0502020204030204" pitchFamily="34" charset="0"/>
            </a:rPr>
            <a:t>Defaulter tracking and reminder systems</a:t>
          </a:r>
        </a:p>
        <a:p>
          <a:endParaRPr lang="en-US" sz="500" baseline="0">
            <a:solidFill>
              <a:sysClr val="windowText" lastClr="000000"/>
            </a:solidFill>
            <a:latin typeface="Calibri" panose="020F0502020204030204" pitchFamily="34" charset="0"/>
          </a:endParaRPr>
        </a:p>
      </dgm:t>
    </dgm:pt>
    <dgm:pt modelId="{F200EE33-52B3-4874-ACB5-6A4AC1D0A1F3}" type="parTrans" cxnId="{61987D86-4444-4E04-844F-85BEED674E20}">
      <dgm:prSet/>
      <dgm:spPr>
        <a:ln w="1270">
          <a:solidFill>
            <a:srgbClr val="FF0000"/>
          </a:solidFill>
        </a:ln>
      </dgm:spPr>
      <dgm:t>
        <a:bodyPr/>
        <a:lstStyle/>
        <a:p>
          <a:endParaRPr lang="en-US" sz="500"/>
        </a:p>
      </dgm:t>
    </dgm:pt>
    <dgm:pt modelId="{7AC38961-647E-4D37-87DB-799EB55A3EBF}" type="sibTrans" cxnId="{61987D86-4444-4E04-844F-85BEED674E20}">
      <dgm:prSet/>
      <dgm:spPr/>
      <dgm:t>
        <a:bodyPr/>
        <a:lstStyle/>
        <a:p>
          <a:endParaRPr lang="en-US"/>
        </a:p>
      </dgm:t>
    </dgm:pt>
    <dgm:pt modelId="{07142775-9673-4244-BC2D-CEDAD2CA86FA}">
      <dgm:prSet custT="1"/>
      <dgm:spPr>
        <a:solidFill>
          <a:schemeClr val="bg1"/>
        </a:solidFill>
        <a:ln w="25400">
          <a:solidFill>
            <a:srgbClr val="FF0000"/>
          </a:solidFill>
        </a:ln>
      </dgm:spPr>
      <dgm:t>
        <a:bodyPr/>
        <a:lstStyle/>
        <a:p>
          <a:r>
            <a:rPr lang="en-US" sz="500" baseline="0">
              <a:solidFill>
                <a:sysClr val="windowText" lastClr="000000"/>
              </a:solidFill>
              <a:latin typeface="Calibri" panose="020F0502020204030204" pitchFamily="34" charset="0"/>
            </a:rPr>
            <a:t>A.1.4.2</a:t>
          </a:r>
        </a:p>
        <a:p>
          <a:r>
            <a:rPr lang="en-US" sz="500" baseline="0">
              <a:solidFill>
                <a:sysClr val="windowText" lastClr="000000"/>
              </a:solidFill>
              <a:latin typeface="Calibri" panose="020F0502020204030204" pitchFamily="34" charset="0"/>
            </a:rPr>
            <a:t>Staff capacity to track defaulters</a:t>
          </a:r>
        </a:p>
        <a:p>
          <a:endParaRPr lang="en-US" sz="500" baseline="0">
            <a:solidFill>
              <a:sysClr val="windowText" lastClr="000000"/>
            </a:solidFill>
            <a:latin typeface="Calibri" panose="020F0502020204030204" pitchFamily="34" charset="0"/>
          </a:endParaRPr>
        </a:p>
      </dgm:t>
    </dgm:pt>
    <dgm:pt modelId="{FDBDDF2C-7BE7-453A-B44F-8093C3BBA9AD}" type="parTrans" cxnId="{D0060F36-6971-4E88-AC82-CE9199ADCBF5}">
      <dgm:prSet/>
      <dgm:spPr>
        <a:ln w="1270">
          <a:solidFill>
            <a:srgbClr val="FF0000"/>
          </a:solidFill>
        </a:ln>
      </dgm:spPr>
      <dgm:t>
        <a:bodyPr/>
        <a:lstStyle/>
        <a:p>
          <a:endParaRPr lang="en-US" sz="500"/>
        </a:p>
      </dgm:t>
    </dgm:pt>
    <dgm:pt modelId="{24DB4327-9FEF-490E-9069-D4B5BD12CFE9}" type="sibTrans" cxnId="{D0060F36-6971-4E88-AC82-CE9199ADCBF5}">
      <dgm:prSet/>
      <dgm:spPr/>
      <dgm:t>
        <a:bodyPr/>
        <a:lstStyle/>
        <a:p>
          <a:endParaRPr lang="en-US"/>
        </a:p>
      </dgm:t>
    </dgm:pt>
    <dgm:pt modelId="{821D418B-18D7-4127-8307-CC1DD24D7350}">
      <dgm:prSet/>
      <dgm:spPr>
        <a:solidFill>
          <a:schemeClr val="bg1"/>
        </a:solidFill>
        <a:ln w="25400">
          <a:solidFill>
            <a:srgbClr val="FF0000"/>
          </a:solidFill>
        </a:ln>
      </dgm:spPr>
      <dgm:t>
        <a:bodyPr/>
        <a:lstStyle/>
        <a:p>
          <a:r>
            <a:rPr lang="en-US">
              <a:solidFill>
                <a:schemeClr val="tx1"/>
              </a:solidFill>
            </a:rPr>
            <a:t>A.1.2.1</a:t>
          </a:r>
        </a:p>
        <a:p>
          <a:r>
            <a:rPr lang="en-US">
              <a:solidFill>
                <a:schemeClr val="tx1"/>
              </a:solidFill>
            </a:rPr>
            <a:t>Manual reporting system at the service delivery level</a:t>
          </a:r>
        </a:p>
      </dgm:t>
    </dgm:pt>
    <dgm:pt modelId="{8AF28650-96E1-4A90-8401-BC743B81B699}" type="parTrans" cxnId="{C140C80F-BE53-4FD8-9EB1-2B0A886CE4F3}">
      <dgm:prSet/>
      <dgm:spPr>
        <a:ln w="1270">
          <a:solidFill>
            <a:srgbClr val="FF0000"/>
          </a:solidFill>
        </a:ln>
      </dgm:spPr>
      <dgm:t>
        <a:bodyPr/>
        <a:lstStyle/>
        <a:p>
          <a:endParaRPr lang="en-US"/>
        </a:p>
      </dgm:t>
    </dgm:pt>
    <dgm:pt modelId="{E72D59FB-35C3-4E15-B7D0-A80B6E08198F}" type="sibTrans" cxnId="{C140C80F-BE53-4FD8-9EB1-2B0A886CE4F3}">
      <dgm:prSet/>
      <dgm:spPr/>
      <dgm:t>
        <a:bodyPr/>
        <a:lstStyle/>
        <a:p>
          <a:endParaRPr lang="en-US"/>
        </a:p>
      </dgm:t>
    </dgm:pt>
    <dgm:pt modelId="{1027639A-98DC-4C4F-9566-EE0C53394183}">
      <dgm:prSet/>
      <dgm:spPr>
        <a:solidFill>
          <a:schemeClr val="bg1"/>
        </a:solidFill>
        <a:ln w="25400">
          <a:solidFill>
            <a:srgbClr val="FF0000"/>
          </a:solidFill>
        </a:ln>
      </dgm:spPr>
      <dgm:t>
        <a:bodyPr/>
        <a:lstStyle/>
        <a:p>
          <a:r>
            <a:rPr lang="en-US">
              <a:solidFill>
                <a:schemeClr val="tx1"/>
              </a:solidFill>
            </a:rPr>
            <a:t>A.1.2.2</a:t>
          </a:r>
        </a:p>
        <a:p>
          <a:r>
            <a:rPr lang="en-US">
              <a:solidFill>
                <a:schemeClr val="tx1"/>
              </a:solidFill>
            </a:rPr>
            <a:t>Skills of front line staff in recording and reporting</a:t>
          </a:r>
        </a:p>
      </dgm:t>
    </dgm:pt>
    <dgm:pt modelId="{19653C43-8D79-4234-8E9D-C450F0F7DD60}" type="parTrans" cxnId="{61C8CC1E-CDC8-412E-8D4A-51EDB1F5D76C}">
      <dgm:prSet/>
      <dgm:spPr>
        <a:ln w="1270">
          <a:solidFill>
            <a:srgbClr val="FF0000"/>
          </a:solidFill>
        </a:ln>
      </dgm:spPr>
      <dgm:t>
        <a:bodyPr/>
        <a:lstStyle/>
        <a:p>
          <a:endParaRPr lang="en-US"/>
        </a:p>
      </dgm:t>
    </dgm:pt>
    <dgm:pt modelId="{BA2592C6-3ABC-4AC8-BD3C-912BDED69C7B}" type="sibTrans" cxnId="{61C8CC1E-CDC8-412E-8D4A-51EDB1F5D76C}">
      <dgm:prSet/>
      <dgm:spPr/>
      <dgm:t>
        <a:bodyPr/>
        <a:lstStyle/>
        <a:p>
          <a:endParaRPr lang="en-US"/>
        </a:p>
      </dgm:t>
    </dgm:pt>
    <dgm:pt modelId="{E89B7A4C-AF3F-4014-A33E-1787BDFBD278}">
      <dgm:prSet/>
      <dgm:spPr>
        <a:solidFill>
          <a:schemeClr val="bg1"/>
        </a:solidFill>
        <a:ln w="25400">
          <a:solidFill>
            <a:schemeClr val="accent6">
              <a:lumMod val="75000"/>
            </a:schemeClr>
          </a:solidFill>
        </a:ln>
      </dgm:spPr>
      <dgm:t>
        <a:bodyPr/>
        <a:lstStyle/>
        <a:p>
          <a:r>
            <a:rPr lang="en-US">
              <a:solidFill>
                <a:schemeClr val="tx1"/>
              </a:solidFill>
            </a:rPr>
            <a:t>A.2.2.3</a:t>
          </a:r>
        </a:p>
        <a:p>
          <a:r>
            <a:rPr lang="en-US" b="0" baseline="0" dirty="0">
              <a:solidFill>
                <a:schemeClr val="tx1"/>
              </a:solidFill>
              <a:latin typeface="Calibri" panose="020F0502020204030204" pitchFamily="34" charset="0"/>
            </a:rPr>
            <a:t>Access to the specific minority groups</a:t>
          </a:r>
          <a:endParaRPr lang="en-US">
            <a:solidFill>
              <a:schemeClr val="tx1"/>
            </a:solidFill>
          </a:endParaRPr>
        </a:p>
      </dgm:t>
    </dgm:pt>
    <dgm:pt modelId="{B05238C4-D9F9-4498-93F8-35DB127B02D7}" type="parTrans" cxnId="{26787C29-B018-49EF-BA3C-E00239BBA1CB}">
      <dgm:prSet/>
      <dgm:spPr>
        <a:ln w="1270">
          <a:solidFill>
            <a:schemeClr val="accent6">
              <a:lumMod val="75000"/>
            </a:schemeClr>
          </a:solidFill>
        </a:ln>
      </dgm:spPr>
      <dgm:t>
        <a:bodyPr/>
        <a:lstStyle/>
        <a:p>
          <a:endParaRPr lang="en-US"/>
        </a:p>
      </dgm:t>
    </dgm:pt>
    <dgm:pt modelId="{86405AAF-4012-48DE-98D5-FB5C4CB018DD}" type="sibTrans" cxnId="{26787C29-B018-49EF-BA3C-E00239BBA1CB}">
      <dgm:prSet/>
      <dgm:spPr/>
      <dgm:t>
        <a:bodyPr/>
        <a:lstStyle/>
        <a:p>
          <a:endParaRPr lang="en-US"/>
        </a:p>
      </dgm:t>
    </dgm:pt>
    <dgm:pt modelId="{2EFC8D25-A139-4771-9F48-2EF6036CDCAC}">
      <dgm:prSet/>
      <dgm:spPr>
        <a:solidFill>
          <a:schemeClr val="bg1"/>
        </a:solidFill>
        <a:ln w="25400">
          <a:solidFill>
            <a:srgbClr val="7030A0"/>
          </a:solidFill>
        </a:ln>
      </dgm:spPr>
      <dgm:t>
        <a:bodyPr/>
        <a:lstStyle/>
        <a:p>
          <a:r>
            <a:rPr lang="en-US" baseline="0">
              <a:solidFill>
                <a:schemeClr val="tx1"/>
              </a:solidFill>
            </a:rPr>
            <a:t>A.2.1.1</a:t>
          </a:r>
        </a:p>
        <a:p>
          <a:r>
            <a:rPr lang="en-US" baseline="0">
              <a:solidFill>
                <a:schemeClr val="tx1"/>
              </a:solidFill>
            </a:rPr>
            <a:t>Knowledge of caregivers about eligibility and timing</a:t>
          </a:r>
        </a:p>
      </dgm:t>
    </dgm:pt>
    <dgm:pt modelId="{0311CF14-5206-4EE8-AA92-85A9AA7B0E71}" type="parTrans" cxnId="{EF030860-5F6A-4537-A374-A91B10A59D54}">
      <dgm:prSet/>
      <dgm:spPr>
        <a:ln w="1270">
          <a:solidFill>
            <a:srgbClr val="7030A0"/>
          </a:solidFill>
        </a:ln>
      </dgm:spPr>
      <dgm:t>
        <a:bodyPr/>
        <a:lstStyle/>
        <a:p>
          <a:endParaRPr lang="en-US"/>
        </a:p>
      </dgm:t>
    </dgm:pt>
    <dgm:pt modelId="{BEC2CEB1-7FAB-48A8-8C68-F564B75A5875}" type="sibTrans" cxnId="{EF030860-5F6A-4537-A374-A91B10A59D54}">
      <dgm:prSet/>
      <dgm:spPr/>
      <dgm:t>
        <a:bodyPr/>
        <a:lstStyle/>
        <a:p>
          <a:endParaRPr lang="en-US"/>
        </a:p>
      </dgm:t>
    </dgm:pt>
    <dgm:pt modelId="{5373CE7C-F6A7-4644-861C-53F0DEE93B6A}">
      <dgm:prSet/>
      <dgm:spPr>
        <a:solidFill>
          <a:schemeClr val="bg1"/>
        </a:solidFill>
        <a:ln w="25400">
          <a:solidFill>
            <a:srgbClr val="7030A0"/>
          </a:solidFill>
        </a:ln>
      </dgm:spPr>
      <dgm:t>
        <a:bodyPr/>
        <a:lstStyle/>
        <a:p>
          <a:r>
            <a:rPr lang="en-US" baseline="0">
              <a:solidFill>
                <a:schemeClr val="tx1"/>
              </a:solidFill>
            </a:rPr>
            <a:t>A.2.1.1</a:t>
          </a:r>
        </a:p>
        <a:p>
          <a:r>
            <a:rPr lang="en-US" baseline="0">
              <a:solidFill>
                <a:schemeClr val="tx1"/>
              </a:solidFill>
            </a:rPr>
            <a:t>Engagement of communities in mobilization for vaccination</a:t>
          </a:r>
        </a:p>
      </dgm:t>
    </dgm:pt>
    <dgm:pt modelId="{782A7D55-B9B0-4BC0-8D79-1519EDC4A96B}" type="parTrans" cxnId="{50FCBC4A-21C2-42C0-AF2A-44CFD96EAD46}">
      <dgm:prSet/>
      <dgm:spPr>
        <a:ln w="1270">
          <a:solidFill>
            <a:srgbClr val="7030A0"/>
          </a:solidFill>
        </a:ln>
      </dgm:spPr>
      <dgm:t>
        <a:bodyPr/>
        <a:lstStyle/>
        <a:p>
          <a:endParaRPr lang="en-US"/>
        </a:p>
      </dgm:t>
    </dgm:pt>
    <dgm:pt modelId="{E36D3ACF-CA3B-442D-AE85-2ECB5B794FB5}" type="sibTrans" cxnId="{50FCBC4A-21C2-42C0-AF2A-44CFD96EAD46}">
      <dgm:prSet/>
      <dgm:spPr/>
      <dgm:t>
        <a:bodyPr/>
        <a:lstStyle/>
        <a:p>
          <a:endParaRPr lang="en-US"/>
        </a:p>
      </dgm:t>
    </dgm:pt>
    <dgm:pt modelId="{3076FEBA-2CA6-4267-8A9C-DF2D2DA148E5}">
      <dgm:prSet/>
      <dgm:spPr>
        <a:solidFill>
          <a:schemeClr val="bg1"/>
        </a:solidFill>
        <a:ln w="25400">
          <a:solidFill>
            <a:srgbClr val="7030A0"/>
          </a:solidFill>
        </a:ln>
      </dgm:spPr>
      <dgm:t>
        <a:bodyPr/>
        <a:lstStyle/>
        <a:p>
          <a:r>
            <a:rPr lang="en-US" baseline="0">
              <a:solidFill>
                <a:schemeClr val="tx1"/>
              </a:solidFill>
            </a:rPr>
            <a:t>A.2.1.2</a:t>
          </a:r>
        </a:p>
        <a:p>
          <a:r>
            <a:rPr lang="en-US" baseline="0">
              <a:solidFill>
                <a:schemeClr val="tx1"/>
              </a:solidFill>
            </a:rPr>
            <a:t>Capacity of staff for effective IPC and community mobilization</a:t>
          </a:r>
        </a:p>
      </dgm:t>
    </dgm:pt>
    <dgm:pt modelId="{D2B32D6E-179A-460D-BF95-986BBDEF9FB4}" type="parTrans" cxnId="{9FC6473F-9CAE-4CA6-BCA5-2F79314A71A7}">
      <dgm:prSet/>
      <dgm:spPr>
        <a:ln w="1270">
          <a:solidFill>
            <a:srgbClr val="7030A0"/>
          </a:solidFill>
        </a:ln>
      </dgm:spPr>
      <dgm:t>
        <a:bodyPr/>
        <a:lstStyle/>
        <a:p>
          <a:endParaRPr lang="en-US"/>
        </a:p>
      </dgm:t>
    </dgm:pt>
    <dgm:pt modelId="{9A8BD3F2-4053-4CE9-9756-80C013D8260F}" type="sibTrans" cxnId="{9FC6473F-9CAE-4CA6-BCA5-2F79314A71A7}">
      <dgm:prSet/>
      <dgm:spPr/>
      <dgm:t>
        <a:bodyPr/>
        <a:lstStyle/>
        <a:p>
          <a:endParaRPr lang="en-US"/>
        </a:p>
      </dgm:t>
    </dgm:pt>
    <dgm:pt modelId="{B6CA6086-360C-4E42-8E73-2873141448AB}">
      <dgm:prSet/>
      <dgm:spPr>
        <a:solidFill>
          <a:schemeClr val="bg1"/>
        </a:solidFill>
        <a:ln w="25400">
          <a:solidFill>
            <a:srgbClr val="FF0000"/>
          </a:solidFill>
        </a:ln>
      </dgm:spPr>
      <dgm:t>
        <a:bodyPr/>
        <a:lstStyle/>
        <a:p>
          <a:r>
            <a:rPr lang="en-US">
              <a:solidFill>
                <a:schemeClr val="tx1"/>
              </a:solidFill>
            </a:rPr>
            <a:t>A.1.1.2.3</a:t>
          </a:r>
        </a:p>
        <a:p>
          <a:r>
            <a:rPr lang="en-US">
              <a:solidFill>
                <a:schemeClr val="tx1"/>
              </a:solidFill>
            </a:rPr>
            <a:t>Lack of financial incentives for the service providers</a:t>
          </a:r>
        </a:p>
      </dgm:t>
    </dgm:pt>
    <dgm:pt modelId="{6FE019B0-70D0-4660-8AFA-9CAD15B38940}" type="parTrans" cxnId="{CB6662DE-F446-4199-B35E-B6955989CD64}">
      <dgm:prSet/>
      <dgm:spPr>
        <a:ln w="1270">
          <a:solidFill>
            <a:srgbClr val="FF0000"/>
          </a:solidFill>
        </a:ln>
      </dgm:spPr>
      <dgm:t>
        <a:bodyPr/>
        <a:lstStyle/>
        <a:p>
          <a:endParaRPr lang="en-US"/>
        </a:p>
      </dgm:t>
    </dgm:pt>
    <dgm:pt modelId="{33599E0C-EC91-4C37-B36A-355A27133E0A}" type="sibTrans" cxnId="{CB6662DE-F446-4199-B35E-B6955989CD64}">
      <dgm:prSet/>
      <dgm:spPr/>
      <dgm:t>
        <a:bodyPr/>
        <a:lstStyle/>
        <a:p>
          <a:endParaRPr lang="en-US"/>
        </a:p>
      </dgm:t>
    </dgm:pt>
    <dgm:pt modelId="{D0E53BFF-54D5-4407-9579-69084C72130C}">
      <dgm:prSet/>
      <dgm:spPr>
        <a:solidFill>
          <a:schemeClr val="bg1"/>
        </a:solidFill>
        <a:ln w="25400">
          <a:solidFill>
            <a:schemeClr val="bg1">
              <a:lumMod val="50000"/>
            </a:schemeClr>
          </a:solidFill>
        </a:ln>
      </dgm:spPr>
      <dgm:t>
        <a:bodyPr/>
        <a:lstStyle/>
        <a:p>
          <a:r>
            <a:rPr lang="en-US">
              <a:solidFill>
                <a:schemeClr val="tx1"/>
              </a:solidFill>
            </a:rPr>
            <a:t>A.1.3.3</a:t>
          </a:r>
        </a:p>
        <a:p>
          <a:r>
            <a:rPr lang="en-US">
              <a:solidFill>
                <a:schemeClr val="tx1"/>
              </a:solidFill>
            </a:rPr>
            <a:t>High staff turn over and availability of service providers in Urban settins</a:t>
          </a:r>
        </a:p>
      </dgm:t>
    </dgm:pt>
    <dgm:pt modelId="{5D873263-8F81-4F2F-8E7F-83E65F626373}" type="parTrans" cxnId="{046D32A7-381E-440C-923A-9624379CCA00}">
      <dgm:prSet/>
      <dgm:spPr>
        <a:ln w="1270">
          <a:solidFill>
            <a:schemeClr val="bg1">
              <a:lumMod val="75000"/>
            </a:schemeClr>
          </a:solidFill>
        </a:ln>
      </dgm:spPr>
      <dgm:t>
        <a:bodyPr/>
        <a:lstStyle/>
        <a:p>
          <a:endParaRPr lang="en-US"/>
        </a:p>
      </dgm:t>
    </dgm:pt>
    <dgm:pt modelId="{A49B1124-0014-4612-A1E7-57514DBC1FE4}" type="sibTrans" cxnId="{046D32A7-381E-440C-923A-9624379CCA00}">
      <dgm:prSet/>
      <dgm:spPr/>
      <dgm:t>
        <a:bodyPr/>
        <a:lstStyle/>
        <a:p>
          <a:endParaRPr lang="en-US"/>
        </a:p>
      </dgm:t>
    </dgm:pt>
    <dgm:pt modelId="{6114B51C-D6B3-4B9B-A33F-3A69CFE7CF65}">
      <dgm:prSet/>
      <dgm:spPr>
        <a:solidFill>
          <a:schemeClr val="bg1"/>
        </a:solidFill>
        <a:ln w="25400">
          <a:solidFill>
            <a:srgbClr val="FF0000"/>
          </a:solidFill>
        </a:ln>
      </dgm:spPr>
      <dgm:t>
        <a:bodyPr/>
        <a:lstStyle/>
        <a:p>
          <a:r>
            <a:rPr lang="en-US">
              <a:solidFill>
                <a:schemeClr val="tx1"/>
              </a:solidFill>
            </a:rPr>
            <a:t>A.1.2.3</a:t>
          </a:r>
        </a:p>
        <a:p>
          <a:r>
            <a:rPr lang="en-US">
              <a:solidFill>
                <a:schemeClr val="tx1"/>
              </a:solidFill>
            </a:rPr>
            <a:t>Lack of equipment for electronic recording and reporting</a:t>
          </a:r>
        </a:p>
      </dgm:t>
    </dgm:pt>
    <dgm:pt modelId="{6275A9D1-6E2D-4ECD-9A33-7A4ED157377A}" type="parTrans" cxnId="{98D87989-08AC-4979-9EA3-1C3BAF5EE04B}">
      <dgm:prSet/>
      <dgm:spPr>
        <a:ln w="1270">
          <a:solidFill>
            <a:srgbClr val="FF0000"/>
          </a:solidFill>
        </a:ln>
      </dgm:spPr>
      <dgm:t>
        <a:bodyPr/>
        <a:lstStyle/>
        <a:p>
          <a:endParaRPr lang="en-US"/>
        </a:p>
      </dgm:t>
    </dgm:pt>
    <dgm:pt modelId="{89B51B18-5808-48EA-8296-0F4CEEEEA927}" type="sibTrans" cxnId="{98D87989-08AC-4979-9EA3-1C3BAF5EE04B}">
      <dgm:prSet/>
      <dgm:spPr/>
      <dgm:t>
        <a:bodyPr/>
        <a:lstStyle/>
        <a:p>
          <a:endParaRPr lang="en-US"/>
        </a:p>
      </dgm:t>
    </dgm:pt>
    <dgm:pt modelId="{187665F6-B09E-4D2B-82E4-01CB439F7B60}" type="pres">
      <dgm:prSet presAssocID="{5B3E640A-3848-47BA-81B9-B34508FB181A}" presName="hierChild1" presStyleCnt="0">
        <dgm:presLayoutVars>
          <dgm:orgChart val="1"/>
          <dgm:chPref val="1"/>
          <dgm:dir/>
          <dgm:animOne val="branch"/>
          <dgm:animLvl val="lvl"/>
          <dgm:resizeHandles/>
        </dgm:presLayoutVars>
      </dgm:prSet>
      <dgm:spPr/>
    </dgm:pt>
    <dgm:pt modelId="{6D8B11BD-0930-4548-920F-1527482C57E4}" type="pres">
      <dgm:prSet presAssocID="{F45CD80F-ED6A-4D88-8BC9-801A30FB53FD}" presName="hierRoot1" presStyleCnt="0">
        <dgm:presLayoutVars>
          <dgm:hierBranch val="init"/>
        </dgm:presLayoutVars>
      </dgm:prSet>
      <dgm:spPr/>
    </dgm:pt>
    <dgm:pt modelId="{346AA701-5C79-4419-989B-13846A4160F4}" type="pres">
      <dgm:prSet presAssocID="{F45CD80F-ED6A-4D88-8BC9-801A30FB53FD}" presName="rootComposite1" presStyleCnt="0"/>
      <dgm:spPr/>
    </dgm:pt>
    <dgm:pt modelId="{4789BE4F-5480-4446-A283-B22F4F98EE10}" type="pres">
      <dgm:prSet presAssocID="{F45CD80F-ED6A-4D88-8BC9-801A30FB53FD}" presName="rootText1" presStyleLbl="node0" presStyleIdx="0" presStyleCnt="1" custScaleX="111948" custScaleY="65572" custLinFactNeighborX="11698" custLinFactNeighborY="-65">
        <dgm:presLayoutVars>
          <dgm:chPref val="3"/>
        </dgm:presLayoutVars>
      </dgm:prSet>
      <dgm:spPr>
        <a:prstGeom prst="roundRect">
          <a:avLst/>
        </a:prstGeom>
      </dgm:spPr>
    </dgm:pt>
    <dgm:pt modelId="{0C938D74-4644-49A4-AFE2-1B4D266DD9C3}" type="pres">
      <dgm:prSet presAssocID="{F45CD80F-ED6A-4D88-8BC9-801A30FB53FD}" presName="rootConnector1" presStyleLbl="node1" presStyleIdx="0" presStyleCnt="0"/>
      <dgm:spPr/>
    </dgm:pt>
    <dgm:pt modelId="{B588DDC4-03FA-4100-B215-52E3D16A8F72}" type="pres">
      <dgm:prSet presAssocID="{F45CD80F-ED6A-4D88-8BC9-801A30FB53FD}" presName="hierChild2" presStyleCnt="0"/>
      <dgm:spPr/>
    </dgm:pt>
    <dgm:pt modelId="{0579334F-144D-4459-AEA7-2AEFCC246D9F}" type="pres">
      <dgm:prSet presAssocID="{080B188F-966B-47EB-83DB-96BA06850321}" presName="Name37" presStyleLbl="parChTrans1D2" presStyleIdx="0" presStyleCnt="1"/>
      <dgm:spPr/>
    </dgm:pt>
    <dgm:pt modelId="{03757511-9CEE-4085-8051-ED66D3F546C3}" type="pres">
      <dgm:prSet presAssocID="{4508D32A-1C7C-481C-B519-CAECB39B3DB0}" presName="hierRoot2" presStyleCnt="0">
        <dgm:presLayoutVars>
          <dgm:hierBranch val="init"/>
        </dgm:presLayoutVars>
      </dgm:prSet>
      <dgm:spPr/>
    </dgm:pt>
    <dgm:pt modelId="{A08F584A-8A4A-404D-8E5C-2F5142E93E57}" type="pres">
      <dgm:prSet presAssocID="{4508D32A-1C7C-481C-B519-CAECB39B3DB0}" presName="rootComposite" presStyleCnt="0"/>
      <dgm:spPr/>
    </dgm:pt>
    <dgm:pt modelId="{62563767-40D6-4D45-84C3-574A3AFAA82E}" type="pres">
      <dgm:prSet presAssocID="{4508D32A-1C7C-481C-B519-CAECB39B3DB0}" presName="rootText" presStyleLbl="node2" presStyleIdx="0" presStyleCnt="1" custScaleX="120689" custScaleY="82246" custLinFactNeighborX="11736" custLinFactNeighborY="-4949">
        <dgm:presLayoutVars>
          <dgm:chPref val="3"/>
        </dgm:presLayoutVars>
      </dgm:prSet>
      <dgm:spPr>
        <a:prstGeom prst="roundRect">
          <a:avLst/>
        </a:prstGeom>
      </dgm:spPr>
    </dgm:pt>
    <dgm:pt modelId="{BEF1038C-0E3B-4C10-8977-EE71BC2D66AC}" type="pres">
      <dgm:prSet presAssocID="{4508D32A-1C7C-481C-B519-CAECB39B3DB0}" presName="rootConnector" presStyleLbl="node2" presStyleIdx="0" presStyleCnt="1"/>
      <dgm:spPr/>
    </dgm:pt>
    <dgm:pt modelId="{AE2543CA-F6CE-4490-9A27-CDBF7CB6D70C}" type="pres">
      <dgm:prSet presAssocID="{4508D32A-1C7C-481C-B519-CAECB39B3DB0}" presName="hierChild4" presStyleCnt="0"/>
      <dgm:spPr/>
    </dgm:pt>
    <dgm:pt modelId="{608C81B8-1340-47A8-A520-7518FC71DCF9}" type="pres">
      <dgm:prSet presAssocID="{A6B29782-02C3-489A-B989-D022B918E818}" presName="Name37" presStyleLbl="parChTrans1D3" presStyleIdx="0" presStyleCnt="2"/>
      <dgm:spPr/>
    </dgm:pt>
    <dgm:pt modelId="{4CF9B8D1-184F-49C7-9406-9727B0DA1896}" type="pres">
      <dgm:prSet presAssocID="{4571EA84-01AC-4D93-B56B-196DCDA5614D}" presName="hierRoot2" presStyleCnt="0">
        <dgm:presLayoutVars>
          <dgm:hierBranch val="init"/>
        </dgm:presLayoutVars>
      </dgm:prSet>
      <dgm:spPr/>
    </dgm:pt>
    <dgm:pt modelId="{1A761B6E-5B9C-46A3-BFC8-2E9CFDC1379C}" type="pres">
      <dgm:prSet presAssocID="{4571EA84-01AC-4D93-B56B-196DCDA5614D}" presName="rootComposite" presStyleCnt="0"/>
      <dgm:spPr/>
    </dgm:pt>
    <dgm:pt modelId="{9217389D-FF13-44F9-996E-C41B5BF5AC65}" type="pres">
      <dgm:prSet presAssocID="{4571EA84-01AC-4D93-B56B-196DCDA5614D}" presName="rootText" presStyleLbl="node3" presStyleIdx="0" presStyleCnt="2" custScaleX="78789" custScaleY="78319" custLinFactX="200000" custLinFactNeighborX="279527" custLinFactNeighborY="12763">
        <dgm:presLayoutVars>
          <dgm:chPref val="3"/>
        </dgm:presLayoutVars>
      </dgm:prSet>
      <dgm:spPr>
        <a:prstGeom prst="roundRect">
          <a:avLst/>
        </a:prstGeom>
      </dgm:spPr>
    </dgm:pt>
    <dgm:pt modelId="{2E3DB7B0-89F2-4199-B2B9-46C4525DB2E0}" type="pres">
      <dgm:prSet presAssocID="{4571EA84-01AC-4D93-B56B-196DCDA5614D}" presName="rootConnector" presStyleLbl="node3" presStyleIdx="0" presStyleCnt="2"/>
      <dgm:spPr/>
    </dgm:pt>
    <dgm:pt modelId="{77366C2E-CB53-4EFE-8B84-3F5C0DC9B00E}" type="pres">
      <dgm:prSet presAssocID="{4571EA84-01AC-4D93-B56B-196DCDA5614D}" presName="hierChild4" presStyleCnt="0"/>
      <dgm:spPr/>
    </dgm:pt>
    <dgm:pt modelId="{8FC0F736-47BD-424C-8805-88269550A5C3}" type="pres">
      <dgm:prSet presAssocID="{9BDBF31B-5B9C-421E-A0AC-87C28A91D8A3}" presName="Name37" presStyleLbl="parChTrans1D4" presStyleIdx="0" presStyleCnt="27"/>
      <dgm:spPr/>
    </dgm:pt>
    <dgm:pt modelId="{74CFFFDE-C384-4852-92A7-744726C1321B}" type="pres">
      <dgm:prSet presAssocID="{1A8A40EF-8DAF-4F95-A8A8-9EDC60EFF261}" presName="hierRoot2" presStyleCnt="0">
        <dgm:presLayoutVars>
          <dgm:hierBranch val="init"/>
        </dgm:presLayoutVars>
      </dgm:prSet>
      <dgm:spPr/>
    </dgm:pt>
    <dgm:pt modelId="{9ADFC50A-141C-44F8-B1D3-539CDCFC75F4}" type="pres">
      <dgm:prSet presAssocID="{1A8A40EF-8DAF-4F95-A8A8-9EDC60EFF261}" presName="rootComposite" presStyleCnt="0"/>
      <dgm:spPr/>
    </dgm:pt>
    <dgm:pt modelId="{D07D5271-1111-404F-B10C-7FA0DA79FD95}" type="pres">
      <dgm:prSet presAssocID="{1A8A40EF-8DAF-4F95-A8A8-9EDC60EFF261}" presName="rootText" presStyleLbl="node4" presStyleIdx="0" presStyleCnt="27" custScaleX="66378" custScaleY="81486" custLinFactX="200000" custLinFactNeighborX="285505" custLinFactNeighborY="15069">
        <dgm:presLayoutVars>
          <dgm:chPref val="3"/>
        </dgm:presLayoutVars>
      </dgm:prSet>
      <dgm:spPr>
        <a:prstGeom prst="roundRect">
          <a:avLst/>
        </a:prstGeom>
      </dgm:spPr>
    </dgm:pt>
    <dgm:pt modelId="{531CA6AD-C52D-4BFB-A714-20D75B008777}" type="pres">
      <dgm:prSet presAssocID="{1A8A40EF-8DAF-4F95-A8A8-9EDC60EFF261}" presName="rootConnector" presStyleLbl="node4" presStyleIdx="0" presStyleCnt="27"/>
      <dgm:spPr/>
    </dgm:pt>
    <dgm:pt modelId="{43A2F18C-F7DB-4389-8B1D-6F96C0E50DCB}" type="pres">
      <dgm:prSet presAssocID="{1A8A40EF-8DAF-4F95-A8A8-9EDC60EFF261}" presName="hierChild4" presStyleCnt="0"/>
      <dgm:spPr/>
    </dgm:pt>
    <dgm:pt modelId="{970351EB-4976-4C25-A7AE-0FC2D110735F}" type="pres">
      <dgm:prSet presAssocID="{0311CF14-5206-4EE8-AA92-85A9AA7B0E71}" presName="Name37" presStyleLbl="parChTrans1D4" presStyleIdx="1" presStyleCnt="27"/>
      <dgm:spPr/>
    </dgm:pt>
    <dgm:pt modelId="{7EFBF7B2-19F8-4BBA-9654-70F0D362CDD9}" type="pres">
      <dgm:prSet presAssocID="{2EFC8D25-A139-4771-9F48-2EF6036CDCAC}" presName="hierRoot2" presStyleCnt="0">
        <dgm:presLayoutVars>
          <dgm:hierBranch val="init"/>
        </dgm:presLayoutVars>
      </dgm:prSet>
      <dgm:spPr/>
    </dgm:pt>
    <dgm:pt modelId="{37C16A8F-00EE-427E-B8A7-6057B33B8929}" type="pres">
      <dgm:prSet presAssocID="{2EFC8D25-A139-4771-9F48-2EF6036CDCAC}" presName="rootComposite" presStyleCnt="0"/>
      <dgm:spPr/>
    </dgm:pt>
    <dgm:pt modelId="{1DF4CD26-0511-4850-998B-D2CADB96B0D8}" type="pres">
      <dgm:prSet presAssocID="{2EFC8D25-A139-4771-9F48-2EF6036CDCAC}" presName="rootText" presStyleLbl="node4" presStyleIdx="1" presStyleCnt="27" custScaleX="68947" custScaleY="82146" custLinFactX="200000" custLinFactNeighborX="281758" custLinFactNeighborY="-12995">
        <dgm:presLayoutVars>
          <dgm:chPref val="3"/>
        </dgm:presLayoutVars>
      </dgm:prSet>
      <dgm:spPr>
        <a:prstGeom prst="ellipse">
          <a:avLst/>
        </a:prstGeom>
      </dgm:spPr>
    </dgm:pt>
    <dgm:pt modelId="{D8D942BC-9C6A-4440-8A13-23C817B3ED31}" type="pres">
      <dgm:prSet presAssocID="{2EFC8D25-A139-4771-9F48-2EF6036CDCAC}" presName="rootConnector" presStyleLbl="node4" presStyleIdx="1" presStyleCnt="27"/>
      <dgm:spPr/>
    </dgm:pt>
    <dgm:pt modelId="{67809C31-AC96-48C4-A6B9-FBD0267D9099}" type="pres">
      <dgm:prSet presAssocID="{2EFC8D25-A139-4771-9F48-2EF6036CDCAC}" presName="hierChild4" presStyleCnt="0"/>
      <dgm:spPr/>
    </dgm:pt>
    <dgm:pt modelId="{AF2ACDCD-ED2F-410D-B232-F7D5DCE84E52}" type="pres">
      <dgm:prSet presAssocID="{2EFC8D25-A139-4771-9F48-2EF6036CDCAC}" presName="hierChild5" presStyleCnt="0"/>
      <dgm:spPr/>
    </dgm:pt>
    <dgm:pt modelId="{0CCC70C6-134D-4BF8-A527-8A49129F93CD}" type="pres">
      <dgm:prSet presAssocID="{782A7D55-B9B0-4BC0-8D79-1519EDC4A96B}" presName="Name37" presStyleLbl="parChTrans1D4" presStyleIdx="2" presStyleCnt="27"/>
      <dgm:spPr/>
    </dgm:pt>
    <dgm:pt modelId="{92EF73DE-B840-4947-BE4F-28104B8F14D3}" type="pres">
      <dgm:prSet presAssocID="{5373CE7C-F6A7-4644-861C-53F0DEE93B6A}" presName="hierRoot2" presStyleCnt="0">
        <dgm:presLayoutVars>
          <dgm:hierBranch val="init"/>
        </dgm:presLayoutVars>
      </dgm:prSet>
      <dgm:spPr/>
    </dgm:pt>
    <dgm:pt modelId="{2F43C326-4A09-4662-9029-66F9D4BF3E2D}" type="pres">
      <dgm:prSet presAssocID="{5373CE7C-F6A7-4644-861C-53F0DEE93B6A}" presName="rootComposite" presStyleCnt="0"/>
      <dgm:spPr/>
    </dgm:pt>
    <dgm:pt modelId="{58C39C79-F0AE-4E80-BD45-147A0D14A141}" type="pres">
      <dgm:prSet presAssocID="{5373CE7C-F6A7-4644-861C-53F0DEE93B6A}" presName="rootText" presStyleLbl="node4" presStyleIdx="2" presStyleCnt="27" custScaleX="68947" custScaleY="82146" custLinFactX="200000" custLinFactNeighborX="281758" custLinFactNeighborY="-40378">
        <dgm:presLayoutVars>
          <dgm:chPref val="3"/>
        </dgm:presLayoutVars>
      </dgm:prSet>
      <dgm:spPr>
        <a:prstGeom prst="ellipse">
          <a:avLst/>
        </a:prstGeom>
      </dgm:spPr>
    </dgm:pt>
    <dgm:pt modelId="{5AE5695D-4C46-4FD9-9AFA-1F703F952553}" type="pres">
      <dgm:prSet presAssocID="{5373CE7C-F6A7-4644-861C-53F0DEE93B6A}" presName="rootConnector" presStyleLbl="node4" presStyleIdx="2" presStyleCnt="27"/>
      <dgm:spPr/>
    </dgm:pt>
    <dgm:pt modelId="{56AEB8E7-AC71-407D-A8AB-35AC598E8649}" type="pres">
      <dgm:prSet presAssocID="{5373CE7C-F6A7-4644-861C-53F0DEE93B6A}" presName="hierChild4" presStyleCnt="0"/>
      <dgm:spPr/>
    </dgm:pt>
    <dgm:pt modelId="{BBBDD88F-04BD-4120-868C-ABA8CA1ECBE3}" type="pres">
      <dgm:prSet presAssocID="{5373CE7C-F6A7-4644-861C-53F0DEE93B6A}" presName="hierChild5" presStyleCnt="0"/>
      <dgm:spPr/>
    </dgm:pt>
    <dgm:pt modelId="{8DEEF7A4-74E7-40A0-8998-E00E8A86BF5B}" type="pres">
      <dgm:prSet presAssocID="{D2B32D6E-179A-460D-BF95-986BBDEF9FB4}" presName="Name37" presStyleLbl="parChTrans1D4" presStyleIdx="3" presStyleCnt="27"/>
      <dgm:spPr/>
    </dgm:pt>
    <dgm:pt modelId="{D9309D63-2E5D-404B-9D05-CDB4BCC04070}" type="pres">
      <dgm:prSet presAssocID="{3076FEBA-2CA6-4267-8A9C-DF2D2DA148E5}" presName="hierRoot2" presStyleCnt="0">
        <dgm:presLayoutVars>
          <dgm:hierBranch val="init"/>
        </dgm:presLayoutVars>
      </dgm:prSet>
      <dgm:spPr/>
    </dgm:pt>
    <dgm:pt modelId="{B5B3C50B-3F7D-4EE1-BC00-D41D05CBF8B0}" type="pres">
      <dgm:prSet presAssocID="{3076FEBA-2CA6-4267-8A9C-DF2D2DA148E5}" presName="rootComposite" presStyleCnt="0"/>
      <dgm:spPr/>
    </dgm:pt>
    <dgm:pt modelId="{C2E81217-0893-4465-861D-535B2D51FFC6}" type="pres">
      <dgm:prSet presAssocID="{3076FEBA-2CA6-4267-8A9C-DF2D2DA148E5}" presName="rootText" presStyleLbl="node4" presStyleIdx="3" presStyleCnt="27" custScaleX="68947" custScaleY="82146" custLinFactX="200000" custLinFactNeighborX="283150" custLinFactNeighborY="-68689">
        <dgm:presLayoutVars>
          <dgm:chPref val="3"/>
        </dgm:presLayoutVars>
      </dgm:prSet>
      <dgm:spPr>
        <a:prstGeom prst="ellipse">
          <a:avLst/>
        </a:prstGeom>
      </dgm:spPr>
    </dgm:pt>
    <dgm:pt modelId="{5200385D-B39B-43F2-9939-B1326196DA3B}" type="pres">
      <dgm:prSet presAssocID="{3076FEBA-2CA6-4267-8A9C-DF2D2DA148E5}" presName="rootConnector" presStyleLbl="node4" presStyleIdx="3" presStyleCnt="27"/>
      <dgm:spPr/>
    </dgm:pt>
    <dgm:pt modelId="{64DC4A21-408F-4BBD-9892-2F5B0E0DF1E0}" type="pres">
      <dgm:prSet presAssocID="{3076FEBA-2CA6-4267-8A9C-DF2D2DA148E5}" presName="hierChild4" presStyleCnt="0"/>
      <dgm:spPr/>
    </dgm:pt>
    <dgm:pt modelId="{1871EEE7-81C4-4961-A0B7-D9D6F5A0D2EB}" type="pres">
      <dgm:prSet presAssocID="{3076FEBA-2CA6-4267-8A9C-DF2D2DA148E5}" presName="hierChild5" presStyleCnt="0"/>
      <dgm:spPr/>
    </dgm:pt>
    <dgm:pt modelId="{8D65C85C-0D96-4C8A-8529-ED6AEFB479E6}" type="pres">
      <dgm:prSet presAssocID="{1A8A40EF-8DAF-4F95-A8A8-9EDC60EFF261}" presName="hierChild5" presStyleCnt="0"/>
      <dgm:spPr/>
    </dgm:pt>
    <dgm:pt modelId="{000BD349-D548-4803-9A35-1294A8C6259F}" type="pres">
      <dgm:prSet presAssocID="{EF3BF389-5649-42E5-B1A0-8CB8CDBD636A}" presName="Name37" presStyleLbl="parChTrans1D4" presStyleIdx="4" presStyleCnt="27"/>
      <dgm:spPr/>
    </dgm:pt>
    <dgm:pt modelId="{A204D2C5-C2DB-4F3E-9E0F-0575AD0DD801}" type="pres">
      <dgm:prSet presAssocID="{0F9F4A7E-DA2C-426C-B383-0DD87DE18415}" presName="hierRoot2" presStyleCnt="0">
        <dgm:presLayoutVars>
          <dgm:hierBranch val="init"/>
        </dgm:presLayoutVars>
      </dgm:prSet>
      <dgm:spPr/>
    </dgm:pt>
    <dgm:pt modelId="{F2C48F7A-D00F-41F2-87CA-A19DA01B7C05}" type="pres">
      <dgm:prSet presAssocID="{0F9F4A7E-DA2C-426C-B383-0DD87DE18415}" presName="rootComposite" presStyleCnt="0"/>
      <dgm:spPr/>
    </dgm:pt>
    <dgm:pt modelId="{A0D5FA5A-717E-4275-92A0-18C1F606CD95}" type="pres">
      <dgm:prSet presAssocID="{0F9F4A7E-DA2C-426C-B383-0DD87DE18415}" presName="rootText" presStyleLbl="node4" presStyleIdx="4" presStyleCnt="27" custScaleX="75850" custScaleY="76653" custLinFactX="200000" custLinFactNeighborX="273557" custLinFactNeighborY="14820">
        <dgm:presLayoutVars>
          <dgm:chPref val="3"/>
        </dgm:presLayoutVars>
      </dgm:prSet>
      <dgm:spPr>
        <a:prstGeom prst="roundRect">
          <a:avLst/>
        </a:prstGeom>
      </dgm:spPr>
    </dgm:pt>
    <dgm:pt modelId="{FE62FBFF-AB43-480B-9921-A2AC3E71681A}" type="pres">
      <dgm:prSet presAssocID="{0F9F4A7E-DA2C-426C-B383-0DD87DE18415}" presName="rootConnector" presStyleLbl="node4" presStyleIdx="4" presStyleCnt="27"/>
      <dgm:spPr/>
    </dgm:pt>
    <dgm:pt modelId="{C524CCD2-0667-4533-B378-82A7DBBAE52B}" type="pres">
      <dgm:prSet presAssocID="{0F9F4A7E-DA2C-426C-B383-0DD87DE18415}" presName="hierChild4" presStyleCnt="0"/>
      <dgm:spPr/>
    </dgm:pt>
    <dgm:pt modelId="{F59CA4A3-D120-4930-9E28-293937EB0DA9}" type="pres">
      <dgm:prSet presAssocID="{7B30B2CC-09D3-46B9-96F4-F2E8195D5557}" presName="Name37" presStyleLbl="parChTrans1D4" presStyleIdx="5" presStyleCnt="27"/>
      <dgm:spPr/>
    </dgm:pt>
    <dgm:pt modelId="{E99F9E47-E761-4E62-8017-343AC87A03DE}" type="pres">
      <dgm:prSet presAssocID="{048FF3A5-23F8-44FA-B8F5-99D5398474A8}" presName="hierRoot2" presStyleCnt="0">
        <dgm:presLayoutVars>
          <dgm:hierBranch val="init"/>
        </dgm:presLayoutVars>
      </dgm:prSet>
      <dgm:spPr/>
    </dgm:pt>
    <dgm:pt modelId="{BF653726-77B8-417F-BFFC-F2B40847E0B1}" type="pres">
      <dgm:prSet presAssocID="{048FF3A5-23F8-44FA-B8F5-99D5398474A8}" presName="rootComposite" presStyleCnt="0"/>
      <dgm:spPr/>
    </dgm:pt>
    <dgm:pt modelId="{B6B3BFC2-2294-4CC5-8547-2ED0D91D5231}" type="pres">
      <dgm:prSet presAssocID="{048FF3A5-23F8-44FA-B8F5-99D5398474A8}" presName="rootText" presStyleLbl="node4" presStyleIdx="5" presStyleCnt="27" custScaleX="65801" custScaleY="80066" custLinFactX="200000" custLinFactNeighborX="268991" custLinFactNeighborY="-17981">
        <dgm:presLayoutVars>
          <dgm:chPref val="3"/>
        </dgm:presLayoutVars>
      </dgm:prSet>
      <dgm:spPr>
        <a:prstGeom prst="ellipse">
          <a:avLst/>
        </a:prstGeom>
      </dgm:spPr>
    </dgm:pt>
    <dgm:pt modelId="{9A7CB56F-5144-4253-B7DC-19820EFB62BF}" type="pres">
      <dgm:prSet presAssocID="{048FF3A5-23F8-44FA-B8F5-99D5398474A8}" presName="rootConnector" presStyleLbl="node4" presStyleIdx="5" presStyleCnt="27"/>
      <dgm:spPr/>
    </dgm:pt>
    <dgm:pt modelId="{5DFD8282-E33B-434E-A0C3-32EE084F210C}" type="pres">
      <dgm:prSet presAssocID="{048FF3A5-23F8-44FA-B8F5-99D5398474A8}" presName="hierChild4" presStyleCnt="0"/>
      <dgm:spPr/>
    </dgm:pt>
    <dgm:pt modelId="{34EAA717-6DFD-4074-B2E6-09008DF76258}" type="pres">
      <dgm:prSet presAssocID="{048FF3A5-23F8-44FA-B8F5-99D5398474A8}" presName="hierChild5" presStyleCnt="0"/>
      <dgm:spPr/>
    </dgm:pt>
    <dgm:pt modelId="{E1B81E8B-98AC-449C-8EB9-3FE9AC757359}" type="pres">
      <dgm:prSet presAssocID="{1EEE020F-231A-441F-93AD-26A36345B786}" presName="Name37" presStyleLbl="parChTrans1D4" presStyleIdx="6" presStyleCnt="27"/>
      <dgm:spPr/>
    </dgm:pt>
    <dgm:pt modelId="{520E178F-199E-4E82-82A7-DCD20F0724AD}" type="pres">
      <dgm:prSet presAssocID="{69F1C45B-4215-4300-9ED2-6B8D3C5324FB}" presName="hierRoot2" presStyleCnt="0">
        <dgm:presLayoutVars>
          <dgm:hierBranch val="init"/>
        </dgm:presLayoutVars>
      </dgm:prSet>
      <dgm:spPr/>
    </dgm:pt>
    <dgm:pt modelId="{1BD5C5E4-8C51-4D3E-A306-1D387B27D561}" type="pres">
      <dgm:prSet presAssocID="{69F1C45B-4215-4300-9ED2-6B8D3C5324FB}" presName="rootComposite" presStyleCnt="0"/>
      <dgm:spPr/>
    </dgm:pt>
    <dgm:pt modelId="{07692B59-7582-4EA3-BC80-24308F1EAAC1}" type="pres">
      <dgm:prSet presAssocID="{69F1C45B-4215-4300-9ED2-6B8D3C5324FB}" presName="rootText" presStyleLbl="node4" presStyleIdx="6" presStyleCnt="27" custScaleX="67261" custScaleY="80165" custLinFactX="200000" custLinFactNeighborX="267531" custLinFactNeighborY="-48242">
        <dgm:presLayoutVars>
          <dgm:chPref val="3"/>
        </dgm:presLayoutVars>
      </dgm:prSet>
      <dgm:spPr>
        <a:prstGeom prst="ellipse">
          <a:avLst/>
        </a:prstGeom>
      </dgm:spPr>
    </dgm:pt>
    <dgm:pt modelId="{02BC17F3-3A41-421B-99C9-8A87DD565F85}" type="pres">
      <dgm:prSet presAssocID="{69F1C45B-4215-4300-9ED2-6B8D3C5324FB}" presName="rootConnector" presStyleLbl="node4" presStyleIdx="6" presStyleCnt="27"/>
      <dgm:spPr/>
    </dgm:pt>
    <dgm:pt modelId="{E11A8DCC-EDC3-42EE-824B-82EB41A8B628}" type="pres">
      <dgm:prSet presAssocID="{69F1C45B-4215-4300-9ED2-6B8D3C5324FB}" presName="hierChild4" presStyleCnt="0"/>
      <dgm:spPr/>
    </dgm:pt>
    <dgm:pt modelId="{23833CD3-8BC6-4A92-845B-432C810E0246}" type="pres">
      <dgm:prSet presAssocID="{69F1C45B-4215-4300-9ED2-6B8D3C5324FB}" presName="hierChild5" presStyleCnt="0"/>
      <dgm:spPr/>
    </dgm:pt>
    <dgm:pt modelId="{C7E0B80B-1EFB-4613-86EC-D3CB7CA0AFA1}" type="pres">
      <dgm:prSet presAssocID="{B05238C4-D9F9-4498-93F8-35DB127B02D7}" presName="Name37" presStyleLbl="parChTrans1D4" presStyleIdx="7" presStyleCnt="27"/>
      <dgm:spPr/>
    </dgm:pt>
    <dgm:pt modelId="{57D9B335-BEB8-4E2A-A433-8C280950A329}" type="pres">
      <dgm:prSet presAssocID="{E89B7A4C-AF3F-4014-A33E-1787BDFBD278}" presName="hierRoot2" presStyleCnt="0">
        <dgm:presLayoutVars>
          <dgm:hierBranch val="init"/>
        </dgm:presLayoutVars>
      </dgm:prSet>
      <dgm:spPr/>
    </dgm:pt>
    <dgm:pt modelId="{9BE58DB9-AF35-430D-9FEB-14AFAEC19598}" type="pres">
      <dgm:prSet presAssocID="{E89B7A4C-AF3F-4014-A33E-1787BDFBD278}" presName="rootComposite" presStyleCnt="0"/>
      <dgm:spPr/>
    </dgm:pt>
    <dgm:pt modelId="{251CE618-14FC-461D-80CB-4B7272FE488D}" type="pres">
      <dgm:prSet presAssocID="{E89B7A4C-AF3F-4014-A33E-1787BDFBD278}" presName="rootText" presStyleLbl="node4" presStyleIdx="7" presStyleCnt="27" custScaleX="70612" custScaleY="83797" custLinFactX="200000" custLinFactNeighborX="266269" custLinFactNeighborY="-77408">
        <dgm:presLayoutVars>
          <dgm:chPref val="3"/>
        </dgm:presLayoutVars>
      </dgm:prSet>
      <dgm:spPr>
        <a:prstGeom prst="ellipse">
          <a:avLst/>
        </a:prstGeom>
      </dgm:spPr>
    </dgm:pt>
    <dgm:pt modelId="{88DD8089-8FE8-4D4E-A9E9-B9DFE6AC6DCF}" type="pres">
      <dgm:prSet presAssocID="{E89B7A4C-AF3F-4014-A33E-1787BDFBD278}" presName="rootConnector" presStyleLbl="node4" presStyleIdx="7" presStyleCnt="27"/>
      <dgm:spPr/>
    </dgm:pt>
    <dgm:pt modelId="{12343A4D-A73C-4373-8D6D-7CCED023DD1D}" type="pres">
      <dgm:prSet presAssocID="{E89B7A4C-AF3F-4014-A33E-1787BDFBD278}" presName="hierChild4" presStyleCnt="0"/>
      <dgm:spPr/>
    </dgm:pt>
    <dgm:pt modelId="{D8CE80FD-37FB-45F5-AB12-11B34575D43F}" type="pres">
      <dgm:prSet presAssocID="{E89B7A4C-AF3F-4014-A33E-1787BDFBD278}" presName="hierChild5" presStyleCnt="0"/>
      <dgm:spPr/>
    </dgm:pt>
    <dgm:pt modelId="{EC8B81B5-2B2E-4F48-835F-7953FA768894}" type="pres">
      <dgm:prSet presAssocID="{0F9F4A7E-DA2C-426C-B383-0DD87DE18415}" presName="hierChild5" presStyleCnt="0"/>
      <dgm:spPr/>
    </dgm:pt>
    <dgm:pt modelId="{1D92EA26-CFBE-40DD-B61E-1DA472D072E8}" type="pres">
      <dgm:prSet presAssocID="{4571EA84-01AC-4D93-B56B-196DCDA5614D}" presName="hierChild5" presStyleCnt="0"/>
      <dgm:spPr/>
    </dgm:pt>
    <dgm:pt modelId="{0E0D418B-B3A8-4246-8FFA-C1984AACA608}" type="pres">
      <dgm:prSet presAssocID="{CA234379-E00F-451C-8A89-3B8A823C1DCA}" presName="Name37" presStyleLbl="parChTrans1D3" presStyleIdx="1" presStyleCnt="2"/>
      <dgm:spPr/>
    </dgm:pt>
    <dgm:pt modelId="{E711CF37-8AFC-4A6B-9BEB-37AF1A463BDF}" type="pres">
      <dgm:prSet presAssocID="{9A638245-AB7F-442D-B1BF-C0761A9B9C5F}" presName="hierRoot2" presStyleCnt="0">
        <dgm:presLayoutVars>
          <dgm:hierBranch val="init"/>
        </dgm:presLayoutVars>
      </dgm:prSet>
      <dgm:spPr/>
    </dgm:pt>
    <dgm:pt modelId="{FFC61C90-6A5F-455C-B597-3570D521B063}" type="pres">
      <dgm:prSet presAssocID="{9A638245-AB7F-442D-B1BF-C0761A9B9C5F}" presName="rootComposite" presStyleCnt="0"/>
      <dgm:spPr/>
    </dgm:pt>
    <dgm:pt modelId="{673E3EDB-A72F-4F99-AF2E-2FB26091A5AC}" type="pres">
      <dgm:prSet presAssocID="{9A638245-AB7F-442D-B1BF-C0761A9B9C5F}" presName="rootText" presStyleLbl="node3" presStyleIdx="1" presStyleCnt="2" custScaleX="90938" custScaleY="85470" custLinFactX="-200000" custLinFactNeighborX="-202035" custLinFactNeighborY="12475">
        <dgm:presLayoutVars>
          <dgm:chPref val="3"/>
        </dgm:presLayoutVars>
      </dgm:prSet>
      <dgm:spPr>
        <a:prstGeom prst="roundRect">
          <a:avLst/>
        </a:prstGeom>
      </dgm:spPr>
    </dgm:pt>
    <dgm:pt modelId="{2A73088D-7CC0-4499-9F69-4613CF3EA5D6}" type="pres">
      <dgm:prSet presAssocID="{9A638245-AB7F-442D-B1BF-C0761A9B9C5F}" presName="rootConnector" presStyleLbl="node3" presStyleIdx="1" presStyleCnt="2"/>
      <dgm:spPr/>
    </dgm:pt>
    <dgm:pt modelId="{5BB26DEF-D803-4BB5-BFE1-A87A5D793741}" type="pres">
      <dgm:prSet presAssocID="{9A638245-AB7F-442D-B1BF-C0761A9B9C5F}" presName="hierChild4" presStyleCnt="0"/>
      <dgm:spPr/>
    </dgm:pt>
    <dgm:pt modelId="{86F5B7F1-D150-4452-B023-2CA7FE38D454}" type="pres">
      <dgm:prSet presAssocID="{B2A1ED79-49F8-462B-9137-D253BF3E38F8}" presName="Name37" presStyleLbl="parChTrans1D4" presStyleIdx="8" presStyleCnt="27"/>
      <dgm:spPr/>
    </dgm:pt>
    <dgm:pt modelId="{AE97C82D-D698-4C60-BE2F-705F67693DB1}" type="pres">
      <dgm:prSet presAssocID="{B423AFE7-FB2C-42C8-8B41-47A08D8883D4}" presName="hierRoot2" presStyleCnt="0">
        <dgm:presLayoutVars>
          <dgm:hierBranch val="init"/>
        </dgm:presLayoutVars>
      </dgm:prSet>
      <dgm:spPr/>
    </dgm:pt>
    <dgm:pt modelId="{FAFD0A6C-6470-4B70-9885-0BBDF340F936}" type="pres">
      <dgm:prSet presAssocID="{B423AFE7-FB2C-42C8-8B41-47A08D8883D4}" presName="rootComposite" presStyleCnt="0"/>
      <dgm:spPr/>
    </dgm:pt>
    <dgm:pt modelId="{BC4B7941-EC4B-450F-9893-D26E6916A1A5}" type="pres">
      <dgm:prSet presAssocID="{B423AFE7-FB2C-42C8-8B41-47A08D8883D4}" presName="rootText" presStyleLbl="node4" presStyleIdx="8" presStyleCnt="27" custScaleX="82985" custScaleY="68862" custLinFactX="-100000" custLinFactNeighborX="-112903" custLinFactNeighborY="4912">
        <dgm:presLayoutVars>
          <dgm:chPref val="3"/>
        </dgm:presLayoutVars>
      </dgm:prSet>
      <dgm:spPr>
        <a:prstGeom prst="roundRect">
          <a:avLst/>
        </a:prstGeom>
      </dgm:spPr>
    </dgm:pt>
    <dgm:pt modelId="{4BC7D3C6-58AB-4E23-A7CD-D2BBB26A3B64}" type="pres">
      <dgm:prSet presAssocID="{B423AFE7-FB2C-42C8-8B41-47A08D8883D4}" presName="rootConnector" presStyleLbl="node4" presStyleIdx="8" presStyleCnt="27"/>
      <dgm:spPr/>
    </dgm:pt>
    <dgm:pt modelId="{8DF0F103-E4C7-4D60-A1DB-A1AEA58CC4AB}" type="pres">
      <dgm:prSet presAssocID="{B423AFE7-FB2C-42C8-8B41-47A08D8883D4}" presName="hierChild4" presStyleCnt="0"/>
      <dgm:spPr/>
    </dgm:pt>
    <dgm:pt modelId="{413E99A7-7114-4139-9A77-EC212E747121}" type="pres">
      <dgm:prSet presAssocID="{2FF1C3E0-1B54-4957-8BAD-8CF5834E38BD}" presName="Name37" presStyleLbl="parChTrans1D4" presStyleIdx="9" presStyleCnt="27"/>
      <dgm:spPr/>
    </dgm:pt>
    <dgm:pt modelId="{3E8E8647-5A6F-4336-989C-68684307BC3D}" type="pres">
      <dgm:prSet presAssocID="{9DC69E29-5945-4125-8DE4-A849A5610A0D}" presName="hierRoot2" presStyleCnt="0">
        <dgm:presLayoutVars>
          <dgm:hierBranch val="init"/>
        </dgm:presLayoutVars>
      </dgm:prSet>
      <dgm:spPr/>
    </dgm:pt>
    <dgm:pt modelId="{2D7E9137-4A9A-47C5-95E6-81DD0FDF2B94}" type="pres">
      <dgm:prSet presAssocID="{9DC69E29-5945-4125-8DE4-A849A5610A0D}" presName="rootComposite" presStyleCnt="0"/>
      <dgm:spPr/>
    </dgm:pt>
    <dgm:pt modelId="{D82A0DF4-1ACB-4B15-AFD9-1F57A2700E6E}" type="pres">
      <dgm:prSet presAssocID="{9DC69E29-5945-4125-8DE4-A849A5610A0D}" presName="rootText" presStyleLbl="node4" presStyleIdx="9" presStyleCnt="27" custScaleX="82548" custScaleY="80559" custLinFactX="-122300" custLinFactNeighborX="-200000" custLinFactNeighborY="5461">
        <dgm:presLayoutVars>
          <dgm:chPref val="3"/>
        </dgm:presLayoutVars>
      </dgm:prSet>
      <dgm:spPr>
        <a:prstGeom prst="roundRect">
          <a:avLst/>
        </a:prstGeom>
      </dgm:spPr>
    </dgm:pt>
    <dgm:pt modelId="{B014B060-06EF-4E41-A187-EBD4DDC6013C}" type="pres">
      <dgm:prSet presAssocID="{9DC69E29-5945-4125-8DE4-A849A5610A0D}" presName="rootConnector" presStyleLbl="node4" presStyleIdx="9" presStyleCnt="27"/>
      <dgm:spPr/>
    </dgm:pt>
    <dgm:pt modelId="{61EC95B8-81CE-46D1-B8B8-950D5415DAF9}" type="pres">
      <dgm:prSet presAssocID="{9DC69E29-5945-4125-8DE4-A849A5610A0D}" presName="hierChild4" presStyleCnt="0"/>
      <dgm:spPr/>
    </dgm:pt>
    <dgm:pt modelId="{49F41791-5F10-47CB-9979-6CB263BDD089}" type="pres">
      <dgm:prSet presAssocID="{2303E7BA-2C91-4DCE-B8A6-50670B9D7D0E}" presName="Name37" presStyleLbl="parChTrans1D4" presStyleIdx="10" presStyleCnt="27"/>
      <dgm:spPr/>
    </dgm:pt>
    <dgm:pt modelId="{228A808C-EC6F-4766-8DEF-8B20A31B66C9}" type="pres">
      <dgm:prSet presAssocID="{98845F25-1A2A-4107-A901-0DC39AC19230}" presName="hierRoot2" presStyleCnt="0">
        <dgm:presLayoutVars>
          <dgm:hierBranch val="init"/>
        </dgm:presLayoutVars>
      </dgm:prSet>
      <dgm:spPr/>
    </dgm:pt>
    <dgm:pt modelId="{E82CFC5F-28FC-4559-A919-B9B1A868C01C}" type="pres">
      <dgm:prSet presAssocID="{98845F25-1A2A-4107-A901-0DC39AC19230}" presName="rootComposite" presStyleCnt="0"/>
      <dgm:spPr/>
    </dgm:pt>
    <dgm:pt modelId="{CDFD9815-943C-4CF1-A9EA-6410E5E2B875}" type="pres">
      <dgm:prSet presAssocID="{98845F25-1A2A-4107-A901-0DC39AC19230}" presName="rootText" presStyleLbl="node4" presStyleIdx="10" presStyleCnt="27" custScaleX="80504" custScaleY="93791" custLinFactX="-100000" custLinFactNeighborX="-146038" custLinFactNeighborY="-28652">
        <dgm:presLayoutVars>
          <dgm:chPref val="3"/>
        </dgm:presLayoutVars>
      </dgm:prSet>
      <dgm:spPr>
        <a:prstGeom prst="ellipse">
          <a:avLst/>
        </a:prstGeom>
      </dgm:spPr>
    </dgm:pt>
    <dgm:pt modelId="{E7A6CE37-7E7A-41DF-8518-A58BC968CC5D}" type="pres">
      <dgm:prSet presAssocID="{98845F25-1A2A-4107-A901-0DC39AC19230}" presName="rootConnector" presStyleLbl="node4" presStyleIdx="10" presStyleCnt="27"/>
      <dgm:spPr/>
    </dgm:pt>
    <dgm:pt modelId="{055577AC-9C3D-4B89-941F-5DDDD812A260}" type="pres">
      <dgm:prSet presAssocID="{98845F25-1A2A-4107-A901-0DC39AC19230}" presName="hierChild4" presStyleCnt="0"/>
      <dgm:spPr/>
    </dgm:pt>
    <dgm:pt modelId="{ECA8CE59-C0D9-4B60-8898-DF71E88065C2}" type="pres">
      <dgm:prSet presAssocID="{98845F25-1A2A-4107-A901-0DC39AC19230}" presName="hierChild5" presStyleCnt="0"/>
      <dgm:spPr/>
    </dgm:pt>
    <dgm:pt modelId="{CB07ED92-36B4-45D5-B590-CE99B9B45454}" type="pres">
      <dgm:prSet presAssocID="{34FB7A4B-58A6-4D06-9E2C-D23EBB5FB8D0}" presName="Name37" presStyleLbl="parChTrans1D4" presStyleIdx="11" presStyleCnt="27"/>
      <dgm:spPr/>
    </dgm:pt>
    <dgm:pt modelId="{5F146EEA-7D24-410E-8ABB-5131B561414E}" type="pres">
      <dgm:prSet presAssocID="{4BBE6D1A-FA2F-4025-A15D-3D020079CE04}" presName="hierRoot2" presStyleCnt="0">
        <dgm:presLayoutVars>
          <dgm:hierBranch val="init"/>
        </dgm:presLayoutVars>
      </dgm:prSet>
      <dgm:spPr/>
    </dgm:pt>
    <dgm:pt modelId="{01C83747-5B1B-4D8F-87F3-200BC15EF042}" type="pres">
      <dgm:prSet presAssocID="{4BBE6D1A-FA2F-4025-A15D-3D020079CE04}" presName="rootComposite" presStyleCnt="0"/>
      <dgm:spPr/>
    </dgm:pt>
    <dgm:pt modelId="{CCF24716-4885-4377-9215-5041E592A512}" type="pres">
      <dgm:prSet presAssocID="{4BBE6D1A-FA2F-4025-A15D-3D020079CE04}" presName="rootText" presStyleLbl="node4" presStyleIdx="11" presStyleCnt="27" custScaleX="81520" custScaleY="93491" custLinFactX="-100000" custLinFactNeighborX="-148420" custLinFactNeighborY="-54811">
        <dgm:presLayoutVars>
          <dgm:chPref val="3"/>
        </dgm:presLayoutVars>
      </dgm:prSet>
      <dgm:spPr>
        <a:prstGeom prst="ellipse">
          <a:avLst/>
        </a:prstGeom>
      </dgm:spPr>
    </dgm:pt>
    <dgm:pt modelId="{3F1204F8-7DAD-417B-BCE0-2FDA0FAE4019}" type="pres">
      <dgm:prSet presAssocID="{4BBE6D1A-FA2F-4025-A15D-3D020079CE04}" presName="rootConnector" presStyleLbl="node4" presStyleIdx="11" presStyleCnt="27"/>
      <dgm:spPr/>
    </dgm:pt>
    <dgm:pt modelId="{5F10A07C-37E2-45CA-91FA-11EF4D112ED2}" type="pres">
      <dgm:prSet presAssocID="{4BBE6D1A-FA2F-4025-A15D-3D020079CE04}" presName="hierChild4" presStyleCnt="0"/>
      <dgm:spPr/>
    </dgm:pt>
    <dgm:pt modelId="{398305B1-D21E-4698-A109-2904A2F8F1F6}" type="pres">
      <dgm:prSet presAssocID="{4BBE6D1A-FA2F-4025-A15D-3D020079CE04}" presName="hierChild5" presStyleCnt="0"/>
      <dgm:spPr/>
    </dgm:pt>
    <dgm:pt modelId="{4C33A42A-A8E4-46A2-9D33-0BEBBA0617CD}" type="pres">
      <dgm:prSet presAssocID="{9DC69E29-5945-4125-8DE4-A849A5610A0D}" presName="hierChild5" presStyleCnt="0"/>
      <dgm:spPr/>
    </dgm:pt>
    <dgm:pt modelId="{E273B93C-40CF-413B-A0D3-7F642CE6C8F1}" type="pres">
      <dgm:prSet presAssocID="{50984BDC-7EE1-45D5-971E-2994F873286B}" presName="Name37" presStyleLbl="parChTrans1D4" presStyleIdx="12" presStyleCnt="27"/>
      <dgm:spPr/>
    </dgm:pt>
    <dgm:pt modelId="{C54E92F4-F937-45A9-8050-3C0470BEC3A3}" type="pres">
      <dgm:prSet presAssocID="{D88FDF20-64B2-4A6D-AFB8-DD0FFB5AF950}" presName="hierRoot2" presStyleCnt="0">
        <dgm:presLayoutVars>
          <dgm:hierBranch val="init"/>
        </dgm:presLayoutVars>
      </dgm:prSet>
      <dgm:spPr/>
    </dgm:pt>
    <dgm:pt modelId="{B0AA9703-2C5C-454B-AA4F-5D3DD293423C}" type="pres">
      <dgm:prSet presAssocID="{D88FDF20-64B2-4A6D-AFB8-DD0FFB5AF950}" presName="rootComposite" presStyleCnt="0"/>
      <dgm:spPr/>
    </dgm:pt>
    <dgm:pt modelId="{42B132F7-4D2C-41FA-8099-FB31D3A3E5DC}" type="pres">
      <dgm:prSet presAssocID="{D88FDF20-64B2-4A6D-AFB8-DD0FFB5AF950}" presName="rootText" presStyleLbl="node4" presStyleIdx="12" presStyleCnt="27" custScaleX="82548" custScaleY="80559" custLinFactX="-100000" custLinFactNeighborX="-106302" custLinFactNeighborY="5461">
        <dgm:presLayoutVars>
          <dgm:chPref val="3"/>
        </dgm:presLayoutVars>
      </dgm:prSet>
      <dgm:spPr>
        <a:prstGeom prst="roundRect">
          <a:avLst/>
        </a:prstGeom>
      </dgm:spPr>
    </dgm:pt>
    <dgm:pt modelId="{DE5CBE33-0C6F-4EC8-90B1-D953AA52AC4D}" type="pres">
      <dgm:prSet presAssocID="{D88FDF20-64B2-4A6D-AFB8-DD0FFB5AF950}" presName="rootConnector" presStyleLbl="node4" presStyleIdx="12" presStyleCnt="27"/>
      <dgm:spPr/>
    </dgm:pt>
    <dgm:pt modelId="{8A809558-9E6D-4FBE-AD72-6D7BCBC0330F}" type="pres">
      <dgm:prSet presAssocID="{D88FDF20-64B2-4A6D-AFB8-DD0FFB5AF950}" presName="hierChild4" presStyleCnt="0"/>
      <dgm:spPr/>
    </dgm:pt>
    <dgm:pt modelId="{7D0E6903-5E77-4AAA-BF3A-A1BDB43F5AB2}" type="pres">
      <dgm:prSet presAssocID="{8DE01D35-529F-4172-8E61-0D5518A744C8}" presName="Name37" presStyleLbl="parChTrans1D4" presStyleIdx="13" presStyleCnt="27"/>
      <dgm:spPr/>
    </dgm:pt>
    <dgm:pt modelId="{23779C0E-D2D7-4B47-B63E-04C2A5533AB3}" type="pres">
      <dgm:prSet presAssocID="{9EC8931D-517B-41B7-A415-9606E2D092C3}" presName="hierRoot2" presStyleCnt="0">
        <dgm:presLayoutVars>
          <dgm:hierBranch val="init"/>
        </dgm:presLayoutVars>
      </dgm:prSet>
      <dgm:spPr/>
    </dgm:pt>
    <dgm:pt modelId="{86FE5E33-F9C8-43BA-9090-3124E28BD1A9}" type="pres">
      <dgm:prSet presAssocID="{9EC8931D-517B-41B7-A415-9606E2D092C3}" presName="rootComposite" presStyleCnt="0"/>
      <dgm:spPr/>
    </dgm:pt>
    <dgm:pt modelId="{05385268-1BD6-4D9E-A023-A2FAAE2CC356}" type="pres">
      <dgm:prSet presAssocID="{9EC8931D-517B-41B7-A415-9606E2D092C3}" presName="rootText" presStyleLbl="node4" presStyleIdx="13" presStyleCnt="27" custScaleX="80821" custScaleY="95127" custLinFactX="-100000" custLinFactNeighborX="-110280" custLinFactNeighborY="-28305">
        <dgm:presLayoutVars>
          <dgm:chPref val="3"/>
        </dgm:presLayoutVars>
      </dgm:prSet>
      <dgm:spPr>
        <a:prstGeom prst="ellipse">
          <a:avLst/>
        </a:prstGeom>
      </dgm:spPr>
    </dgm:pt>
    <dgm:pt modelId="{282D844B-A684-41AE-9860-0775060F9049}" type="pres">
      <dgm:prSet presAssocID="{9EC8931D-517B-41B7-A415-9606E2D092C3}" presName="rootConnector" presStyleLbl="node4" presStyleIdx="13" presStyleCnt="27"/>
      <dgm:spPr/>
    </dgm:pt>
    <dgm:pt modelId="{A6F3AB52-2958-4AA6-A425-305CBCCE9BB1}" type="pres">
      <dgm:prSet presAssocID="{9EC8931D-517B-41B7-A415-9606E2D092C3}" presName="hierChild4" presStyleCnt="0"/>
      <dgm:spPr/>
    </dgm:pt>
    <dgm:pt modelId="{E8D214A7-B013-488E-9967-CF6EB89DA3F4}" type="pres">
      <dgm:prSet presAssocID="{9EC8931D-517B-41B7-A415-9606E2D092C3}" presName="hierChild5" presStyleCnt="0"/>
      <dgm:spPr/>
    </dgm:pt>
    <dgm:pt modelId="{DD9FC7C8-8D0F-4313-A6BC-B76639AED71B}" type="pres">
      <dgm:prSet presAssocID="{F3C076E6-55F1-40FE-A291-5A97AD4CC9AF}" presName="Name37" presStyleLbl="parChTrans1D4" presStyleIdx="14" presStyleCnt="27"/>
      <dgm:spPr/>
    </dgm:pt>
    <dgm:pt modelId="{1C72AE27-DCFA-40AD-88EE-4B6010CE2537}" type="pres">
      <dgm:prSet presAssocID="{ABBFA838-B17B-40D7-9783-60F1013DD7F5}" presName="hierRoot2" presStyleCnt="0">
        <dgm:presLayoutVars>
          <dgm:hierBranch val="init"/>
        </dgm:presLayoutVars>
      </dgm:prSet>
      <dgm:spPr/>
    </dgm:pt>
    <dgm:pt modelId="{4602B22D-94FB-49FE-AB91-AE3EC7770E67}" type="pres">
      <dgm:prSet presAssocID="{ABBFA838-B17B-40D7-9783-60F1013DD7F5}" presName="rootComposite" presStyleCnt="0"/>
      <dgm:spPr/>
    </dgm:pt>
    <dgm:pt modelId="{5047A8A6-6E1D-4983-A550-D67862490A8D}" type="pres">
      <dgm:prSet presAssocID="{ABBFA838-B17B-40D7-9783-60F1013DD7F5}" presName="rootText" presStyleLbl="node4" presStyleIdx="14" presStyleCnt="27" custScaleX="79008" custScaleY="98352" custLinFactX="-100000" custLinFactNeighborX="-110280" custLinFactNeighborY="-53634">
        <dgm:presLayoutVars>
          <dgm:chPref val="3"/>
        </dgm:presLayoutVars>
      </dgm:prSet>
      <dgm:spPr>
        <a:prstGeom prst="ellipse">
          <a:avLst/>
        </a:prstGeom>
      </dgm:spPr>
    </dgm:pt>
    <dgm:pt modelId="{53DE9CA0-CD8D-4B5F-AC9E-DA1D8C4737C0}" type="pres">
      <dgm:prSet presAssocID="{ABBFA838-B17B-40D7-9783-60F1013DD7F5}" presName="rootConnector" presStyleLbl="node4" presStyleIdx="14" presStyleCnt="27"/>
      <dgm:spPr/>
    </dgm:pt>
    <dgm:pt modelId="{4A984555-C804-4495-A206-C987FD188A41}" type="pres">
      <dgm:prSet presAssocID="{ABBFA838-B17B-40D7-9783-60F1013DD7F5}" presName="hierChild4" presStyleCnt="0"/>
      <dgm:spPr/>
    </dgm:pt>
    <dgm:pt modelId="{B405DED6-5585-4280-85C1-CFA38A48BB23}" type="pres">
      <dgm:prSet presAssocID="{ABBFA838-B17B-40D7-9783-60F1013DD7F5}" presName="hierChild5" presStyleCnt="0"/>
      <dgm:spPr/>
    </dgm:pt>
    <dgm:pt modelId="{57FFD02A-8CF8-4457-8B06-74D988B8204B}" type="pres">
      <dgm:prSet presAssocID="{6FE019B0-70D0-4660-8AFA-9CAD15B38940}" presName="Name37" presStyleLbl="parChTrans1D4" presStyleIdx="15" presStyleCnt="27"/>
      <dgm:spPr/>
    </dgm:pt>
    <dgm:pt modelId="{9B84D5C4-D650-44E3-A6DB-5428E3F38D41}" type="pres">
      <dgm:prSet presAssocID="{B6CA6086-360C-4E42-8E73-2873141448AB}" presName="hierRoot2" presStyleCnt="0">
        <dgm:presLayoutVars>
          <dgm:hierBranch val="init"/>
        </dgm:presLayoutVars>
      </dgm:prSet>
      <dgm:spPr/>
    </dgm:pt>
    <dgm:pt modelId="{4D126671-EF82-4282-A080-781EB3BC8E42}" type="pres">
      <dgm:prSet presAssocID="{B6CA6086-360C-4E42-8E73-2873141448AB}" presName="rootComposite" presStyleCnt="0"/>
      <dgm:spPr/>
    </dgm:pt>
    <dgm:pt modelId="{BDAAB3E5-083B-4EDC-BB72-0CF618944349}" type="pres">
      <dgm:prSet presAssocID="{B6CA6086-360C-4E42-8E73-2873141448AB}" presName="rootText" presStyleLbl="node4" presStyleIdx="15" presStyleCnt="27" custScaleX="79008" custScaleY="98352" custLinFactX="-100000" custLinFactNeighborX="-110817" custLinFactNeighborY="-76900">
        <dgm:presLayoutVars>
          <dgm:chPref val="3"/>
        </dgm:presLayoutVars>
      </dgm:prSet>
      <dgm:spPr>
        <a:prstGeom prst="trapezoid">
          <a:avLst/>
        </a:prstGeom>
      </dgm:spPr>
    </dgm:pt>
    <dgm:pt modelId="{ABBA47C4-9EAE-4EF6-B06C-1CF7521B593D}" type="pres">
      <dgm:prSet presAssocID="{B6CA6086-360C-4E42-8E73-2873141448AB}" presName="rootConnector" presStyleLbl="node4" presStyleIdx="15" presStyleCnt="27"/>
      <dgm:spPr/>
    </dgm:pt>
    <dgm:pt modelId="{357FC1F5-C1B2-4E85-94BD-43DA0897A711}" type="pres">
      <dgm:prSet presAssocID="{B6CA6086-360C-4E42-8E73-2873141448AB}" presName="hierChild4" presStyleCnt="0"/>
      <dgm:spPr/>
    </dgm:pt>
    <dgm:pt modelId="{4B78EF76-27E3-4AE5-BB02-3B8B0F27F56D}" type="pres">
      <dgm:prSet presAssocID="{B6CA6086-360C-4E42-8E73-2873141448AB}" presName="hierChild5" presStyleCnt="0"/>
      <dgm:spPr/>
    </dgm:pt>
    <dgm:pt modelId="{A0C2D0AD-F421-432D-86E6-E37AB0D792FD}" type="pres">
      <dgm:prSet presAssocID="{D88FDF20-64B2-4A6D-AFB8-DD0FFB5AF950}" presName="hierChild5" presStyleCnt="0"/>
      <dgm:spPr/>
    </dgm:pt>
    <dgm:pt modelId="{584BFB1A-CBB4-4CEF-95BB-628BABB3703F}" type="pres">
      <dgm:prSet presAssocID="{B423AFE7-FB2C-42C8-8B41-47A08D8883D4}" presName="hierChild5" presStyleCnt="0"/>
      <dgm:spPr/>
    </dgm:pt>
    <dgm:pt modelId="{18EF5558-9277-4D83-8106-3787E82F27B9}" type="pres">
      <dgm:prSet presAssocID="{BDFACBE3-21D8-48CA-9400-A8A1E6AE0BC4}" presName="Name37" presStyleLbl="parChTrans1D4" presStyleIdx="16" presStyleCnt="27"/>
      <dgm:spPr/>
    </dgm:pt>
    <dgm:pt modelId="{68C4D5C6-B5EF-4DD2-BA31-9DA46F306001}" type="pres">
      <dgm:prSet presAssocID="{C86C3F81-DC2B-40F7-A432-AF7D0F5C364F}" presName="hierRoot2" presStyleCnt="0">
        <dgm:presLayoutVars>
          <dgm:hierBranch val="init"/>
        </dgm:presLayoutVars>
      </dgm:prSet>
      <dgm:spPr/>
    </dgm:pt>
    <dgm:pt modelId="{946EF097-DA8C-42FC-BB30-856C9A4AD5C2}" type="pres">
      <dgm:prSet presAssocID="{C86C3F81-DC2B-40F7-A432-AF7D0F5C364F}" presName="rootComposite" presStyleCnt="0"/>
      <dgm:spPr/>
    </dgm:pt>
    <dgm:pt modelId="{17C7F73B-9A9F-41E9-84DF-C030403157CC}" type="pres">
      <dgm:prSet presAssocID="{C86C3F81-DC2B-40F7-A432-AF7D0F5C364F}" presName="rootText" presStyleLbl="node4" presStyleIdx="16" presStyleCnt="27" custScaleX="83102" custScaleY="82148" custLinFactX="-100000" custLinFactNeighborX="-113745" custLinFactNeighborY="5493">
        <dgm:presLayoutVars>
          <dgm:chPref val="3"/>
        </dgm:presLayoutVars>
      </dgm:prSet>
      <dgm:spPr>
        <a:prstGeom prst="roundRect">
          <a:avLst/>
        </a:prstGeom>
      </dgm:spPr>
    </dgm:pt>
    <dgm:pt modelId="{BA1B5DE0-2AEE-4E13-8C35-52781E5D8205}" type="pres">
      <dgm:prSet presAssocID="{C86C3F81-DC2B-40F7-A432-AF7D0F5C364F}" presName="rootConnector" presStyleLbl="node4" presStyleIdx="16" presStyleCnt="27"/>
      <dgm:spPr/>
    </dgm:pt>
    <dgm:pt modelId="{283CD4D4-C683-47FB-B248-D932992D133F}" type="pres">
      <dgm:prSet presAssocID="{C86C3F81-DC2B-40F7-A432-AF7D0F5C364F}" presName="hierChild4" presStyleCnt="0"/>
      <dgm:spPr/>
    </dgm:pt>
    <dgm:pt modelId="{BDDE39F5-1AF2-4B8E-AF1E-7BB0201E4979}" type="pres">
      <dgm:prSet presAssocID="{8AF28650-96E1-4A90-8401-BC743B81B699}" presName="Name37" presStyleLbl="parChTrans1D4" presStyleIdx="17" presStyleCnt="27"/>
      <dgm:spPr/>
    </dgm:pt>
    <dgm:pt modelId="{7E4DF3C3-CD06-4415-9032-DC67105BBC73}" type="pres">
      <dgm:prSet presAssocID="{821D418B-18D7-4127-8307-CC1DD24D7350}" presName="hierRoot2" presStyleCnt="0">
        <dgm:presLayoutVars>
          <dgm:hierBranch val="init"/>
        </dgm:presLayoutVars>
      </dgm:prSet>
      <dgm:spPr/>
    </dgm:pt>
    <dgm:pt modelId="{74FD9997-AAF3-4A0A-9DBA-95C9884B8980}" type="pres">
      <dgm:prSet presAssocID="{821D418B-18D7-4127-8307-CC1DD24D7350}" presName="rootComposite" presStyleCnt="0"/>
      <dgm:spPr/>
    </dgm:pt>
    <dgm:pt modelId="{1C8C7C2C-EFDF-4BCB-A1D5-A590DD9599C1}" type="pres">
      <dgm:prSet presAssocID="{821D418B-18D7-4127-8307-CC1DD24D7350}" presName="rootText" presStyleLbl="node4" presStyleIdx="17" presStyleCnt="27" custScaleX="71210" custScaleY="85418" custLinFactX="-100000" custLinFactNeighborX="-118393" custLinFactNeighborY="-13331">
        <dgm:presLayoutVars>
          <dgm:chPref val="3"/>
        </dgm:presLayoutVars>
      </dgm:prSet>
      <dgm:spPr>
        <a:prstGeom prst="ellipse">
          <a:avLst/>
        </a:prstGeom>
      </dgm:spPr>
    </dgm:pt>
    <dgm:pt modelId="{52E34E08-E792-4DC9-9D86-87F7DF3EF285}" type="pres">
      <dgm:prSet presAssocID="{821D418B-18D7-4127-8307-CC1DD24D7350}" presName="rootConnector" presStyleLbl="node4" presStyleIdx="17" presStyleCnt="27"/>
      <dgm:spPr/>
    </dgm:pt>
    <dgm:pt modelId="{CCEE158E-E5D5-46D2-8854-D8AEE1A1BFDA}" type="pres">
      <dgm:prSet presAssocID="{821D418B-18D7-4127-8307-CC1DD24D7350}" presName="hierChild4" presStyleCnt="0"/>
      <dgm:spPr/>
    </dgm:pt>
    <dgm:pt modelId="{2269DF73-E4BB-4FFD-AD57-FDDD15014EFA}" type="pres">
      <dgm:prSet presAssocID="{821D418B-18D7-4127-8307-CC1DD24D7350}" presName="hierChild5" presStyleCnt="0"/>
      <dgm:spPr/>
    </dgm:pt>
    <dgm:pt modelId="{6D2BDEBB-7EB1-4ACE-BC8A-D00BC15B8F6C}" type="pres">
      <dgm:prSet presAssocID="{19653C43-8D79-4234-8E9D-C450F0F7DD60}" presName="Name37" presStyleLbl="parChTrans1D4" presStyleIdx="18" presStyleCnt="27"/>
      <dgm:spPr/>
    </dgm:pt>
    <dgm:pt modelId="{BD30B428-65ED-40FD-BC4D-69A2DBC0763C}" type="pres">
      <dgm:prSet presAssocID="{1027639A-98DC-4C4F-9566-EE0C53394183}" presName="hierRoot2" presStyleCnt="0">
        <dgm:presLayoutVars>
          <dgm:hierBranch val="init"/>
        </dgm:presLayoutVars>
      </dgm:prSet>
      <dgm:spPr/>
    </dgm:pt>
    <dgm:pt modelId="{63A7418D-4708-4CE9-A8D9-F0E231994244}" type="pres">
      <dgm:prSet presAssocID="{1027639A-98DC-4C4F-9566-EE0C53394183}" presName="rootComposite" presStyleCnt="0"/>
      <dgm:spPr/>
    </dgm:pt>
    <dgm:pt modelId="{37A4FA7D-1395-410E-A4C6-9B73AD0DA683}" type="pres">
      <dgm:prSet presAssocID="{1027639A-98DC-4C4F-9566-EE0C53394183}" presName="rootText" presStyleLbl="node4" presStyleIdx="18" presStyleCnt="27" custScaleX="71210" custScaleY="85418" custLinFactX="-100000" custLinFactNeighborX="-122514" custLinFactNeighborY="-28412">
        <dgm:presLayoutVars>
          <dgm:chPref val="3"/>
        </dgm:presLayoutVars>
      </dgm:prSet>
      <dgm:spPr>
        <a:prstGeom prst="ellipse">
          <a:avLst/>
        </a:prstGeom>
      </dgm:spPr>
    </dgm:pt>
    <dgm:pt modelId="{853B7BC0-EDC7-4D37-B067-1B4E14A7B11F}" type="pres">
      <dgm:prSet presAssocID="{1027639A-98DC-4C4F-9566-EE0C53394183}" presName="rootConnector" presStyleLbl="node4" presStyleIdx="18" presStyleCnt="27"/>
      <dgm:spPr/>
    </dgm:pt>
    <dgm:pt modelId="{722546BB-F2BC-4E63-AAC9-0DF9063579A3}" type="pres">
      <dgm:prSet presAssocID="{1027639A-98DC-4C4F-9566-EE0C53394183}" presName="hierChild4" presStyleCnt="0"/>
      <dgm:spPr/>
    </dgm:pt>
    <dgm:pt modelId="{D18130C3-0F0F-4088-9301-EE91F5BA1642}" type="pres">
      <dgm:prSet presAssocID="{1027639A-98DC-4C4F-9566-EE0C53394183}" presName="hierChild5" presStyleCnt="0"/>
      <dgm:spPr/>
    </dgm:pt>
    <dgm:pt modelId="{6E629CF8-DF7C-4418-8C65-0FCCC44F9451}" type="pres">
      <dgm:prSet presAssocID="{6275A9D1-6E2D-4ECD-9A33-7A4ED157377A}" presName="Name37" presStyleLbl="parChTrans1D4" presStyleIdx="19" presStyleCnt="27"/>
      <dgm:spPr/>
    </dgm:pt>
    <dgm:pt modelId="{F629B365-0070-4A29-BA5F-A82903C266FD}" type="pres">
      <dgm:prSet presAssocID="{6114B51C-D6B3-4B9B-A33F-3A69CFE7CF65}" presName="hierRoot2" presStyleCnt="0">
        <dgm:presLayoutVars>
          <dgm:hierBranch val="init"/>
        </dgm:presLayoutVars>
      </dgm:prSet>
      <dgm:spPr/>
    </dgm:pt>
    <dgm:pt modelId="{93735AB7-6C75-4E51-904B-BA933F03563B}" type="pres">
      <dgm:prSet presAssocID="{6114B51C-D6B3-4B9B-A33F-3A69CFE7CF65}" presName="rootComposite" presStyleCnt="0"/>
      <dgm:spPr/>
    </dgm:pt>
    <dgm:pt modelId="{96FFE150-BE7E-46AD-9BF1-91D409D4480C}" type="pres">
      <dgm:prSet presAssocID="{6114B51C-D6B3-4B9B-A33F-3A69CFE7CF65}" presName="rootText" presStyleLbl="node4" presStyleIdx="19" presStyleCnt="27" custScaleX="71210" custScaleY="85418" custLinFactX="-100000" custLinFactNeighborX="-122514" custLinFactNeighborY="-44366">
        <dgm:presLayoutVars>
          <dgm:chPref val="3"/>
        </dgm:presLayoutVars>
      </dgm:prSet>
      <dgm:spPr>
        <a:prstGeom prst="ellipse">
          <a:avLst/>
        </a:prstGeom>
      </dgm:spPr>
    </dgm:pt>
    <dgm:pt modelId="{0614711F-2E0C-4DDC-A6F2-2548AECA7DFC}" type="pres">
      <dgm:prSet presAssocID="{6114B51C-D6B3-4B9B-A33F-3A69CFE7CF65}" presName="rootConnector" presStyleLbl="node4" presStyleIdx="19" presStyleCnt="27"/>
      <dgm:spPr/>
    </dgm:pt>
    <dgm:pt modelId="{C8E4277D-BA7F-48E6-A7A3-12208868F00A}" type="pres">
      <dgm:prSet presAssocID="{6114B51C-D6B3-4B9B-A33F-3A69CFE7CF65}" presName="hierChild4" presStyleCnt="0"/>
      <dgm:spPr/>
    </dgm:pt>
    <dgm:pt modelId="{8A9420AD-F363-40B7-8B9D-2AD3E26C62C1}" type="pres">
      <dgm:prSet presAssocID="{6114B51C-D6B3-4B9B-A33F-3A69CFE7CF65}" presName="hierChild5" presStyleCnt="0"/>
      <dgm:spPr/>
    </dgm:pt>
    <dgm:pt modelId="{CA3D0281-0604-4B27-8FC5-12B2D30174D7}" type="pres">
      <dgm:prSet presAssocID="{C86C3F81-DC2B-40F7-A432-AF7D0F5C364F}" presName="hierChild5" presStyleCnt="0"/>
      <dgm:spPr/>
    </dgm:pt>
    <dgm:pt modelId="{2E38FCA9-572D-486C-A9BA-AF850B52683F}" type="pres">
      <dgm:prSet presAssocID="{8B29C9A1-8BEB-44C0-A670-E3EC8BD54292}" presName="Name37" presStyleLbl="parChTrans1D4" presStyleIdx="20" presStyleCnt="27"/>
      <dgm:spPr/>
    </dgm:pt>
    <dgm:pt modelId="{889093C5-3DE4-4148-B1B2-8C9587BC330A}" type="pres">
      <dgm:prSet presAssocID="{1B56FF2A-98B2-454E-971E-4753D1A7EF7C}" presName="hierRoot2" presStyleCnt="0">
        <dgm:presLayoutVars>
          <dgm:hierBranch val="init"/>
        </dgm:presLayoutVars>
      </dgm:prSet>
      <dgm:spPr/>
    </dgm:pt>
    <dgm:pt modelId="{8EC24C02-9C6D-49CC-AE54-6C946B77121F}" type="pres">
      <dgm:prSet presAssocID="{1B56FF2A-98B2-454E-971E-4753D1A7EF7C}" presName="rootComposite" presStyleCnt="0"/>
      <dgm:spPr/>
    </dgm:pt>
    <dgm:pt modelId="{6D75E421-DDDA-4A52-8787-A203DAE00810}" type="pres">
      <dgm:prSet presAssocID="{1B56FF2A-98B2-454E-971E-4753D1A7EF7C}" presName="rootText" presStyleLbl="node4" presStyleIdx="20" presStyleCnt="27" custScaleX="83102" custScaleY="82148" custLinFactX="-100000" custLinFactNeighborX="-128388" custLinFactNeighborY="5493">
        <dgm:presLayoutVars>
          <dgm:chPref val="3"/>
        </dgm:presLayoutVars>
      </dgm:prSet>
      <dgm:spPr>
        <a:prstGeom prst="roundRect">
          <a:avLst/>
        </a:prstGeom>
      </dgm:spPr>
    </dgm:pt>
    <dgm:pt modelId="{836F728A-CE69-48AD-9B6D-332DA2907DE6}" type="pres">
      <dgm:prSet presAssocID="{1B56FF2A-98B2-454E-971E-4753D1A7EF7C}" presName="rootConnector" presStyleLbl="node4" presStyleIdx="20" presStyleCnt="27"/>
      <dgm:spPr/>
    </dgm:pt>
    <dgm:pt modelId="{79D8E47F-7775-4F24-88FA-B31BBAD01301}" type="pres">
      <dgm:prSet presAssocID="{1B56FF2A-98B2-454E-971E-4753D1A7EF7C}" presName="hierChild4" presStyleCnt="0"/>
      <dgm:spPr/>
    </dgm:pt>
    <dgm:pt modelId="{492A7151-BF1C-48FA-ABC9-F01C759681EB}" type="pres">
      <dgm:prSet presAssocID="{3E11DC76-C909-4E8C-93D5-D1AAB8114DC5}" presName="Name37" presStyleLbl="parChTrans1D4" presStyleIdx="21" presStyleCnt="27"/>
      <dgm:spPr/>
    </dgm:pt>
    <dgm:pt modelId="{5FCA980E-21C8-437B-A781-4CC8E4B6FA08}" type="pres">
      <dgm:prSet presAssocID="{3044870D-FC68-4186-9677-CC7B542C1C0A}" presName="hierRoot2" presStyleCnt="0">
        <dgm:presLayoutVars>
          <dgm:hierBranch val="init"/>
        </dgm:presLayoutVars>
      </dgm:prSet>
      <dgm:spPr/>
    </dgm:pt>
    <dgm:pt modelId="{0AF5C4C8-1E32-4508-BC75-B21A68E48F0F}" type="pres">
      <dgm:prSet presAssocID="{3044870D-FC68-4186-9677-CC7B542C1C0A}" presName="rootComposite" presStyleCnt="0"/>
      <dgm:spPr/>
    </dgm:pt>
    <dgm:pt modelId="{766C6B3B-AEC6-4A04-BFFB-22BEAFBE3F7D}" type="pres">
      <dgm:prSet presAssocID="{3044870D-FC68-4186-9677-CC7B542C1C0A}" presName="rootText" presStyleLbl="node4" presStyleIdx="21" presStyleCnt="27" custScaleX="69977" custScaleY="75464" custLinFactX="-100000" custLinFactNeighborX="-129091" custLinFactNeighborY="-21454">
        <dgm:presLayoutVars>
          <dgm:chPref val="3"/>
        </dgm:presLayoutVars>
      </dgm:prSet>
      <dgm:spPr>
        <a:prstGeom prst="ellipse">
          <a:avLst/>
        </a:prstGeom>
      </dgm:spPr>
    </dgm:pt>
    <dgm:pt modelId="{9858F8E2-E2B3-4C21-8DDE-8D22BBED5310}" type="pres">
      <dgm:prSet presAssocID="{3044870D-FC68-4186-9677-CC7B542C1C0A}" presName="rootConnector" presStyleLbl="node4" presStyleIdx="21" presStyleCnt="27"/>
      <dgm:spPr/>
    </dgm:pt>
    <dgm:pt modelId="{E86DCDD6-460F-4F05-BE9A-6F8181F79D67}" type="pres">
      <dgm:prSet presAssocID="{3044870D-FC68-4186-9677-CC7B542C1C0A}" presName="hierChild4" presStyleCnt="0"/>
      <dgm:spPr/>
    </dgm:pt>
    <dgm:pt modelId="{24E775E6-8FC9-4DB5-82B6-5C0D6B9709C4}" type="pres">
      <dgm:prSet presAssocID="{3044870D-FC68-4186-9677-CC7B542C1C0A}" presName="hierChild5" presStyleCnt="0"/>
      <dgm:spPr/>
    </dgm:pt>
    <dgm:pt modelId="{73AABFEA-4BB3-446F-B7B5-2CD3AA08702C}" type="pres">
      <dgm:prSet presAssocID="{4AD12C06-2CD5-42A1-B2C7-E4B06B7C3585}" presName="Name37" presStyleLbl="parChTrans1D4" presStyleIdx="22" presStyleCnt="27"/>
      <dgm:spPr/>
    </dgm:pt>
    <dgm:pt modelId="{6D7A8C68-B0A8-4060-9D82-76E669615BF6}" type="pres">
      <dgm:prSet presAssocID="{3A2356B5-1986-46C1-9F75-7AADD0384E1D}" presName="hierRoot2" presStyleCnt="0">
        <dgm:presLayoutVars>
          <dgm:hierBranch val="init"/>
        </dgm:presLayoutVars>
      </dgm:prSet>
      <dgm:spPr/>
    </dgm:pt>
    <dgm:pt modelId="{DFD37C90-5419-4A3D-9774-4CA427250597}" type="pres">
      <dgm:prSet presAssocID="{3A2356B5-1986-46C1-9F75-7AADD0384E1D}" presName="rootComposite" presStyleCnt="0"/>
      <dgm:spPr/>
    </dgm:pt>
    <dgm:pt modelId="{6154B3E8-EF4E-4DD5-B991-B5D101C027C4}" type="pres">
      <dgm:prSet presAssocID="{3A2356B5-1986-46C1-9F75-7AADD0384E1D}" presName="rootText" presStyleLbl="node4" presStyleIdx="22" presStyleCnt="27" custScaleX="73570" custScaleY="79818" custLinFactX="-100000" custLinFactNeighborX="-129063" custLinFactNeighborY="-35751">
        <dgm:presLayoutVars>
          <dgm:chPref val="3"/>
        </dgm:presLayoutVars>
      </dgm:prSet>
      <dgm:spPr>
        <a:prstGeom prst="ellipse">
          <a:avLst/>
        </a:prstGeom>
      </dgm:spPr>
    </dgm:pt>
    <dgm:pt modelId="{474EDE66-AA76-4CB2-8C38-74ECD6973E2E}" type="pres">
      <dgm:prSet presAssocID="{3A2356B5-1986-46C1-9F75-7AADD0384E1D}" presName="rootConnector" presStyleLbl="node4" presStyleIdx="22" presStyleCnt="27"/>
      <dgm:spPr/>
    </dgm:pt>
    <dgm:pt modelId="{84409975-140C-4BB4-9FD8-2565F83EEA3A}" type="pres">
      <dgm:prSet presAssocID="{3A2356B5-1986-46C1-9F75-7AADD0384E1D}" presName="hierChild4" presStyleCnt="0"/>
      <dgm:spPr/>
    </dgm:pt>
    <dgm:pt modelId="{8FF33C08-2119-4156-A947-66420E88E265}" type="pres">
      <dgm:prSet presAssocID="{3A2356B5-1986-46C1-9F75-7AADD0384E1D}" presName="hierChild5" presStyleCnt="0"/>
      <dgm:spPr/>
    </dgm:pt>
    <dgm:pt modelId="{5BA2126F-45D0-400F-8CBB-71B7C5ABA8BD}" type="pres">
      <dgm:prSet presAssocID="{5D873263-8F81-4F2F-8E7F-83E65F626373}" presName="Name37" presStyleLbl="parChTrans1D4" presStyleIdx="23" presStyleCnt="27"/>
      <dgm:spPr/>
    </dgm:pt>
    <dgm:pt modelId="{6A297360-67F1-4F8B-8D68-10926061D5AD}" type="pres">
      <dgm:prSet presAssocID="{D0E53BFF-54D5-4407-9579-69084C72130C}" presName="hierRoot2" presStyleCnt="0">
        <dgm:presLayoutVars>
          <dgm:hierBranch val="init"/>
        </dgm:presLayoutVars>
      </dgm:prSet>
      <dgm:spPr/>
    </dgm:pt>
    <dgm:pt modelId="{CED0350C-07AB-422C-970D-C0BF7506B80C}" type="pres">
      <dgm:prSet presAssocID="{D0E53BFF-54D5-4407-9579-69084C72130C}" presName="rootComposite" presStyleCnt="0"/>
      <dgm:spPr/>
    </dgm:pt>
    <dgm:pt modelId="{05F04F34-155F-4B2E-80A7-888FD5F5979B}" type="pres">
      <dgm:prSet presAssocID="{D0E53BFF-54D5-4407-9579-69084C72130C}" presName="rootText" presStyleLbl="node4" presStyleIdx="23" presStyleCnt="27" custScaleX="73570" custScaleY="79818" custLinFactX="-100000" custLinFactNeighborX="-128659" custLinFactNeighborY="-55818">
        <dgm:presLayoutVars>
          <dgm:chPref val="3"/>
        </dgm:presLayoutVars>
      </dgm:prSet>
      <dgm:spPr>
        <a:prstGeom prst="ellipse">
          <a:avLst/>
        </a:prstGeom>
      </dgm:spPr>
    </dgm:pt>
    <dgm:pt modelId="{DFE96300-2111-4A02-95ED-F5DFA438CCAE}" type="pres">
      <dgm:prSet presAssocID="{D0E53BFF-54D5-4407-9579-69084C72130C}" presName="rootConnector" presStyleLbl="node4" presStyleIdx="23" presStyleCnt="27"/>
      <dgm:spPr/>
    </dgm:pt>
    <dgm:pt modelId="{F662287D-31F2-44F6-9BD4-9377EEC324D7}" type="pres">
      <dgm:prSet presAssocID="{D0E53BFF-54D5-4407-9579-69084C72130C}" presName="hierChild4" presStyleCnt="0"/>
      <dgm:spPr/>
    </dgm:pt>
    <dgm:pt modelId="{DDF95E4C-FC78-41A9-B58B-C911B66DBEEE}" type="pres">
      <dgm:prSet presAssocID="{D0E53BFF-54D5-4407-9579-69084C72130C}" presName="hierChild5" presStyleCnt="0"/>
      <dgm:spPr/>
    </dgm:pt>
    <dgm:pt modelId="{9B0621A1-0F9B-49D8-AFF1-664B961CB65B}" type="pres">
      <dgm:prSet presAssocID="{1B56FF2A-98B2-454E-971E-4753D1A7EF7C}" presName="hierChild5" presStyleCnt="0"/>
      <dgm:spPr/>
    </dgm:pt>
    <dgm:pt modelId="{6E0CC72F-7BAB-4D1B-B1E6-787C64D8EF42}" type="pres">
      <dgm:prSet presAssocID="{9A29F3FA-828D-49FB-AA89-BAA85C34523A}" presName="Name37" presStyleLbl="parChTrans1D4" presStyleIdx="24" presStyleCnt="27"/>
      <dgm:spPr/>
    </dgm:pt>
    <dgm:pt modelId="{296936BE-6C79-4DD5-AE95-F464E5A0A51E}" type="pres">
      <dgm:prSet presAssocID="{0D23C73D-0900-4AEF-B6BF-96B0FD833B74}" presName="hierRoot2" presStyleCnt="0">
        <dgm:presLayoutVars>
          <dgm:hierBranch val="init"/>
        </dgm:presLayoutVars>
      </dgm:prSet>
      <dgm:spPr/>
    </dgm:pt>
    <dgm:pt modelId="{C24CE8D2-253E-46B1-BFE4-5516C8DDF2E3}" type="pres">
      <dgm:prSet presAssocID="{0D23C73D-0900-4AEF-B6BF-96B0FD833B74}" presName="rootComposite" presStyleCnt="0"/>
      <dgm:spPr/>
    </dgm:pt>
    <dgm:pt modelId="{EE95C747-CD99-4A1C-89F0-F8BEDF9802D2}" type="pres">
      <dgm:prSet presAssocID="{0D23C73D-0900-4AEF-B6BF-96B0FD833B74}" presName="rootText" presStyleLbl="node4" presStyleIdx="24" presStyleCnt="27" custScaleX="83102" custScaleY="82148" custLinFactX="-100000" custLinFactNeighborX="-144597" custLinFactNeighborY="5029">
        <dgm:presLayoutVars>
          <dgm:chPref val="3"/>
        </dgm:presLayoutVars>
      </dgm:prSet>
      <dgm:spPr>
        <a:prstGeom prst="roundRect">
          <a:avLst/>
        </a:prstGeom>
      </dgm:spPr>
    </dgm:pt>
    <dgm:pt modelId="{9DB45B23-B8B7-4E2A-9645-B69D9F5FC16D}" type="pres">
      <dgm:prSet presAssocID="{0D23C73D-0900-4AEF-B6BF-96B0FD833B74}" presName="rootConnector" presStyleLbl="node4" presStyleIdx="24" presStyleCnt="27"/>
      <dgm:spPr/>
    </dgm:pt>
    <dgm:pt modelId="{BA17B70C-5C68-4F35-909E-B0FC79AE582B}" type="pres">
      <dgm:prSet presAssocID="{0D23C73D-0900-4AEF-B6BF-96B0FD833B74}" presName="hierChild4" presStyleCnt="0"/>
      <dgm:spPr/>
    </dgm:pt>
    <dgm:pt modelId="{7C04946A-3A5A-4622-A596-499771DEF542}" type="pres">
      <dgm:prSet presAssocID="{F200EE33-52B3-4874-ACB5-6A4AC1D0A1F3}" presName="Name37" presStyleLbl="parChTrans1D4" presStyleIdx="25" presStyleCnt="27"/>
      <dgm:spPr/>
    </dgm:pt>
    <dgm:pt modelId="{89154A7C-FF41-43E1-943A-846C11765BA9}" type="pres">
      <dgm:prSet presAssocID="{84431EE1-3F05-46E2-AF4F-9E9D8C273F27}" presName="hierRoot2" presStyleCnt="0">
        <dgm:presLayoutVars>
          <dgm:hierBranch val="init"/>
        </dgm:presLayoutVars>
      </dgm:prSet>
      <dgm:spPr/>
    </dgm:pt>
    <dgm:pt modelId="{E908F1D2-FB77-42E8-AC9F-71EA82636A56}" type="pres">
      <dgm:prSet presAssocID="{84431EE1-3F05-46E2-AF4F-9E9D8C273F27}" presName="rootComposite" presStyleCnt="0"/>
      <dgm:spPr/>
    </dgm:pt>
    <dgm:pt modelId="{D027857B-C948-42C5-A0C7-763523887897}" type="pres">
      <dgm:prSet presAssocID="{84431EE1-3F05-46E2-AF4F-9E9D8C273F27}" presName="rootText" presStyleLbl="node4" presStyleIdx="25" presStyleCnt="27" custScaleX="78280" custScaleY="90900" custLinFactX="-100000" custLinFactNeighborX="-152287" custLinFactNeighborY="-22929">
        <dgm:presLayoutVars>
          <dgm:chPref val="3"/>
        </dgm:presLayoutVars>
      </dgm:prSet>
      <dgm:spPr>
        <a:prstGeom prst="ellipse">
          <a:avLst/>
        </a:prstGeom>
      </dgm:spPr>
    </dgm:pt>
    <dgm:pt modelId="{E4198201-ED50-4382-B4BB-4C3B2ADD7153}" type="pres">
      <dgm:prSet presAssocID="{84431EE1-3F05-46E2-AF4F-9E9D8C273F27}" presName="rootConnector" presStyleLbl="node4" presStyleIdx="25" presStyleCnt="27"/>
      <dgm:spPr/>
    </dgm:pt>
    <dgm:pt modelId="{D148E835-BDF4-4987-8ED2-94EDAB054179}" type="pres">
      <dgm:prSet presAssocID="{84431EE1-3F05-46E2-AF4F-9E9D8C273F27}" presName="hierChild4" presStyleCnt="0"/>
      <dgm:spPr/>
    </dgm:pt>
    <dgm:pt modelId="{69BDE19D-7E3E-4002-9636-8DF9BE26B828}" type="pres">
      <dgm:prSet presAssocID="{84431EE1-3F05-46E2-AF4F-9E9D8C273F27}" presName="hierChild5" presStyleCnt="0"/>
      <dgm:spPr/>
    </dgm:pt>
    <dgm:pt modelId="{8F369FF0-08C2-4CC8-8491-D346E81849E8}" type="pres">
      <dgm:prSet presAssocID="{FDBDDF2C-7BE7-453A-B44F-8093C3BBA9AD}" presName="Name37" presStyleLbl="parChTrans1D4" presStyleIdx="26" presStyleCnt="27"/>
      <dgm:spPr/>
    </dgm:pt>
    <dgm:pt modelId="{E95F214E-3B0A-44BF-855F-D46CECC326BD}" type="pres">
      <dgm:prSet presAssocID="{07142775-9673-4244-BC2D-CEDAD2CA86FA}" presName="hierRoot2" presStyleCnt="0">
        <dgm:presLayoutVars>
          <dgm:hierBranch val="init"/>
        </dgm:presLayoutVars>
      </dgm:prSet>
      <dgm:spPr/>
    </dgm:pt>
    <dgm:pt modelId="{D1A7FFAF-C88D-43C9-B478-A6AFF4850E39}" type="pres">
      <dgm:prSet presAssocID="{07142775-9673-4244-BC2D-CEDAD2CA86FA}" presName="rootComposite" presStyleCnt="0"/>
      <dgm:spPr/>
    </dgm:pt>
    <dgm:pt modelId="{298CDB4F-C7C5-463D-8892-59804AF8C14A}" type="pres">
      <dgm:prSet presAssocID="{07142775-9673-4244-BC2D-CEDAD2CA86FA}" presName="rootText" presStyleLbl="node4" presStyleIdx="26" presStyleCnt="27" custScaleX="77366" custScaleY="85926" custLinFactX="-100000" custLinFactNeighborX="-150291" custLinFactNeighborY="-53266">
        <dgm:presLayoutVars>
          <dgm:chPref val="3"/>
        </dgm:presLayoutVars>
      </dgm:prSet>
      <dgm:spPr>
        <a:prstGeom prst="ellipse">
          <a:avLst/>
        </a:prstGeom>
      </dgm:spPr>
    </dgm:pt>
    <dgm:pt modelId="{19DFB2B3-01C2-43FE-B595-A50DD37D720C}" type="pres">
      <dgm:prSet presAssocID="{07142775-9673-4244-BC2D-CEDAD2CA86FA}" presName="rootConnector" presStyleLbl="node4" presStyleIdx="26" presStyleCnt="27"/>
      <dgm:spPr/>
    </dgm:pt>
    <dgm:pt modelId="{D9A57552-54E4-4C42-B2A7-9B636D8128D6}" type="pres">
      <dgm:prSet presAssocID="{07142775-9673-4244-BC2D-CEDAD2CA86FA}" presName="hierChild4" presStyleCnt="0"/>
      <dgm:spPr/>
    </dgm:pt>
    <dgm:pt modelId="{39A74F0A-BB7F-41EC-9BE1-A0359E34D6D0}" type="pres">
      <dgm:prSet presAssocID="{07142775-9673-4244-BC2D-CEDAD2CA86FA}" presName="hierChild5" presStyleCnt="0"/>
      <dgm:spPr/>
    </dgm:pt>
    <dgm:pt modelId="{6E1AF622-22CC-4027-8DCA-16DEB67738C6}" type="pres">
      <dgm:prSet presAssocID="{0D23C73D-0900-4AEF-B6BF-96B0FD833B74}" presName="hierChild5" presStyleCnt="0"/>
      <dgm:spPr/>
    </dgm:pt>
    <dgm:pt modelId="{9A319C55-9F42-4DD7-ACAB-0A07F83028AE}" type="pres">
      <dgm:prSet presAssocID="{9A638245-AB7F-442D-B1BF-C0761A9B9C5F}" presName="hierChild5" presStyleCnt="0"/>
      <dgm:spPr/>
    </dgm:pt>
    <dgm:pt modelId="{66F05E79-40A6-4D5E-8343-DC8931A1675F}" type="pres">
      <dgm:prSet presAssocID="{4508D32A-1C7C-481C-B519-CAECB39B3DB0}" presName="hierChild5" presStyleCnt="0"/>
      <dgm:spPr/>
    </dgm:pt>
    <dgm:pt modelId="{96160975-3278-4F85-9E50-9C0AA18BC47B}" type="pres">
      <dgm:prSet presAssocID="{F45CD80F-ED6A-4D88-8BC9-801A30FB53FD}" presName="hierChild3" presStyleCnt="0"/>
      <dgm:spPr/>
    </dgm:pt>
  </dgm:ptLst>
  <dgm:cxnLst>
    <dgm:cxn modelId="{7271A600-37D0-4D28-9A3C-47D2C2FAF325}" type="presOf" srcId="{0F9F4A7E-DA2C-426C-B383-0DD87DE18415}" destId="{FE62FBFF-AB43-480B-9921-A2AC3E71681A}" srcOrd="1" destOrd="0" presId="urn:microsoft.com/office/officeart/2005/8/layout/orgChart1#1"/>
    <dgm:cxn modelId="{7D82E100-05DA-458B-93D1-1F57EB046164}" type="presOf" srcId="{048FF3A5-23F8-44FA-B8F5-99D5398474A8}" destId="{9A7CB56F-5144-4253-B7DC-19820EFB62BF}" srcOrd="1" destOrd="0" presId="urn:microsoft.com/office/officeart/2005/8/layout/orgChart1#1"/>
    <dgm:cxn modelId="{17B99F01-AEB8-4A7A-A2CB-47234C5CFDC6}" type="presOf" srcId="{84431EE1-3F05-46E2-AF4F-9E9D8C273F27}" destId="{E4198201-ED50-4382-B4BB-4C3B2ADD7153}" srcOrd="1" destOrd="0" presId="urn:microsoft.com/office/officeart/2005/8/layout/orgChart1#1"/>
    <dgm:cxn modelId="{6F96DA01-FC74-4ED2-B367-3EF85818A0D5}" srcId="{4508D32A-1C7C-481C-B519-CAECB39B3DB0}" destId="{9A638245-AB7F-442D-B1BF-C0761A9B9C5F}" srcOrd="1" destOrd="0" parTransId="{CA234379-E00F-451C-8A89-3B8A823C1DCA}" sibTransId="{1E92EF3D-3CEC-4CD8-B396-0F2A2D536F44}"/>
    <dgm:cxn modelId="{2D711402-002B-43D3-AAE8-D906CB8AF2E6}" type="presOf" srcId="{3044870D-FC68-4186-9677-CC7B542C1C0A}" destId="{9858F8E2-E2B3-4C21-8DDE-8D22BBED5310}" srcOrd="1" destOrd="0" presId="urn:microsoft.com/office/officeart/2005/8/layout/orgChart1#1"/>
    <dgm:cxn modelId="{AD6A7D02-1A88-4691-8C3B-6BFB9B443635}" type="presOf" srcId="{D0E53BFF-54D5-4407-9579-69084C72130C}" destId="{DFE96300-2111-4A02-95ED-F5DFA438CCAE}" srcOrd="1" destOrd="0" presId="urn:microsoft.com/office/officeart/2005/8/layout/orgChart1#1"/>
    <dgm:cxn modelId="{AFDA0F03-6EDF-4AC1-8A67-599B9CA27612}" type="presOf" srcId="{F200EE33-52B3-4874-ACB5-6A4AC1D0A1F3}" destId="{7C04946A-3A5A-4622-A596-499771DEF542}" srcOrd="0" destOrd="0" presId="urn:microsoft.com/office/officeart/2005/8/layout/orgChart1#1"/>
    <dgm:cxn modelId="{D1B74A06-0B88-4B2D-92EC-4EECBA206315}" type="presOf" srcId="{9EC8931D-517B-41B7-A415-9606E2D092C3}" destId="{05385268-1BD6-4D9E-A023-A2FAAE2CC356}" srcOrd="0" destOrd="0" presId="urn:microsoft.com/office/officeart/2005/8/layout/orgChart1#1"/>
    <dgm:cxn modelId="{44AEBF07-4150-4F52-B538-0E367B91A2C1}" type="presOf" srcId="{E89B7A4C-AF3F-4014-A33E-1787BDFBD278}" destId="{251CE618-14FC-461D-80CB-4B7272FE488D}" srcOrd="0" destOrd="0" presId="urn:microsoft.com/office/officeart/2005/8/layout/orgChart1#1"/>
    <dgm:cxn modelId="{D8C9020F-4273-4F2C-9067-5A1C468193F1}" type="presOf" srcId="{ABBFA838-B17B-40D7-9783-60F1013DD7F5}" destId="{53DE9CA0-CD8D-4B5F-AC9E-DA1D8C4737C0}" srcOrd="1" destOrd="0" presId="urn:microsoft.com/office/officeart/2005/8/layout/orgChart1#1"/>
    <dgm:cxn modelId="{C140C80F-BE53-4FD8-9EB1-2B0A886CE4F3}" srcId="{C86C3F81-DC2B-40F7-A432-AF7D0F5C364F}" destId="{821D418B-18D7-4127-8307-CC1DD24D7350}" srcOrd="0" destOrd="0" parTransId="{8AF28650-96E1-4A90-8401-BC743B81B699}" sibTransId="{E72D59FB-35C3-4E15-B7D0-A80B6E08198F}"/>
    <dgm:cxn modelId="{2C332510-B29C-4173-AD91-3AAF730BD6A1}" type="presOf" srcId="{0D23C73D-0900-4AEF-B6BF-96B0FD833B74}" destId="{9DB45B23-B8B7-4E2A-9645-B69D9F5FC16D}" srcOrd="1" destOrd="0" presId="urn:microsoft.com/office/officeart/2005/8/layout/orgChart1#1"/>
    <dgm:cxn modelId="{AC1ADE11-C621-42C9-87D8-F0AF6FAAF04F}" type="presOf" srcId="{9A638245-AB7F-442D-B1BF-C0761A9B9C5F}" destId="{673E3EDB-A72F-4F99-AF2E-2FB26091A5AC}" srcOrd="0" destOrd="0" presId="urn:microsoft.com/office/officeart/2005/8/layout/orgChart1#1"/>
    <dgm:cxn modelId="{22C1C114-768E-40E0-944A-A084224EF03E}" type="presOf" srcId="{B05238C4-D9F9-4498-93F8-35DB127B02D7}" destId="{C7E0B80B-1EFB-4613-86EC-D3CB7CA0AFA1}" srcOrd="0" destOrd="0" presId="urn:microsoft.com/office/officeart/2005/8/layout/orgChart1#1"/>
    <dgm:cxn modelId="{52831515-C60C-47E0-AD8B-2EB32C2EB24F}" type="presOf" srcId="{3076FEBA-2CA6-4267-8A9C-DF2D2DA148E5}" destId="{C2E81217-0893-4465-861D-535B2D51FFC6}" srcOrd="0" destOrd="0" presId="urn:microsoft.com/office/officeart/2005/8/layout/orgChart1#1"/>
    <dgm:cxn modelId="{55A9B815-8234-46E0-8DEE-903CD60113AA}" type="presOf" srcId="{84431EE1-3F05-46E2-AF4F-9E9D8C273F27}" destId="{D027857B-C948-42C5-A0C7-763523887897}" srcOrd="0" destOrd="0" presId="urn:microsoft.com/office/officeart/2005/8/layout/orgChart1#1"/>
    <dgm:cxn modelId="{06C3EB16-D804-4DB1-BF46-C263F1C62B48}" type="presOf" srcId="{2EFC8D25-A139-4771-9F48-2EF6036CDCAC}" destId="{D8D942BC-9C6A-4440-8A13-23C817B3ED31}" srcOrd="1" destOrd="0" presId="urn:microsoft.com/office/officeart/2005/8/layout/orgChart1#1"/>
    <dgm:cxn modelId="{708B4E18-786F-4174-BD7F-D081634AAEB4}" srcId="{5B3E640A-3848-47BA-81B9-B34508FB181A}" destId="{F45CD80F-ED6A-4D88-8BC9-801A30FB53FD}" srcOrd="0" destOrd="0" parTransId="{3F7DAE45-1368-4FF0-80E3-0BA10AEC7DA8}" sibTransId="{D2CBA259-4F25-41A9-9BC6-3868118CF017}"/>
    <dgm:cxn modelId="{ABBDA419-342E-4EC3-851B-2869747A3593}" srcId="{1B56FF2A-98B2-454E-971E-4753D1A7EF7C}" destId="{3A2356B5-1986-46C1-9F75-7AADD0384E1D}" srcOrd="1" destOrd="0" parTransId="{4AD12C06-2CD5-42A1-B2C7-E4B06B7C3585}" sibTransId="{4E7E9D0F-796C-470E-AE20-D171F35E949C}"/>
    <dgm:cxn modelId="{1E35FF1A-D84B-428C-9824-75A3F0FF00DA}" srcId="{D88FDF20-64B2-4A6D-AFB8-DD0FFB5AF950}" destId="{9EC8931D-517B-41B7-A415-9606E2D092C3}" srcOrd="0" destOrd="0" parTransId="{8DE01D35-529F-4172-8E61-0D5518A744C8}" sibTransId="{165F3B81-2C3E-4EC8-846B-2540FD28B9D7}"/>
    <dgm:cxn modelId="{FDA3D81C-7E28-4D70-898D-5D86FEB25D6C}" type="presOf" srcId="{C86C3F81-DC2B-40F7-A432-AF7D0F5C364F}" destId="{17C7F73B-9A9F-41E9-84DF-C030403157CC}" srcOrd="0" destOrd="0" presId="urn:microsoft.com/office/officeart/2005/8/layout/orgChart1#1"/>
    <dgm:cxn modelId="{61C8CC1E-CDC8-412E-8D4A-51EDB1F5D76C}" srcId="{C86C3F81-DC2B-40F7-A432-AF7D0F5C364F}" destId="{1027639A-98DC-4C4F-9566-EE0C53394183}" srcOrd="1" destOrd="0" parTransId="{19653C43-8D79-4234-8E9D-C450F0F7DD60}" sibTransId="{BA2592C6-3ABC-4AC8-BD3C-912BDED69C7B}"/>
    <dgm:cxn modelId="{02ECCD24-6643-496E-B3D4-0A1B70B98C0A}" type="presOf" srcId="{9A29F3FA-828D-49FB-AA89-BAA85C34523A}" destId="{6E0CC72F-7BAB-4D1B-B1E6-787C64D8EF42}" srcOrd="0" destOrd="0" presId="urn:microsoft.com/office/officeart/2005/8/layout/orgChart1#1"/>
    <dgm:cxn modelId="{3097D126-73D9-4DA0-9BE6-6D5D0266BD7E}" type="presOf" srcId="{19653C43-8D79-4234-8E9D-C450F0F7DD60}" destId="{6D2BDEBB-7EB1-4ACE-BC8A-D00BC15B8F6C}" srcOrd="0" destOrd="0" presId="urn:microsoft.com/office/officeart/2005/8/layout/orgChart1#1"/>
    <dgm:cxn modelId="{26787C29-B018-49EF-BA3C-E00239BBA1CB}" srcId="{0F9F4A7E-DA2C-426C-B383-0DD87DE18415}" destId="{E89B7A4C-AF3F-4014-A33E-1787BDFBD278}" srcOrd="2" destOrd="0" parTransId="{B05238C4-D9F9-4498-93F8-35DB127B02D7}" sibTransId="{86405AAF-4012-48DE-98D5-FB5C4CB018DD}"/>
    <dgm:cxn modelId="{A5ADB429-4996-4B1E-939A-2C8BEC1C98D9}" srcId="{9A638245-AB7F-442D-B1BF-C0761A9B9C5F}" destId="{B423AFE7-FB2C-42C8-8B41-47A08D8883D4}" srcOrd="0" destOrd="0" parTransId="{B2A1ED79-49F8-462B-9137-D253BF3E38F8}" sibTransId="{102EE7DE-4BB4-4089-9D72-26460768A27E}"/>
    <dgm:cxn modelId="{6C3A8A2B-C5B8-42DB-87A5-CC9463460E8F}" type="presOf" srcId="{ABBFA838-B17B-40D7-9783-60F1013DD7F5}" destId="{5047A8A6-6E1D-4983-A550-D67862490A8D}" srcOrd="0" destOrd="0" presId="urn:microsoft.com/office/officeart/2005/8/layout/orgChart1#1"/>
    <dgm:cxn modelId="{1A4F352C-3C1A-47E7-9476-9AD0C8F2E0F1}" type="presOf" srcId="{B2A1ED79-49F8-462B-9137-D253BF3E38F8}" destId="{86F5B7F1-D150-4452-B023-2CA7FE38D454}" srcOrd="0" destOrd="0" presId="urn:microsoft.com/office/officeart/2005/8/layout/orgChart1#1"/>
    <dgm:cxn modelId="{B617BE2D-46A9-40D0-8D26-C5B88FAF3140}" type="presOf" srcId="{1A8A40EF-8DAF-4F95-A8A8-9EDC60EFF261}" destId="{D07D5271-1111-404F-B10C-7FA0DA79FD95}" srcOrd="0" destOrd="0" presId="urn:microsoft.com/office/officeart/2005/8/layout/orgChart1#1"/>
    <dgm:cxn modelId="{E5DF762E-EB28-4219-85DA-5FABED4334CA}" type="presOf" srcId="{8AF28650-96E1-4A90-8401-BC743B81B699}" destId="{BDDE39F5-1AF2-4B8E-AF1E-7BB0201E4979}" srcOrd="0" destOrd="0" presId="urn:microsoft.com/office/officeart/2005/8/layout/orgChart1#1"/>
    <dgm:cxn modelId="{DF316F2F-06FF-4D24-8CA6-B54C1E5A2557}" type="presOf" srcId="{3A2356B5-1986-46C1-9F75-7AADD0384E1D}" destId="{474EDE66-AA76-4CB2-8C38-74ECD6973E2E}" srcOrd="1" destOrd="0" presId="urn:microsoft.com/office/officeart/2005/8/layout/orgChart1#1"/>
    <dgm:cxn modelId="{0E646430-8AC5-4518-88E3-EBA898EAD773}" type="presOf" srcId="{4571EA84-01AC-4D93-B56B-196DCDA5614D}" destId="{2E3DB7B0-89F2-4199-B2B9-46C4525DB2E0}" srcOrd="1" destOrd="0" presId="urn:microsoft.com/office/officeart/2005/8/layout/orgChart1#1"/>
    <dgm:cxn modelId="{7DBC9531-FF6F-4A03-9D80-120E6963535F}" srcId="{4571EA84-01AC-4D93-B56B-196DCDA5614D}" destId="{1A8A40EF-8DAF-4F95-A8A8-9EDC60EFF261}" srcOrd="0" destOrd="0" parTransId="{9BDBF31B-5B9C-421E-A0AC-87C28A91D8A3}" sibTransId="{64261DEB-17BB-457F-AA56-241C6D62CEED}"/>
    <dgm:cxn modelId="{A26DF831-5BA6-47CF-97A7-F020F43E3E5B}" type="presOf" srcId="{5373CE7C-F6A7-4644-861C-53F0DEE93B6A}" destId="{5AE5695D-4C46-4FD9-9AFA-1F703F952553}" srcOrd="1" destOrd="0" presId="urn:microsoft.com/office/officeart/2005/8/layout/orgChart1#1"/>
    <dgm:cxn modelId="{BC790032-5136-4C16-9A1A-3E9060E7CD93}" type="presOf" srcId="{1EEE020F-231A-441F-93AD-26A36345B786}" destId="{E1B81E8B-98AC-449C-8EB9-3FE9AC757359}" srcOrd="0" destOrd="0" presId="urn:microsoft.com/office/officeart/2005/8/layout/orgChart1#1"/>
    <dgm:cxn modelId="{D0060F36-6971-4E88-AC82-CE9199ADCBF5}" srcId="{0D23C73D-0900-4AEF-B6BF-96B0FD833B74}" destId="{07142775-9673-4244-BC2D-CEDAD2CA86FA}" srcOrd="1" destOrd="0" parTransId="{FDBDDF2C-7BE7-453A-B44F-8093C3BBA9AD}" sibTransId="{24DB4327-9FEF-490E-9069-D4B5BD12CFE9}"/>
    <dgm:cxn modelId="{078AB438-BD1C-4AE9-9BCE-CA0C7CA095F9}" type="presOf" srcId="{9EC8931D-517B-41B7-A415-9606E2D092C3}" destId="{282D844B-A684-41AE-9860-0775060F9049}" srcOrd="1" destOrd="0" presId="urn:microsoft.com/office/officeart/2005/8/layout/orgChart1#1"/>
    <dgm:cxn modelId="{6FD8FF3B-CC9C-4F1C-883F-C98F18A1B3B6}" type="presOf" srcId="{821D418B-18D7-4127-8307-CC1DD24D7350}" destId="{52E34E08-E792-4DC9-9D86-87F7DF3EF285}" srcOrd="1" destOrd="0" presId="urn:microsoft.com/office/officeart/2005/8/layout/orgChart1#1"/>
    <dgm:cxn modelId="{9FC6473F-9CAE-4CA6-BCA5-2F79314A71A7}" srcId="{1A8A40EF-8DAF-4F95-A8A8-9EDC60EFF261}" destId="{3076FEBA-2CA6-4267-8A9C-DF2D2DA148E5}" srcOrd="2" destOrd="0" parTransId="{D2B32D6E-179A-460D-BF95-986BBDEF9FB4}" sibTransId="{9A8BD3F2-4053-4CE9-9756-80C013D8260F}"/>
    <dgm:cxn modelId="{75C7FB3F-B6F6-49D9-98A2-1F399F9A7BDA}" type="presOf" srcId="{2FF1C3E0-1B54-4957-8BAD-8CF5834E38BD}" destId="{413E99A7-7114-4139-9A77-EC212E747121}" srcOrd="0" destOrd="0" presId="urn:microsoft.com/office/officeart/2005/8/layout/orgChart1#1"/>
    <dgm:cxn modelId="{A8E4635B-74C8-4E3C-8949-937E7AC09575}" type="presOf" srcId="{D88FDF20-64B2-4A6D-AFB8-DD0FFB5AF950}" destId="{42B132F7-4D2C-41FA-8099-FB31D3A3E5DC}" srcOrd="0" destOrd="0" presId="urn:microsoft.com/office/officeart/2005/8/layout/orgChart1#1"/>
    <dgm:cxn modelId="{7F5AED5D-0056-46DD-BD14-6AB9A664D881}" type="presOf" srcId="{98845F25-1A2A-4107-A901-0DC39AC19230}" destId="{E7A6CE37-7E7A-41DF-8518-A58BC968CC5D}" srcOrd="1" destOrd="0" presId="urn:microsoft.com/office/officeart/2005/8/layout/orgChart1#1"/>
    <dgm:cxn modelId="{EF030860-5F6A-4537-A374-A91B10A59D54}" srcId="{1A8A40EF-8DAF-4F95-A8A8-9EDC60EFF261}" destId="{2EFC8D25-A139-4771-9F48-2EF6036CDCAC}" srcOrd="0" destOrd="0" parTransId="{0311CF14-5206-4EE8-AA92-85A9AA7B0E71}" sibTransId="{BEC2CEB1-7FAB-48A8-8C68-F564B75A5875}"/>
    <dgm:cxn modelId="{E96D5D41-78F2-4297-9807-D5E1293D7BEE}" type="presOf" srcId="{1A8A40EF-8DAF-4F95-A8A8-9EDC60EFF261}" destId="{531CA6AD-C52D-4BFB-A714-20D75B008777}" srcOrd="1" destOrd="0" presId="urn:microsoft.com/office/officeart/2005/8/layout/orgChart1#1"/>
    <dgm:cxn modelId="{E3BA8641-940B-4B5E-BA4B-A5B2AE869BB7}" type="presOf" srcId="{BDFACBE3-21D8-48CA-9400-A8A1E6AE0BC4}" destId="{18EF5558-9277-4D83-8106-3787E82F27B9}" srcOrd="0" destOrd="0" presId="urn:microsoft.com/office/officeart/2005/8/layout/orgChart1#1"/>
    <dgm:cxn modelId="{F81A0E45-A224-41D8-ACD7-55D8C5E43FFC}" type="presOf" srcId="{4AD12C06-2CD5-42A1-B2C7-E4B06B7C3585}" destId="{73AABFEA-4BB3-446F-B7B5-2CD3AA08702C}" srcOrd="0" destOrd="0" presId="urn:microsoft.com/office/officeart/2005/8/layout/orgChart1#1"/>
    <dgm:cxn modelId="{BC202665-EAFE-4988-AC3A-74D877FF2E91}" type="presOf" srcId="{1B56FF2A-98B2-454E-971E-4753D1A7EF7C}" destId="{836F728A-CE69-48AD-9B6D-332DA2907DE6}" srcOrd="1" destOrd="0" presId="urn:microsoft.com/office/officeart/2005/8/layout/orgChart1#1"/>
    <dgm:cxn modelId="{44363966-6675-4983-8D67-8725053B9105}" srcId="{D88FDF20-64B2-4A6D-AFB8-DD0FFB5AF950}" destId="{ABBFA838-B17B-40D7-9783-60F1013DD7F5}" srcOrd="1" destOrd="0" parTransId="{F3C076E6-55F1-40FE-A291-5A97AD4CC9AF}" sibTransId="{D61325CF-B6D3-4945-81B2-3A1D8FE90BCC}"/>
    <dgm:cxn modelId="{17627567-F5DA-4A07-9726-0DA76F355711}" type="presOf" srcId="{3044870D-FC68-4186-9677-CC7B542C1C0A}" destId="{766C6B3B-AEC6-4A04-BFFB-22BEAFBE3F7D}" srcOrd="0" destOrd="0" presId="urn:microsoft.com/office/officeart/2005/8/layout/orgChart1#1"/>
    <dgm:cxn modelId="{E9FCCA47-0A28-4792-A704-A0F138B675A9}" type="presOf" srcId="{07142775-9673-4244-BC2D-CEDAD2CA86FA}" destId="{298CDB4F-C7C5-463D-8892-59804AF8C14A}" srcOrd="0" destOrd="0" presId="urn:microsoft.com/office/officeart/2005/8/layout/orgChart1#1"/>
    <dgm:cxn modelId="{50FCBC4A-21C2-42C0-AF2A-44CFD96EAD46}" srcId="{1A8A40EF-8DAF-4F95-A8A8-9EDC60EFF261}" destId="{5373CE7C-F6A7-4644-861C-53F0DEE93B6A}" srcOrd="1" destOrd="0" parTransId="{782A7D55-B9B0-4BC0-8D79-1519EDC4A96B}" sibTransId="{E36D3ACF-CA3B-442D-AE85-2ECB5B794FB5}"/>
    <dgm:cxn modelId="{0928824B-9CEC-425F-8609-94B725C664B7}" type="presOf" srcId="{D88FDF20-64B2-4A6D-AFB8-DD0FFB5AF950}" destId="{DE5CBE33-0C6F-4EC8-90B1-D953AA52AC4D}" srcOrd="1" destOrd="0" presId="urn:microsoft.com/office/officeart/2005/8/layout/orgChart1#1"/>
    <dgm:cxn modelId="{C289EB6B-4138-4D58-A47B-32AF3918AF65}" type="presOf" srcId="{07142775-9673-4244-BC2D-CEDAD2CA86FA}" destId="{19DFB2B3-01C2-43FE-B595-A50DD37D720C}" srcOrd="1" destOrd="0" presId="urn:microsoft.com/office/officeart/2005/8/layout/orgChart1#1"/>
    <dgm:cxn modelId="{FCDACF4C-83CA-46C1-A263-38EB149AAC0D}" type="presOf" srcId="{69F1C45B-4215-4300-9ED2-6B8D3C5324FB}" destId="{02BC17F3-3A41-421B-99C9-8A87DD565F85}" srcOrd="1" destOrd="0" presId="urn:microsoft.com/office/officeart/2005/8/layout/orgChart1#1"/>
    <dgm:cxn modelId="{07120A4F-2029-4AC8-B0FE-44A6C9ACB08C}" type="presOf" srcId="{5373CE7C-F6A7-4644-861C-53F0DEE93B6A}" destId="{58C39C79-F0AE-4E80-BD45-147A0D14A141}" srcOrd="0" destOrd="0" presId="urn:microsoft.com/office/officeart/2005/8/layout/orgChart1#1"/>
    <dgm:cxn modelId="{733A2C6F-3E2B-4B0B-848C-CD0AC7C2E765}" type="presOf" srcId="{2EFC8D25-A139-4771-9F48-2EF6036CDCAC}" destId="{1DF4CD26-0511-4850-998B-D2CADB96B0D8}" srcOrd="0" destOrd="0" presId="urn:microsoft.com/office/officeart/2005/8/layout/orgChart1#1"/>
    <dgm:cxn modelId="{12451470-EEF9-4CED-A87D-8E9F1AF6BB2E}" type="presOf" srcId="{6114B51C-D6B3-4B9B-A33F-3A69CFE7CF65}" destId="{96FFE150-BE7E-46AD-9BF1-91D409D4480C}" srcOrd="0" destOrd="0" presId="urn:microsoft.com/office/officeart/2005/8/layout/orgChart1#1"/>
    <dgm:cxn modelId="{65D5FB70-6F72-4ACB-84AE-4AD16CC863D6}" type="presOf" srcId="{1027639A-98DC-4C4F-9566-EE0C53394183}" destId="{37A4FA7D-1395-410E-A4C6-9B73AD0DA683}" srcOrd="0" destOrd="0" presId="urn:microsoft.com/office/officeart/2005/8/layout/orgChart1#1"/>
    <dgm:cxn modelId="{5F5BE171-5F54-4DD7-A8B6-F52A4653DE06}" type="presOf" srcId="{1027639A-98DC-4C4F-9566-EE0C53394183}" destId="{853B7BC0-EDC7-4D37-B067-1B4E14A7B11F}" srcOrd="1" destOrd="0" presId="urn:microsoft.com/office/officeart/2005/8/layout/orgChart1#1"/>
    <dgm:cxn modelId="{483A9B72-C832-44E6-9955-FA801ADC393A}" type="presOf" srcId="{50984BDC-7EE1-45D5-971E-2994F873286B}" destId="{E273B93C-40CF-413B-A0D3-7F642CE6C8F1}" srcOrd="0" destOrd="0" presId="urn:microsoft.com/office/officeart/2005/8/layout/orgChart1#1"/>
    <dgm:cxn modelId="{C946AD72-8A4B-45A0-909F-05E08C446666}" srcId="{B423AFE7-FB2C-42C8-8B41-47A08D8883D4}" destId="{D88FDF20-64B2-4A6D-AFB8-DD0FFB5AF950}" srcOrd="1" destOrd="0" parTransId="{50984BDC-7EE1-45D5-971E-2994F873286B}" sibTransId="{D99CB23C-248F-4430-BB67-E8837294EEE1}"/>
    <dgm:cxn modelId="{EB60FC73-0A2E-45D4-8A1C-76B1817680F8}" type="presOf" srcId="{B423AFE7-FB2C-42C8-8B41-47A08D8883D4}" destId="{4BC7D3C6-58AB-4E23-A7CD-D2BBB26A3B64}" srcOrd="1" destOrd="0" presId="urn:microsoft.com/office/officeart/2005/8/layout/orgChart1#1"/>
    <dgm:cxn modelId="{50F1C454-0562-46FD-AFF0-3E11FCEBA3C5}" srcId="{9A638245-AB7F-442D-B1BF-C0761A9B9C5F}" destId="{0D23C73D-0900-4AEF-B6BF-96B0FD833B74}" srcOrd="3" destOrd="0" parTransId="{9A29F3FA-828D-49FB-AA89-BAA85C34523A}" sibTransId="{D06EF226-28FB-41C2-ADAC-D22CAA03CB9A}"/>
    <dgm:cxn modelId="{E1D64F77-BAD3-4192-8A72-D23B843104EA}" type="presOf" srcId="{E89B7A4C-AF3F-4014-A33E-1787BDFBD278}" destId="{88DD8089-8FE8-4D4E-A9E9-B9DFE6AC6DCF}" srcOrd="1" destOrd="0" presId="urn:microsoft.com/office/officeart/2005/8/layout/orgChart1#1"/>
    <dgm:cxn modelId="{5DA71F58-B3C1-45BA-B869-3B093EC017A4}" srcId="{0F9F4A7E-DA2C-426C-B383-0DD87DE18415}" destId="{048FF3A5-23F8-44FA-B8F5-99D5398474A8}" srcOrd="0" destOrd="0" parTransId="{7B30B2CC-09D3-46B9-96F4-F2E8195D5557}" sibTransId="{F9B98007-3C13-4CD4-9144-B062DBADF8A6}"/>
    <dgm:cxn modelId="{F6D3CC78-3783-4BB2-B04D-5014CE5EFD9B}" type="presOf" srcId="{080B188F-966B-47EB-83DB-96BA06850321}" destId="{0579334F-144D-4459-AEA7-2AEFCC246D9F}" srcOrd="0" destOrd="0" presId="urn:microsoft.com/office/officeart/2005/8/layout/orgChart1#1"/>
    <dgm:cxn modelId="{D211087C-6EA4-4A4A-9E92-DA8FADA320A0}" type="presOf" srcId="{0D23C73D-0900-4AEF-B6BF-96B0FD833B74}" destId="{EE95C747-CD99-4A1C-89F0-F8BEDF9802D2}" srcOrd="0" destOrd="0" presId="urn:microsoft.com/office/officeart/2005/8/layout/orgChart1#1"/>
    <dgm:cxn modelId="{8A77677C-16C3-4AEC-85DB-AA4C19AE2FF1}" type="presOf" srcId="{D0E53BFF-54D5-4407-9579-69084C72130C}" destId="{05F04F34-155F-4B2E-80A7-888FD5F5979B}" srcOrd="0" destOrd="0" presId="urn:microsoft.com/office/officeart/2005/8/layout/orgChart1#1"/>
    <dgm:cxn modelId="{E50C907D-00D9-46D1-B5DF-5871D94B5974}" srcId="{4571EA84-01AC-4D93-B56B-196DCDA5614D}" destId="{0F9F4A7E-DA2C-426C-B383-0DD87DE18415}" srcOrd="1" destOrd="0" parTransId="{EF3BF389-5649-42E5-B1A0-8CB8CDBD636A}" sibTransId="{C3BE0B67-FAEB-4697-8E0C-162B95F1737D}"/>
    <dgm:cxn modelId="{61987D86-4444-4E04-844F-85BEED674E20}" srcId="{0D23C73D-0900-4AEF-B6BF-96B0FD833B74}" destId="{84431EE1-3F05-46E2-AF4F-9E9D8C273F27}" srcOrd="0" destOrd="0" parTransId="{F200EE33-52B3-4874-ACB5-6A4AC1D0A1F3}" sibTransId="{7AC38961-647E-4D37-87DB-799EB55A3EBF}"/>
    <dgm:cxn modelId="{98D87989-08AC-4979-9EA3-1C3BAF5EE04B}" srcId="{C86C3F81-DC2B-40F7-A432-AF7D0F5C364F}" destId="{6114B51C-D6B3-4B9B-A33F-3A69CFE7CF65}" srcOrd="2" destOrd="0" parTransId="{6275A9D1-6E2D-4ECD-9A33-7A4ED157377A}" sibTransId="{89B51B18-5808-48EA-8296-0F4CEEEEA927}"/>
    <dgm:cxn modelId="{8365538A-4A0E-4B90-B326-1B0589A92C2C}" type="presOf" srcId="{2303E7BA-2C91-4DCE-B8A6-50670B9D7D0E}" destId="{49F41791-5F10-47CB-9979-6CB263BDD089}" srcOrd="0" destOrd="0" presId="urn:microsoft.com/office/officeart/2005/8/layout/orgChart1#1"/>
    <dgm:cxn modelId="{E7A5FA95-684B-4793-A98C-0AB926DA8533}" type="presOf" srcId="{4508D32A-1C7C-481C-B519-CAECB39B3DB0}" destId="{BEF1038C-0E3B-4C10-8977-EE71BC2D66AC}" srcOrd="1" destOrd="0" presId="urn:microsoft.com/office/officeart/2005/8/layout/orgChart1#1"/>
    <dgm:cxn modelId="{D66E6896-CFDD-4101-9906-68E0552AAC71}" type="presOf" srcId="{6FE019B0-70D0-4660-8AFA-9CAD15B38940}" destId="{57FFD02A-8CF8-4457-8B06-74D988B8204B}" srcOrd="0" destOrd="0" presId="urn:microsoft.com/office/officeart/2005/8/layout/orgChart1#1"/>
    <dgm:cxn modelId="{2DF05896-5CD8-4ACC-A0D1-D552C11E3A58}" type="presOf" srcId="{6114B51C-D6B3-4B9B-A33F-3A69CFE7CF65}" destId="{0614711F-2E0C-4DDC-A6F2-2548AECA7DFC}" srcOrd="1" destOrd="0" presId="urn:microsoft.com/office/officeart/2005/8/layout/orgChart1#1"/>
    <dgm:cxn modelId="{2881D39A-FE2E-4EA0-972F-01D6B3848D13}" type="presOf" srcId="{F45CD80F-ED6A-4D88-8BC9-801A30FB53FD}" destId="{4789BE4F-5480-4446-A283-B22F4F98EE10}" srcOrd="0" destOrd="0" presId="urn:microsoft.com/office/officeart/2005/8/layout/orgChart1#1"/>
    <dgm:cxn modelId="{0D8D589B-D83A-4E6B-B9C9-40BA45664B5F}" type="presOf" srcId="{8B29C9A1-8BEB-44C0-A670-E3EC8BD54292}" destId="{2E38FCA9-572D-486C-A9BA-AF850B52683F}" srcOrd="0" destOrd="0" presId="urn:microsoft.com/office/officeart/2005/8/layout/orgChart1#1"/>
    <dgm:cxn modelId="{7AAD9A9D-F60D-46C9-98D9-614348859113}" type="presOf" srcId="{6275A9D1-6E2D-4ECD-9A33-7A4ED157377A}" destId="{6E629CF8-DF7C-4418-8C65-0FCCC44F9451}" srcOrd="0" destOrd="0" presId="urn:microsoft.com/office/officeart/2005/8/layout/orgChart1#1"/>
    <dgm:cxn modelId="{0721C9A0-B1DA-4E71-9422-F59903B586AC}" srcId="{B423AFE7-FB2C-42C8-8B41-47A08D8883D4}" destId="{9DC69E29-5945-4125-8DE4-A849A5610A0D}" srcOrd="0" destOrd="0" parTransId="{2FF1C3E0-1B54-4957-8BAD-8CF5834E38BD}" sibTransId="{1768DB2D-5396-47B4-B5EF-6A6D0D155C83}"/>
    <dgm:cxn modelId="{0951F8A0-9C15-4C84-AD6A-51379355BFD4}" type="presOf" srcId="{69F1C45B-4215-4300-9ED2-6B8D3C5324FB}" destId="{07692B59-7582-4EA3-BC80-24308F1EAAC1}" srcOrd="0" destOrd="0" presId="urn:microsoft.com/office/officeart/2005/8/layout/orgChart1#1"/>
    <dgm:cxn modelId="{5FB5A2A2-AB06-475F-9240-3748066F15F7}" type="presOf" srcId="{CA234379-E00F-451C-8A89-3B8A823C1DCA}" destId="{0E0D418B-B3A8-4246-8FFA-C1984AACA608}" srcOrd="0" destOrd="0" presId="urn:microsoft.com/office/officeart/2005/8/layout/orgChart1#1"/>
    <dgm:cxn modelId="{4E92A0A5-A346-457E-B5CB-4D0F4D609EC1}" srcId="{9A638245-AB7F-442D-B1BF-C0761A9B9C5F}" destId="{1B56FF2A-98B2-454E-971E-4753D1A7EF7C}" srcOrd="2" destOrd="0" parTransId="{8B29C9A1-8BEB-44C0-A670-E3EC8BD54292}" sibTransId="{072ECF6E-C358-4EC2-B023-ECDC877A1080}"/>
    <dgm:cxn modelId="{046D32A7-381E-440C-923A-9624379CCA00}" srcId="{1B56FF2A-98B2-454E-971E-4753D1A7EF7C}" destId="{D0E53BFF-54D5-4407-9579-69084C72130C}" srcOrd="2" destOrd="0" parTransId="{5D873263-8F81-4F2F-8E7F-83E65F626373}" sibTransId="{A49B1124-0014-4612-A1E7-57514DBC1FE4}"/>
    <dgm:cxn modelId="{DBF756A9-FECB-4D0F-BC08-D7B84C3ADB17}" type="presOf" srcId="{4571EA84-01AC-4D93-B56B-196DCDA5614D}" destId="{9217389D-FF13-44F9-996E-C41B5BF5AC65}" srcOrd="0" destOrd="0" presId="urn:microsoft.com/office/officeart/2005/8/layout/orgChart1#1"/>
    <dgm:cxn modelId="{58CFEDA9-0308-4C14-9E04-A86A852096D0}" type="presOf" srcId="{4BBE6D1A-FA2F-4025-A15D-3D020079CE04}" destId="{3F1204F8-7DAD-417B-BCE0-2FDA0FAE4019}" srcOrd="1" destOrd="0" presId="urn:microsoft.com/office/officeart/2005/8/layout/orgChart1#1"/>
    <dgm:cxn modelId="{C66AE9AB-CC47-415A-9555-3F5736C35A2C}" srcId="{9DC69E29-5945-4125-8DE4-A849A5610A0D}" destId="{4BBE6D1A-FA2F-4025-A15D-3D020079CE04}" srcOrd="1" destOrd="0" parTransId="{34FB7A4B-58A6-4D06-9E2C-D23EBB5FB8D0}" sibTransId="{A618E801-5271-4585-B48E-5E52694EE88B}"/>
    <dgm:cxn modelId="{FE5AA8AE-055C-4FD3-96E9-4FDAD3FF0356}" type="presOf" srcId="{5D873263-8F81-4F2F-8E7F-83E65F626373}" destId="{5BA2126F-45D0-400F-8CBB-71B7C5ABA8BD}" srcOrd="0" destOrd="0" presId="urn:microsoft.com/office/officeart/2005/8/layout/orgChart1#1"/>
    <dgm:cxn modelId="{9AD5B5AF-AA9B-46CC-BA4C-A143CFD8AB1E}" type="presOf" srcId="{B423AFE7-FB2C-42C8-8B41-47A08D8883D4}" destId="{BC4B7941-EC4B-450F-9893-D26E6916A1A5}" srcOrd="0" destOrd="0" presId="urn:microsoft.com/office/officeart/2005/8/layout/orgChart1#1"/>
    <dgm:cxn modelId="{4858FDB7-ABC8-4C01-9F5F-403CF1FB32EC}" type="presOf" srcId="{B6CA6086-360C-4E42-8E73-2873141448AB}" destId="{ABBA47C4-9EAE-4EF6-B06C-1CF7521B593D}" srcOrd="1" destOrd="0" presId="urn:microsoft.com/office/officeart/2005/8/layout/orgChart1#1"/>
    <dgm:cxn modelId="{E13DA2BB-CEB9-461D-A7FE-3F05A0EDD9BE}" type="presOf" srcId="{EF3BF389-5649-42E5-B1A0-8CB8CDBD636A}" destId="{000BD349-D548-4803-9A35-1294A8C6259F}" srcOrd="0" destOrd="0" presId="urn:microsoft.com/office/officeart/2005/8/layout/orgChart1#1"/>
    <dgm:cxn modelId="{9EF4F4BC-324D-4686-B150-780366F07575}" type="presOf" srcId="{3076FEBA-2CA6-4267-8A9C-DF2D2DA148E5}" destId="{5200385D-B39B-43F2-9939-B1326196DA3B}" srcOrd="1" destOrd="0" presId="urn:microsoft.com/office/officeart/2005/8/layout/orgChart1#1"/>
    <dgm:cxn modelId="{459920BF-175D-49B6-8CB3-91DE3E7CB74F}" type="presOf" srcId="{9DC69E29-5945-4125-8DE4-A849A5610A0D}" destId="{D82A0DF4-1ACB-4B15-AFD9-1F57A2700E6E}" srcOrd="0" destOrd="0" presId="urn:microsoft.com/office/officeart/2005/8/layout/orgChart1#1"/>
    <dgm:cxn modelId="{C47693C0-4CF6-4FD9-9E03-5F7F05A7946C}" srcId="{1B56FF2A-98B2-454E-971E-4753D1A7EF7C}" destId="{3044870D-FC68-4186-9677-CC7B542C1C0A}" srcOrd="0" destOrd="0" parTransId="{3E11DC76-C909-4E8C-93D5-D1AAB8114DC5}" sibTransId="{562DF77F-7191-4E64-BD31-B0117BDD8517}"/>
    <dgm:cxn modelId="{7638A1C0-7978-4735-ABB7-AAFA388A7738}" type="presOf" srcId="{F3C076E6-55F1-40FE-A291-5A97AD4CC9AF}" destId="{DD9FC7C8-8D0F-4313-A6BC-B76639AED71B}" srcOrd="0" destOrd="0" presId="urn:microsoft.com/office/officeart/2005/8/layout/orgChart1#1"/>
    <dgm:cxn modelId="{BE4B09C4-26CD-4846-B5A8-E082FB726DF1}" type="presOf" srcId="{9DC69E29-5945-4125-8DE4-A849A5610A0D}" destId="{B014B060-06EF-4E41-A187-EBD4DDC6013C}" srcOrd="1" destOrd="0" presId="urn:microsoft.com/office/officeart/2005/8/layout/orgChart1#1"/>
    <dgm:cxn modelId="{1CB1E1C4-C27E-4110-8A12-F3DA43B46DDA}" type="presOf" srcId="{C86C3F81-DC2B-40F7-A432-AF7D0F5C364F}" destId="{BA1B5DE0-2AEE-4E13-8C35-52781E5D8205}" srcOrd="1" destOrd="0" presId="urn:microsoft.com/office/officeart/2005/8/layout/orgChart1#1"/>
    <dgm:cxn modelId="{3A3E53C6-BE84-4BEE-AF89-84CB679550E3}" srcId="{0F9F4A7E-DA2C-426C-B383-0DD87DE18415}" destId="{69F1C45B-4215-4300-9ED2-6B8D3C5324FB}" srcOrd="1" destOrd="0" parTransId="{1EEE020F-231A-441F-93AD-26A36345B786}" sibTransId="{B514F85B-505B-4FC5-B5BB-AE2A019605F1}"/>
    <dgm:cxn modelId="{10016ECB-247D-404F-9465-9227D3C68768}" type="presOf" srcId="{3E11DC76-C909-4E8C-93D5-D1AAB8114DC5}" destId="{492A7151-BF1C-48FA-ABC9-F01C759681EB}" srcOrd="0" destOrd="0" presId="urn:microsoft.com/office/officeart/2005/8/layout/orgChart1#1"/>
    <dgm:cxn modelId="{E9C98ACB-3B2C-4135-9C48-60B8FC341E5D}" type="presOf" srcId="{B6CA6086-360C-4E42-8E73-2873141448AB}" destId="{BDAAB3E5-083B-4EDC-BB72-0CF618944349}" srcOrd="0" destOrd="0" presId="urn:microsoft.com/office/officeart/2005/8/layout/orgChart1#1"/>
    <dgm:cxn modelId="{9A1200CD-FDA8-4270-A025-9EA2C5F603DD}" type="presOf" srcId="{A6B29782-02C3-489A-B989-D022B918E818}" destId="{608C81B8-1340-47A8-A520-7518FC71DCF9}" srcOrd="0" destOrd="0" presId="urn:microsoft.com/office/officeart/2005/8/layout/orgChart1#1"/>
    <dgm:cxn modelId="{436FAFCE-25B5-405A-A71A-6410DD0229FE}" type="presOf" srcId="{98845F25-1A2A-4107-A901-0DC39AC19230}" destId="{CDFD9815-943C-4CF1-A9EA-6410E5E2B875}" srcOrd="0" destOrd="0" presId="urn:microsoft.com/office/officeart/2005/8/layout/orgChart1#1"/>
    <dgm:cxn modelId="{7992F6CE-D6F5-4913-9B1A-4E4398595ED5}" type="presOf" srcId="{0F9F4A7E-DA2C-426C-B383-0DD87DE18415}" destId="{A0D5FA5A-717E-4275-92A0-18C1F606CD95}" srcOrd="0" destOrd="0" presId="urn:microsoft.com/office/officeart/2005/8/layout/orgChart1#1"/>
    <dgm:cxn modelId="{195880D2-0DFC-41D2-A3BA-0B4987BB9FB0}" type="presOf" srcId="{3A2356B5-1986-46C1-9F75-7AADD0384E1D}" destId="{6154B3E8-EF4E-4DD5-B991-B5D101C027C4}" srcOrd="0" destOrd="0" presId="urn:microsoft.com/office/officeart/2005/8/layout/orgChart1#1"/>
    <dgm:cxn modelId="{CF3F04D4-7E1C-4999-9C25-9930E1D71507}" type="presOf" srcId="{1B56FF2A-98B2-454E-971E-4753D1A7EF7C}" destId="{6D75E421-DDDA-4A52-8787-A203DAE00810}" srcOrd="0" destOrd="0" presId="urn:microsoft.com/office/officeart/2005/8/layout/orgChart1#1"/>
    <dgm:cxn modelId="{7A9E57D7-91AA-44A3-BA2B-2728B294550C}" type="presOf" srcId="{9A638245-AB7F-442D-B1BF-C0761A9B9C5F}" destId="{2A73088D-7CC0-4499-9F69-4613CF3EA5D6}" srcOrd="1" destOrd="0" presId="urn:microsoft.com/office/officeart/2005/8/layout/orgChart1#1"/>
    <dgm:cxn modelId="{2E298BD7-DFA1-4359-ADE5-D747A964E14B}" srcId="{9DC69E29-5945-4125-8DE4-A849A5610A0D}" destId="{98845F25-1A2A-4107-A901-0DC39AC19230}" srcOrd="0" destOrd="0" parTransId="{2303E7BA-2C91-4DCE-B8A6-50670B9D7D0E}" sibTransId="{56F7D128-3228-4F4A-9D42-E3CC37F7368A}"/>
    <dgm:cxn modelId="{6B6868DD-7BCB-44D5-9C1F-A0F4E5759965}" type="presOf" srcId="{34FB7A4B-58A6-4D06-9E2C-D23EBB5FB8D0}" destId="{CB07ED92-36B4-45D5-B590-CE99B9B45454}" srcOrd="0" destOrd="0" presId="urn:microsoft.com/office/officeart/2005/8/layout/orgChart1#1"/>
    <dgm:cxn modelId="{CB6662DE-F446-4199-B35E-B6955989CD64}" srcId="{D88FDF20-64B2-4A6D-AFB8-DD0FFB5AF950}" destId="{B6CA6086-360C-4E42-8E73-2873141448AB}" srcOrd="2" destOrd="0" parTransId="{6FE019B0-70D0-4660-8AFA-9CAD15B38940}" sibTransId="{33599E0C-EC91-4C37-B36A-355A27133E0A}"/>
    <dgm:cxn modelId="{8084FFE3-CB70-45E8-BFC2-E7DA240E8827}" srcId="{4508D32A-1C7C-481C-B519-CAECB39B3DB0}" destId="{4571EA84-01AC-4D93-B56B-196DCDA5614D}" srcOrd="0" destOrd="0" parTransId="{A6B29782-02C3-489A-B989-D022B918E818}" sibTransId="{556C3310-FF9B-47C5-BE2E-3674AC3BEE0E}"/>
    <dgm:cxn modelId="{B0B3ECE6-08F5-44F8-A10A-06EC16349686}" type="presOf" srcId="{5B3E640A-3848-47BA-81B9-B34508FB181A}" destId="{187665F6-B09E-4D2B-82E4-01CB439F7B60}" srcOrd="0" destOrd="0" presId="urn:microsoft.com/office/officeart/2005/8/layout/orgChart1#1"/>
    <dgm:cxn modelId="{039DE2E7-23F2-4156-9C47-72089E8E4A52}" type="presOf" srcId="{048FF3A5-23F8-44FA-B8F5-99D5398474A8}" destId="{B6B3BFC2-2294-4CC5-8547-2ED0D91D5231}" srcOrd="0" destOrd="0" presId="urn:microsoft.com/office/officeart/2005/8/layout/orgChart1#1"/>
    <dgm:cxn modelId="{4E1AF2E7-CE2A-486C-AE1A-5B535AE7A2D7}" type="presOf" srcId="{0311CF14-5206-4EE8-AA92-85A9AA7B0E71}" destId="{970351EB-4976-4C25-A7AE-0FC2D110735F}" srcOrd="0" destOrd="0" presId="urn:microsoft.com/office/officeart/2005/8/layout/orgChart1#1"/>
    <dgm:cxn modelId="{99AEFDE7-8307-4719-BBF3-A08B5CA3D048}" srcId="{9A638245-AB7F-442D-B1BF-C0761A9B9C5F}" destId="{C86C3F81-DC2B-40F7-A432-AF7D0F5C364F}" srcOrd="1" destOrd="0" parTransId="{BDFACBE3-21D8-48CA-9400-A8A1E6AE0BC4}" sibTransId="{7DEDABBA-9050-4493-93E9-CDC55B839424}"/>
    <dgm:cxn modelId="{DA1296EA-8DB1-4B93-9EA9-80212D0B965D}" type="presOf" srcId="{F45CD80F-ED6A-4D88-8BC9-801A30FB53FD}" destId="{0C938D74-4644-49A4-AFE2-1B4D266DD9C3}" srcOrd="1" destOrd="0" presId="urn:microsoft.com/office/officeart/2005/8/layout/orgChart1#1"/>
    <dgm:cxn modelId="{6D81E9EA-93AA-4107-82F9-E7FE7177AC16}" type="presOf" srcId="{D2B32D6E-179A-460D-BF95-986BBDEF9FB4}" destId="{8DEEF7A4-74E7-40A0-8998-E00E8A86BF5B}" srcOrd="0" destOrd="0" presId="urn:microsoft.com/office/officeart/2005/8/layout/orgChart1#1"/>
    <dgm:cxn modelId="{3FC231EC-D223-4E58-8A86-2C0783940DDF}" type="presOf" srcId="{FDBDDF2C-7BE7-453A-B44F-8093C3BBA9AD}" destId="{8F369FF0-08C2-4CC8-8491-D346E81849E8}" srcOrd="0" destOrd="0" presId="urn:microsoft.com/office/officeart/2005/8/layout/orgChart1#1"/>
    <dgm:cxn modelId="{72B795EF-F547-4AE5-B255-25CDFE107717}" type="presOf" srcId="{782A7D55-B9B0-4BC0-8D79-1519EDC4A96B}" destId="{0CCC70C6-134D-4BF8-A527-8A49129F93CD}" srcOrd="0" destOrd="0" presId="urn:microsoft.com/office/officeart/2005/8/layout/orgChart1#1"/>
    <dgm:cxn modelId="{83966DF0-116D-47F0-BE61-5ED1D0CFEC87}" type="presOf" srcId="{821D418B-18D7-4127-8307-CC1DD24D7350}" destId="{1C8C7C2C-EFDF-4BCB-A1D5-A590DD9599C1}" srcOrd="0" destOrd="0" presId="urn:microsoft.com/office/officeart/2005/8/layout/orgChart1#1"/>
    <dgm:cxn modelId="{2DA9A7F0-C640-414F-A72A-3BA3A2290A4A}" type="presOf" srcId="{4508D32A-1C7C-481C-B519-CAECB39B3DB0}" destId="{62563767-40D6-4D45-84C3-574A3AFAA82E}" srcOrd="0" destOrd="0" presId="urn:microsoft.com/office/officeart/2005/8/layout/orgChart1#1"/>
    <dgm:cxn modelId="{6FA26DF6-5CE7-40C5-A81A-0CE6CBDA467F}" type="presOf" srcId="{4BBE6D1A-FA2F-4025-A15D-3D020079CE04}" destId="{CCF24716-4885-4377-9215-5041E592A512}" srcOrd="0" destOrd="0" presId="urn:microsoft.com/office/officeart/2005/8/layout/orgChart1#1"/>
    <dgm:cxn modelId="{C51BEEFA-6353-4096-B186-C433C85EC8C7}" type="presOf" srcId="{9BDBF31B-5B9C-421E-A0AC-87C28A91D8A3}" destId="{8FC0F736-47BD-424C-8805-88269550A5C3}" srcOrd="0" destOrd="0" presId="urn:microsoft.com/office/officeart/2005/8/layout/orgChart1#1"/>
    <dgm:cxn modelId="{176414FB-C391-4C6E-AD20-1009E82C7133}" srcId="{F45CD80F-ED6A-4D88-8BC9-801A30FB53FD}" destId="{4508D32A-1C7C-481C-B519-CAECB39B3DB0}" srcOrd="0" destOrd="0" parTransId="{080B188F-966B-47EB-83DB-96BA06850321}" sibTransId="{7CF9235C-673C-414B-A839-1C80F929E7A5}"/>
    <dgm:cxn modelId="{E9EF5EFB-3117-4245-AE2C-C8989C9AC358}" type="presOf" srcId="{7B30B2CC-09D3-46B9-96F4-F2E8195D5557}" destId="{F59CA4A3-D120-4930-9E28-293937EB0DA9}" srcOrd="0" destOrd="0" presId="urn:microsoft.com/office/officeart/2005/8/layout/orgChart1#1"/>
    <dgm:cxn modelId="{D9CFEAFE-5538-4C60-A3DE-B657A7A70635}" type="presOf" srcId="{8DE01D35-529F-4172-8E61-0D5518A744C8}" destId="{7D0E6903-5E77-4AAA-BF3A-A1BDB43F5AB2}" srcOrd="0" destOrd="0" presId="urn:microsoft.com/office/officeart/2005/8/layout/orgChart1#1"/>
    <dgm:cxn modelId="{1356CCED-9DF8-4973-9FBA-49E23C2F5A1E}" type="presParOf" srcId="{187665F6-B09E-4D2B-82E4-01CB439F7B60}" destId="{6D8B11BD-0930-4548-920F-1527482C57E4}" srcOrd="0" destOrd="0" presId="urn:microsoft.com/office/officeart/2005/8/layout/orgChart1#1"/>
    <dgm:cxn modelId="{316E0A25-A3C7-4B61-A353-3B38CF27909A}" type="presParOf" srcId="{6D8B11BD-0930-4548-920F-1527482C57E4}" destId="{346AA701-5C79-4419-989B-13846A4160F4}" srcOrd="0" destOrd="0" presId="urn:microsoft.com/office/officeart/2005/8/layout/orgChart1#1"/>
    <dgm:cxn modelId="{021E8110-B99C-41E2-BAA7-CBF05F5F5456}" type="presParOf" srcId="{346AA701-5C79-4419-989B-13846A4160F4}" destId="{4789BE4F-5480-4446-A283-B22F4F98EE10}" srcOrd="0" destOrd="0" presId="urn:microsoft.com/office/officeart/2005/8/layout/orgChart1#1"/>
    <dgm:cxn modelId="{A90B2129-1DF6-4ADE-AE0D-435D9FA17BFD}" type="presParOf" srcId="{346AA701-5C79-4419-989B-13846A4160F4}" destId="{0C938D74-4644-49A4-AFE2-1B4D266DD9C3}" srcOrd="1" destOrd="0" presId="urn:microsoft.com/office/officeart/2005/8/layout/orgChart1#1"/>
    <dgm:cxn modelId="{E73FEEC1-1AC9-4B39-923D-555DB27CECF3}" type="presParOf" srcId="{6D8B11BD-0930-4548-920F-1527482C57E4}" destId="{B588DDC4-03FA-4100-B215-52E3D16A8F72}" srcOrd="1" destOrd="0" presId="urn:microsoft.com/office/officeart/2005/8/layout/orgChart1#1"/>
    <dgm:cxn modelId="{D56FA01D-D8CB-4EAD-A96D-C3100DE1BEC3}" type="presParOf" srcId="{B588DDC4-03FA-4100-B215-52E3D16A8F72}" destId="{0579334F-144D-4459-AEA7-2AEFCC246D9F}" srcOrd="0" destOrd="0" presId="urn:microsoft.com/office/officeart/2005/8/layout/orgChart1#1"/>
    <dgm:cxn modelId="{985093AA-203C-4B74-905F-457D63721E70}" type="presParOf" srcId="{B588DDC4-03FA-4100-B215-52E3D16A8F72}" destId="{03757511-9CEE-4085-8051-ED66D3F546C3}" srcOrd="1" destOrd="0" presId="urn:microsoft.com/office/officeart/2005/8/layout/orgChart1#1"/>
    <dgm:cxn modelId="{670488EA-14A2-4523-A500-625D6F8352D9}" type="presParOf" srcId="{03757511-9CEE-4085-8051-ED66D3F546C3}" destId="{A08F584A-8A4A-404D-8E5C-2F5142E93E57}" srcOrd="0" destOrd="0" presId="urn:microsoft.com/office/officeart/2005/8/layout/orgChart1#1"/>
    <dgm:cxn modelId="{0BDEB149-DCF1-444D-B8B4-4196EC0A1B8D}" type="presParOf" srcId="{A08F584A-8A4A-404D-8E5C-2F5142E93E57}" destId="{62563767-40D6-4D45-84C3-574A3AFAA82E}" srcOrd="0" destOrd="0" presId="urn:microsoft.com/office/officeart/2005/8/layout/orgChart1#1"/>
    <dgm:cxn modelId="{AA7B9580-1BE6-486F-AE2D-DE54F733651E}" type="presParOf" srcId="{A08F584A-8A4A-404D-8E5C-2F5142E93E57}" destId="{BEF1038C-0E3B-4C10-8977-EE71BC2D66AC}" srcOrd="1" destOrd="0" presId="urn:microsoft.com/office/officeart/2005/8/layout/orgChart1#1"/>
    <dgm:cxn modelId="{9003BC01-484E-4FEA-8286-0CEBE6A60076}" type="presParOf" srcId="{03757511-9CEE-4085-8051-ED66D3F546C3}" destId="{AE2543CA-F6CE-4490-9A27-CDBF7CB6D70C}" srcOrd="1" destOrd="0" presId="urn:microsoft.com/office/officeart/2005/8/layout/orgChart1#1"/>
    <dgm:cxn modelId="{9EBCE6D7-1A3F-4554-A18C-DFAA47EE96D1}" type="presParOf" srcId="{AE2543CA-F6CE-4490-9A27-CDBF7CB6D70C}" destId="{608C81B8-1340-47A8-A520-7518FC71DCF9}" srcOrd="0" destOrd="0" presId="urn:microsoft.com/office/officeart/2005/8/layout/orgChart1#1"/>
    <dgm:cxn modelId="{20E0F586-C07F-470A-B347-43C2CE68D452}" type="presParOf" srcId="{AE2543CA-F6CE-4490-9A27-CDBF7CB6D70C}" destId="{4CF9B8D1-184F-49C7-9406-9727B0DA1896}" srcOrd="1" destOrd="0" presId="urn:microsoft.com/office/officeart/2005/8/layout/orgChart1#1"/>
    <dgm:cxn modelId="{636B8919-34E1-48AC-B412-1E4BB79E1150}" type="presParOf" srcId="{4CF9B8D1-184F-49C7-9406-9727B0DA1896}" destId="{1A761B6E-5B9C-46A3-BFC8-2E9CFDC1379C}" srcOrd="0" destOrd="0" presId="urn:microsoft.com/office/officeart/2005/8/layout/orgChart1#1"/>
    <dgm:cxn modelId="{5D27972B-6690-4DAC-A547-A83CC91390C9}" type="presParOf" srcId="{1A761B6E-5B9C-46A3-BFC8-2E9CFDC1379C}" destId="{9217389D-FF13-44F9-996E-C41B5BF5AC65}" srcOrd="0" destOrd="0" presId="urn:microsoft.com/office/officeart/2005/8/layout/orgChart1#1"/>
    <dgm:cxn modelId="{4ED6592C-3B15-4D56-BE7B-2BA241820328}" type="presParOf" srcId="{1A761B6E-5B9C-46A3-BFC8-2E9CFDC1379C}" destId="{2E3DB7B0-89F2-4199-B2B9-46C4525DB2E0}" srcOrd="1" destOrd="0" presId="urn:microsoft.com/office/officeart/2005/8/layout/orgChart1#1"/>
    <dgm:cxn modelId="{AD4C1380-56B2-48BF-B999-1FE062F4DE51}" type="presParOf" srcId="{4CF9B8D1-184F-49C7-9406-9727B0DA1896}" destId="{77366C2E-CB53-4EFE-8B84-3F5C0DC9B00E}" srcOrd="1" destOrd="0" presId="urn:microsoft.com/office/officeart/2005/8/layout/orgChart1#1"/>
    <dgm:cxn modelId="{A6F8103D-B5A6-42A8-86E2-2EAC02FC8CDB}" type="presParOf" srcId="{77366C2E-CB53-4EFE-8B84-3F5C0DC9B00E}" destId="{8FC0F736-47BD-424C-8805-88269550A5C3}" srcOrd="0" destOrd="0" presId="urn:microsoft.com/office/officeart/2005/8/layout/orgChart1#1"/>
    <dgm:cxn modelId="{A260AF8E-7BA2-4F78-A179-4B61C0343E72}" type="presParOf" srcId="{77366C2E-CB53-4EFE-8B84-3F5C0DC9B00E}" destId="{74CFFFDE-C384-4852-92A7-744726C1321B}" srcOrd="1" destOrd="0" presId="urn:microsoft.com/office/officeart/2005/8/layout/orgChart1#1"/>
    <dgm:cxn modelId="{C49DD508-8F24-46AD-92A1-59886FA19DDE}" type="presParOf" srcId="{74CFFFDE-C384-4852-92A7-744726C1321B}" destId="{9ADFC50A-141C-44F8-B1D3-539CDCFC75F4}" srcOrd="0" destOrd="0" presId="urn:microsoft.com/office/officeart/2005/8/layout/orgChart1#1"/>
    <dgm:cxn modelId="{B10A20B5-9E3C-4907-9656-BE19BB6908FD}" type="presParOf" srcId="{9ADFC50A-141C-44F8-B1D3-539CDCFC75F4}" destId="{D07D5271-1111-404F-B10C-7FA0DA79FD95}" srcOrd="0" destOrd="0" presId="urn:microsoft.com/office/officeart/2005/8/layout/orgChart1#1"/>
    <dgm:cxn modelId="{88A7297F-3F5B-41CC-96FF-C01047DD7843}" type="presParOf" srcId="{9ADFC50A-141C-44F8-B1D3-539CDCFC75F4}" destId="{531CA6AD-C52D-4BFB-A714-20D75B008777}" srcOrd="1" destOrd="0" presId="urn:microsoft.com/office/officeart/2005/8/layout/orgChart1#1"/>
    <dgm:cxn modelId="{1E8154EC-3AC3-464A-8008-A800E01930D6}" type="presParOf" srcId="{74CFFFDE-C384-4852-92A7-744726C1321B}" destId="{43A2F18C-F7DB-4389-8B1D-6F96C0E50DCB}" srcOrd="1" destOrd="0" presId="urn:microsoft.com/office/officeart/2005/8/layout/orgChart1#1"/>
    <dgm:cxn modelId="{00E82832-661C-4968-BFE4-CD6C44B2ED27}" type="presParOf" srcId="{43A2F18C-F7DB-4389-8B1D-6F96C0E50DCB}" destId="{970351EB-4976-4C25-A7AE-0FC2D110735F}" srcOrd="0" destOrd="0" presId="urn:microsoft.com/office/officeart/2005/8/layout/orgChart1#1"/>
    <dgm:cxn modelId="{8634286C-1B1F-4D82-AC73-4C01C224709D}" type="presParOf" srcId="{43A2F18C-F7DB-4389-8B1D-6F96C0E50DCB}" destId="{7EFBF7B2-19F8-4BBA-9654-70F0D362CDD9}" srcOrd="1" destOrd="0" presId="urn:microsoft.com/office/officeart/2005/8/layout/orgChart1#1"/>
    <dgm:cxn modelId="{2E5E9EC0-B25A-431C-BD89-25A7244D43E4}" type="presParOf" srcId="{7EFBF7B2-19F8-4BBA-9654-70F0D362CDD9}" destId="{37C16A8F-00EE-427E-B8A7-6057B33B8929}" srcOrd="0" destOrd="0" presId="urn:microsoft.com/office/officeart/2005/8/layout/orgChart1#1"/>
    <dgm:cxn modelId="{9D9CD675-B07C-44DA-A18F-51D0AEC84E92}" type="presParOf" srcId="{37C16A8F-00EE-427E-B8A7-6057B33B8929}" destId="{1DF4CD26-0511-4850-998B-D2CADB96B0D8}" srcOrd="0" destOrd="0" presId="urn:microsoft.com/office/officeart/2005/8/layout/orgChart1#1"/>
    <dgm:cxn modelId="{2FB4676E-B668-4C89-AE60-AD5516D549B4}" type="presParOf" srcId="{37C16A8F-00EE-427E-B8A7-6057B33B8929}" destId="{D8D942BC-9C6A-4440-8A13-23C817B3ED31}" srcOrd="1" destOrd="0" presId="urn:microsoft.com/office/officeart/2005/8/layout/orgChart1#1"/>
    <dgm:cxn modelId="{6E78ABFF-9CDE-4F5B-9E3B-F93FE759E7BD}" type="presParOf" srcId="{7EFBF7B2-19F8-4BBA-9654-70F0D362CDD9}" destId="{67809C31-AC96-48C4-A6B9-FBD0267D9099}" srcOrd="1" destOrd="0" presId="urn:microsoft.com/office/officeart/2005/8/layout/orgChart1#1"/>
    <dgm:cxn modelId="{0AB1D18D-919C-4B57-AA7C-5C78F805B542}" type="presParOf" srcId="{7EFBF7B2-19F8-4BBA-9654-70F0D362CDD9}" destId="{AF2ACDCD-ED2F-410D-B232-F7D5DCE84E52}" srcOrd="2" destOrd="0" presId="urn:microsoft.com/office/officeart/2005/8/layout/orgChart1#1"/>
    <dgm:cxn modelId="{CC5E919D-432E-4128-8D52-EC0C5E4586A2}" type="presParOf" srcId="{43A2F18C-F7DB-4389-8B1D-6F96C0E50DCB}" destId="{0CCC70C6-134D-4BF8-A527-8A49129F93CD}" srcOrd="2" destOrd="0" presId="urn:microsoft.com/office/officeart/2005/8/layout/orgChart1#1"/>
    <dgm:cxn modelId="{80F796DD-DA18-4629-803F-2333D17A85AF}" type="presParOf" srcId="{43A2F18C-F7DB-4389-8B1D-6F96C0E50DCB}" destId="{92EF73DE-B840-4947-BE4F-28104B8F14D3}" srcOrd="3" destOrd="0" presId="urn:microsoft.com/office/officeart/2005/8/layout/orgChart1#1"/>
    <dgm:cxn modelId="{0704E2DD-A3F1-448B-8237-D1F359A67C49}" type="presParOf" srcId="{92EF73DE-B840-4947-BE4F-28104B8F14D3}" destId="{2F43C326-4A09-4662-9029-66F9D4BF3E2D}" srcOrd="0" destOrd="0" presId="urn:microsoft.com/office/officeart/2005/8/layout/orgChart1#1"/>
    <dgm:cxn modelId="{4BC7D3E6-CFC1-46A1-9D51-761209B0F35A}" type="presParOf" srcId="{2F43C326-4A09-4662-9029-66F9D4BF3E2D}" destId="{58C39C79-F0AE-4E80-BD45-147A0D14A141}" srcOrd="0" destOrd="0" presId="urn:microsoft.com/office/officeart/2005/8/layout/orgChart1#1"/>
    <dgm:cxn modelId="{58A7145A-C233-4C1E-BF56-39F143D7DD21}" type="presParOf" srcId="{2F43C326-4A09-4662-9029-66F9D4BF3E2D}" destId="{5AE5695D-4C46-4FD9-9AFA-1F703F952553}" srcOrd="1" destOrd="0" presId="urn:microsoft.com/office/officeart/2005/8/layout/orgChart1#1"/>
    <dgm:cxn modelId="{667711D7-E48A-4871-8188-EAF15866E0E5}" type="presParOf" srcId="{92EF73DE-B840-4947-BE4F-28104B8F14D3}" destId="{56AEB8E7-AC71-407D-A8AB-35AC598E8649}" srcOrd="1" destOrd="0" presId="urn:microsoft.com/office/officeart/2005/8/layout/orgChart1#1"/>
    <dgm:cxn modelId="{588C699C-9380-441D-A988-1B92A17E91D6}" type="presParOf" srcId="{92EF73DE-B840-4947-BE4F-28104B8F14D3}" destId="{BBBDD88F-04BD-4120-868C-ABA8CA1ECBE3}" srcOrd="2" destOrd="0" presId="urn:microsoft.com/office/officeart/2005/8/layout/orgChart1#1"/>
    <dgm:cxn modelId="{D7CDC7EF-1E3B-4251-84B4-2AA66575B828}" type="presParOf" srcId="{43A2F18C-F7DB-4389-8B1D-6F96C0E50DCB}" destId="{8DEEF7A4-74E7-40A0-8998-E00E8A86BF5B}" srcOrd="4" destOrd="0" presId="urn:microsoft.com/office/officeart/2005/8/layout/orgChart1#1"/>
    <dgm:cxn modelId="{FBA3C574-B68D-43CB-A897-474A59F54B83}" type="presParOf" srcId="{43A2F18C-F7DB-4389-8B1D-6F96C0E50DCB}" destId="{D9309D63-2E5D-404B-9D05-CDB4BCC04070}" srcOrd="5" destOrd="0" presId="urn:microsoft.com/office/officeart/2005/8/layout/orgChart1#1"/>
    <dgm:cxn modelId="{E472A9E0-3D9C-422C-A4A7-5409DCC89F21}" type="presParOf" srcId="{D9309D63-2E5D-404B-9D05-CDB4BCC04070}" destId="{B5B3C50B-3F7D-4EE1-BC00-D41D05CBF8B0}" srcOrd="0" destOrd="0" presId="urn:microsoft.com/office/officeart/2005/8/layout/orgChart1#1"/>
    <dgm:cxn modelId="{BCC1B8AF-A92B-4A9E-A7F7-26BFCB99AFD9}" type="presParOf" srcId="{B5B3C50B-3F7D-4EE1-BC00-D41D05CBF8B0}" destId="{C2E81217-0893-4465-861D-535B2D51FFC6}" srcOrd="0" destOrd="0" presId="urn:microsoft.com/office/officeart/2005/8/layout/orgChart1#1"/>
    <dgm:cxn modelId="{FB1F555C-3573-412B-B607-A02C076BDD1F}" type="presParOf" srcId="{B5B3C50B-3F7D-4EE1-BC00-D41D05CBF8B0}" destId="{5200385D-B39B-43F2-9939-B1326196DA3B}" srcOrd="1" destOrd="0" presId="urn:microsoft.com/office/officeart/2005/8/layout/orgChart1#1"/>
    <dgm:cxn modelId="{18BDF74B-6E87-4D60-87A3-9FCFEF2BDEDA}" type="presParOf" srcId="{D9309D63-2E5D-404B-9D05-CDB4BCC04070}" destId="{64DC4A21-408F-4BBD-9892-2F5B0E0DF1E0}" srcOrd="1" destOrd="0" presId="urn:microsoft.com/office/officeart/2005/8/layout/orgChart1#1"/>
    <dgm:cxn modelId="{8F719088-ED70-49F9-89BE-3E22D4636A6B}" type="presParOf" srcId="{D9309D63-2E5D-404B-9D05-CDB4BCC04070}" destId="{1871EEE7-81C4-4961-A0B7-D9D6F5A0D2EB}" srcOrd="2" destOrd="0" presId="urn:microsoft.com/office/officeart/2005/8/layout/orgChart1#1"/>
    <dgm:cxn modelId="{36639378-4585-496A-9F2A-B96ECB96719E}" type="presParOf" srcId="{74CFFFDE-C384-4852-92A7-744726C1321B}" destId="{8D65C85C-0D96-4C8A-8529-ED6AEFB479E6}" srcOrd="2" destOrd="0" presId="urn:microsoft.com/office/officeart/2005/8/layout/orgChart1#1"/>
    <dgm:cxn modelId="{914A0CFF-3BD6-43A7-87D1-ED1C36A90B65}" type="presParOf" srcId="{77366C2E-CB53-4EFE-8B84-3F5C0DC9B00E}" destId="{000BD349-D548-4803-9A35-1294A8C6259F}" srcOrd="2" destOrd="0" presId="urn:microsoft.com/office/officeart/2005/8/layout/orgChart1#1"/>
    <dgm:cxn modelId="{A686BC96-235A-4D7D-98F6-45BC914E1597}" type="presParOf" srcId="{77366C2E-CB53-4EFE-8B84-3F5C0DC9B00E}" destId="{A204D2C5-C2DB-4F3E-9E0F-0575AD0DD801}" srcOrd="3" destOrd="0" presId="urn:microsoft.com/office/officeart/2005/8/layout/orgChart1#1"/>
    <dgm:cxn modelId="{D8D7629F-8BB8-4C1E-82BC-ED64C35EEA92}" type="presParOf" srcId="{A204D2C5-C2DB-4F3E-9E0F-0575AD0DD801}" destId="{F2C48F7A-D00F-41F2-87CA-A19DA01B7C05}" srcOrd="0" destOrd="0" presId="urn:microsoft.com/office/officeart/2005/8/layout/orgChart1#1"/>
    <dgm:cxn modelId="{981F9189-A1AC-46B5-BDDE-3CE95EB95B08}" type="presParOf" srcId="{F2C48F7A-D00F-41F2-87CA-A19DA01B7C05}" destId="{A0D5FA5A-717E-4275-92A0-18C1F606CD95}" srcOrd="0" destOrd="0" presId="urn:microsoft.com/office/officeart/2005/8/layout/orgChart1#1"/>
    <dgm:cxn modelId="{26DAED2D-218B-4FFF-806E-EC0004130638}" type="presParOf" srcId="{F2C48F7A-D00F-41F2-87CA-A19DA01B7C05}" destId="{FE62FBFF-AB43-480B-9921-A2AC3E71681A}" srcOrd="1" destOrd="0" presId="urn:microsoft.com/office/officeart/2005/8/layout/orgChart1#1"/>
    <dgm:cxn modelId="{9E0F0DF2-C86F-4CA7-B2A9-09CD15DBCA46}" type="presParOf" srcId="{A204D2C5-C2DB-4F3E-9E0F-0575AD0DD801}" destId="{C524CCD2-0667-4533-B378-82A7DBBAE52B}" srcOrd="1" destOrd="0" presId="urn:microsoft.com/office/officeart/2005/8/layout/orgChart1#1"/>
    <dgm:cxn modelId="{99DD4DD6-912E-4F7F-9874-1703E99CBB4F}" type="presParOf" srcId="{C524CCD2-0667-4533-B378-82A7DBBAE52B}" destId="{F59CA4A3-D120-4930-9E28-293937EB0DA9}" srcOrd="0" destOrd="0" presId="urn:microsoft.com/office/officeart/2005/8/layout/orgChart1#1"/>
    <dgm:cxn modelId="{4CE6507D-5433-4E83-B687-B7AE631E9068}" type="presParOf" srcId="{C524CCD2-0667-4533-B378-82A7DBBAE52B}" destId="{E99F9E47-E761-4E62-8017-343AC87A03DE}" srcOrd="1" destOrd="0" presId="urn:microsoft.com/office/officeart/2005/8/layout/orgChart1#1"/>
    <dgm:cxn modelId="{98B7B950-E341-483F-A3BC-C3E918E02401}" type="presParOf" srcId="{E99F9E47-E761-4E62-8017-343AC87A03DE}" destId="{BF653726-77B8-417F-BFFC-F2B40847E0B1}" srcOrd="0" destOrd="0" presId="urn:microsoft.com/office/officeart/2005/8/layout/orgChart1#1"/>
    <dgm:cxn modelId="{EE91CEA2-5F0B-4871-B63F-DB2BF42E5D32}" type="presParOf" srcId="{BF653726-77B8-417F-BFFC-F2B40847E0B1}" destId="{B6B3BFC2-2294-4CC5-8547-2ED0D91D5231}" srcOrd="0" destOrd="0" presId="urn:microsoft.com/office/officeart/2005/8/layout/orgChart1#1"/>
    <dgm:cxn modelId="{3B0278D0-C9ED-4CED-BDCC-565196AE04AD}" type="presParOf" srcId="{BF653726-77B8-417F-BFFC-F2B40847E0B1}" destId="{9A7CB56F-5144-4253-B7DC-19820EFB62BF}" srcOrd="1" destOrd="0" presId="urn:microsoft.com/office/officeart/2005/8/layout/orgChart1#1"/>
    <dgm:cxn modelId="{870E27F6-3570-428F-9197-77FBB0FEF2FB}" type="presParOf" srcId="{E99F9E47-E761-4E62-8017-343AC87A03DE}" destId="{5DFD8282-E33B-434E-A0C3-32EE084F210C}" srcOrd="1" destOrd="0" presId="urn:microsoft.com/office/officeart/2005/8/layout/orgChart1#1"/>
    <dgm:cxn modelId="{5D180A49-CA09-46F3-A682-AC7D86DD76A0}" type="presParOf" srcId="{E99F9E47-E761-4E62-8017-343AC87A03DE}" destId="{34EAA717-6DFD-4074-B2E6-09008DF76258}" srcOrd="2" destOrd="0" presId="urn:microsoft.com/office/officeart/2005/8/layout/orgChart1#1"/>
    <dgm:cxn modelId="{58C96E39-844E-4B01-B05C-B5F84459DE67}" type="presParOf" srcId="{C524CCD2-0667-4533-B378-82A7DBBAE52B}" destId="{E1B81E8B-98AC-449C-8EB9-3FE9AC757359}" srcOrd="2" destOrd="0" presId="urn:microsoft.com/office/officeart/2005/8/layout/orgChart1#1"/>
    <dgm:cxn modelId="{CC7ABFB5-7E98-4942-85AE-A5D18ED71799}" type="presParOf" srcId="{C524CCD2-0667-4533-B378-82A7DBBAE52B}" destId="{520E178F-199E-4E82-82A7-DCD20F0724AD}" srcOrd="3" destOrd="0" presId="urn:microsoft.com/office/officeart/2005/8/layout/orgChart1#1"/>
    <dgm:cxn modelId="{54C55CE6-D203-4420-9956-CC96752BCE5B}" type="presParOf" srcId="{520E178F-199E-4E82-82A7-DCD20F0724AD}" destId="{1BD5C5E4-8C51-4D3E-A306-1D387B27D561}" srcOrd="0" destOrd="0" presId="urn:microsoft.com/office/officeart/2005/8/layout/orgChart1#1"/>
    <dgm:cxn modelId="{92E70968-2046-49DD-9BA6-A0CAD1484901}" type="presParOf" srcId="{1BD5C5E4-8C51-4D3E-A306-1D387B27D561}" destId="{07692B59-7582-4EA3-BC80-24308F1EAAC1}" srcOrd="0" destOrd="0" presId="urn:microsoft.com/office/officeart/2005/8/layout/orgChart1#1"/>
    <dgm:cxn modelId="{4C07CAA8-F714-4DAD-9F1C-31B9F55FDFBA}" type="presParOf" srcId="{1BD5C5E4-8C51-4D3E-A306-1D387B27D561}" destId="{02BC17F3-3A41-421B-99C9-8A87DD565F85}" srcOrd="1" destOrd="0" presId="urn:microsoft.com/office/officeart/2005/8/layout/orgChart1#1"/>
    <dgm:cxn modelId="{91549FF1-22D3-4AFD-84F2-C45F0E78DA82}" type="presParOf" srcId="{520E178F-199E-4E82-82A7-DCD20F0724AD}" destId="{E11A8DCC-EDC3-42EE-824B-82EB41A8B628}" srcOrd="1" destOrd="0" presId="urn:microsoft.com/office/officeart/2005/8/layout/orgChart1#1"/>
    <dgm:cxn modelId="{13F9E07C-1707-4A11-B5DB-38D364382A52}" type="presParOf" srcId="{520E178F-199E-4E82-82A7-DCD20F0724AD}" destId="{23833CD3-8BC6-4A92-845B-432C810E0246}" srcOrd="2" destOrd="0" presId="urn:microsoft.com/office/officeart/2005/8/layout/orgChart1#1"/>
    <dgm:cxn modelId="{B96E6152-7286-425F-9648-29ADF7722274}" type="presParOf" srcId="{C524CCD2-0667-4533-B378-82A7DBBAE52B}" destId="{C7E0B80B-1EFB-4613-86EC-D3CB7CA0AFA1}" srcOrd="4" destOrd="0" presId="urn:microsoft.com/office/officeart/2005/8/layout/orgChart1#1"/>
    <dgm:cxn modelId="{2E391DC7-5FE6-4339-86B7-CA889E929789}" type="presParOf" srcId="{C524CCD2-0667-4533-B378-82A7DBBAE52B}" destId="{57D9B335-BEB8-4E2A-A433-8C280950A329}" srcOrd="5" destOrd="0" presId="urn:microsoft.com/office/officeart/2005/8/layout/orgChart1#1"/>
    <dgm:cxn modelId="{8E31DA51-6295-4741-B2E0-187178562C4F}" type="presParOf" srcId="{57D9B335-BEB8-4E2A-A433-8C280950A329}" destId="{9BE58DB9-AF35-430D-9FEB-14AFAEC19598}" srcOrd="0" destOrd="0" presId="urn:microsoft.com/office/officeart/2005/8/layout/orgChart1#1"/>
    <dgm:cxn modelId="{76954B32-4829-4D2F-A1C9-CCC23AE81799}" type="presParOf" srcId="{9BE58DB9-AF35-430D-9FEB-14AFAEC19598}" destId="{251CE618-14FC-461D-80CB-4B7272FE488D}" srcOrd="0" destOrd="0" presId="urn:microsoft.com/office/officeart/2005/8/layout/orgChart1#1"/>
    <dgm:cxn modelId="{A9445C03-DC4E-4666-81A2-9F879BEF1184}" type="presParOf" srcId="{9BE58DB9-AF35-430D-9FEB-14AFAEC19598}" destId="{88DD8089-8FE8-4D4E-A9E9-B9DFE6AC6DCF}" srcOrd="1" destOrd="0" presId="urn:microsoft.com/office/officeart/2005/8/layout/orgChart1#1"/>
    <dgm:cxn modelId="{50236C30-2CDF-48C2-A290-15CE757C2CF1}" type="presParOf" srcId="{57D9B335-BEB8-4E2A-A433-8C280950A329}" destId="{12343A4D-A73C-4373-8D6D-7CCED023DD1D}" srcOrd="1" destOrd="0" presId="urn:microsoft.com/office/officeart/2005/8/layout/orgChart1#1"/>
    <dgm:cxn modelId="{287FD285-E955-435F-943F-963EC61265F0}" type="presParOf" srcId="{57D9B335-BEB8-4E2A-A433-8C280950A329}" destId="{D8CE80FD-37FB-45F5-AB12-11B34575D43F}" srcOrd="2" destOrd="0" presId="urn:microsoft.com/office/officeart/2005/8/layout/orgChart1#1"/>
    <dgm:cxn modelId="{E3CE90F1-631B-4C88-B4B9-E2F6F93987F8}" type="presParOf" srcId="{A204D2C5-C2DB-4F3E-9E0F-0575AD0DD801}" destId="{EC8B81B5-2B2E-4F48-835F-7953FA768894}" srcOrd="2" destOrd="0" presId="urn:microsoft.com/office/officeart/2005/8/layout/orgChart1#1"/>
    <dgm:cxn modelId="{0945D2C5-4576-46DB-98E7-F02E52C460C6}" type="presParOf" srcId="{4CF9B8D1-184F-49C7-9406-9727B0DA1896}" destId="{1D92EA26-CFBE-40DD-B61E-1DA472D072E8}" srcOrd="2" destOrd="0" presId="urn:microsoft.com/office/officeart/2005/8/layout/orgChart1#1"/>
    <dgm:cxn modelId="{7819E6E5-CD71-46D9-BD3B-373AED77F4D2}" type="presParOf" srcId="{AE2543CA-F6CE-4490-9A27-CDBF7CB6D70C}" destId="{0E0D418B-B3A8-4246-8FFA-C1984AACA608}" srcOrd="2" destOrd="0" presId="urn:microsoft.com/office/officeart/2005/8/layout/orgChart1#1"/>
    <dgm:cxn modelId="{BB80431D-848D-4298-97B3-30617B317CB9}" type="presParOf" srcId="{AE2543CA-F6CE-4490-9A27-CDBF7CB6D70C}" destId="{E711CF37-8AFC-4A6B-9BEB-37AF1A463BDF}" srcOrd="3" destOrd="0" presId="urn:microsoft.com/office/officeart/2005/8/layout/orgChart1#1"/>
    <dgm:cxn modelId="{129659F5-D446-4EFE-A47C-130DA306FEDF}" type="presParOf" srcId="{E711CF37-8AFC-4A6B-9BEB-37AF1A463BDF}" destId="{FFC61C90-6A5F-455C-B597-3570D521B063}" srcOrd="0" destOrd="0" presId="urn:microsoft.com/office/officeart/2005/8/layout/orgChart1#1"/>
    <dgm:cxn modelId="{827057FC-0626-4D5B-91A5-9BA9E209A3DC}" type="presParOf" srcId="{FFC61C90-6A5F-455C-B597-3570D521B063}" destId="{673E3EDB-A72F-4F99-AF2E-2FB26091A5AC}" srcOrd="0" destOrd="0" presId="urn:microsoft.com/office/officeart/2005/8/layout/orgChart1#1"/>
    <dgm:cxn modelId="{0D8BC476-6985-441D-8074-323692056D3E}" type="presParOf" srcId="{FFC61C90-6A5F-455C-B597-3570D521B063}" destId="{2A73088D-7CC0-4499-9F69-4613CF3EA5D6}" srcOrd="1" destOrd="0" presId="urn:microsoft.com/office/officeart/2005/8/layout/orgChart1#1"/>
    <dgm:cxn modelId="{04DD9DED-13A7-4332-A202-84B238CCF215}" type="presParOf" srcId="{E711CF37-8AFC-4A6B-9BEB-37AF1A463BDF}" destId="{5BB26DEF-D803-4BB5-BFE1-A87A5D793741}" srcOrd="1" destOrd="0" presId="urn:microsoft.com/office/officeart/2005/8/layout/orgChart1#1"/>
    <dgm:cxn modelId="{51E68EB4-75B4-44A0-AC89-0EFAE5373FEA}" type="presParOf" srcId="{5BB26DEF-D803-4BB5-BFE1-A87A5D793741}" destId="{86F5B7F1-D150-4452-B023-2CA7FE38D454}" srcOrd="0" destOrd="0" presId="urn:microsoft.com/office/officeart/2005/8/layout/orgChart1#1"/>
    <dgm:cxn modelId="{A9012795-852E-416B-92AA-5346ADC506A6}" type="presParOf" srcId="{5BB26DEF-D803-4BB5-BFE1-A87A5D793741}" destId="{AE97C82D-D698-4C60-BE2F-705F67693DB1}" srcOrd="1" destOrd="0" presId="urn:microsoft.com/office/officeart/2005/8/layout/orgChart1#1"/>
    <dgm:cxn modelId="{4E5DA83E-9B67-4FF6-B7D1-DDAB6C27B00C}" type="presParOf" srcId="{AE97C82D-D698-4C60-BE2F-705F67693DB1}" destId="{FAFD0A6C-6470-4B70-9885-0BBDF340F936}" srcOrd="0" destOrd="0" presId="urn:microsoft.com/office/officeart/2005/8/layout/orgChart1#1"/>
    <dgm:cxn modelId="{CF3FF758-B304-4DFD-8B03-06A720ED153D}" type="presParOf" srcId="{FAFD0A6C-6470-4B70-9885-0BBDF340F936}" destId="{BC4B7941-EC4B-450F-9893-D26E6916A1A5}" srcOrd="0" destOrd="0" presId="urn:microsoft.com/office/officeart/2005/8/layout/orgChart1#1"/>
    <dgm:cxn modelId="{1F1C1173-4975-40A3-9DFE-DA7D21268A7D}" type="presParOf" srcId="{FAFD0A6C-6470-4B70-9885-0BBDF340F936}" destId="{4BC7D3C6-58AB-4E23-A7CD-D2BBB26A3B64}" srcOrd="1" destOrd="0" presId="urn:microsoft.com/office/officeart/2005/8/layout/orgChart1#1"/>
    <dgm:cxn modelId="{134A2515-EA1C-416D-A1C7-B0C2D8E3EC88}" type="presParOf" srcId="{AE97C82D-D698-4C60-BE2F-705F67693DB1}" destId="{8DF0F103-E4C7-4D60-A1DB-A1AEA58CC4AB}" srcOrd="1" destOrd="0" presId="urn:microsoft.com/office/officeart/2005/8/layout/orgChart1#1"/>
    <dgm:cxn modelId="{E0F26A76-F43E-4236-97BE-B1CF05E1B813}" type="presParOf" srcId="{8DF0F103-E4C7-4D60-A1DB-A1AEA58CC4AB}" destId="{413E99A7-7114-4139-9A77-EC212E747121}" srcOrd="0" destOrd="0" presId="urn:microsoft.com/office/officeart/2005/8/layout/orgChart1#1"/>
    <dgm:cxn modelId="{57D1481B-D961-40B4-A2C5-C61E3F287374}" type="presParOf" srcId="{8DF0F103-E4C7-4D60-A1DB-A1AEA58CC4AB}" destId="{3E8E8647-5A6F-4336-989C-68684307BC3D}" srcOrd="1" destOrd="0" presId="urn:microsoft.com/office/officeart/2005/8/layout/orgChart1#1"/>
    <dgm:cxn modelId="{6C7721F7-B815-4FC5-BA37-5359362CD9C1}" type="presParOf" srcId="{3E8E8647-5A6F-4336-989C-68684307BC3D}" destId="{2D7E9137-4A9A-47C5-95E6-81DD0FDF2B94}" srcOrd="0" destOrd="0" presId="urn:microsoft.com/office/officeart/2005/8/layout/orgChart1#1"/>
    <dgm:cxn modelId="{03139916-9E76-4FFA-B77C-CFF2EC404F03}" type="presParOf" srcId="{2D7E9137-4A9A-47C5-95E6-81DD0FDF2B94}" destId="{D82A0DF4-1ACB-4B15-AFD9-1F57A2700E6E}" srcOrd="0" destOrd="0" presId="urn:microsoft.com/office/officeart/2005/8/layout/orgChart1#1"/>
    <dgm:cxn modelId="{5037C356-9A69-448D-AB00-6282A940D4CD}" type="presParOf" srcId="{2D7E9137-4A9A-47C5-95E6-81DD0FDF2B94}" destId="{B014B060-06EF-4E41-A187-EBD4DDC6013C}" srcOrd="1" destOrd="0" presId="urn:microsoft.com/office/officeart/2005/8/layout/orgChart1#1"/>
    <dgm:cxn modelId="{B39B08E2-0693-4E4F-838B-B288CAE6A945}" type="presParOf" srcId="{3E8E8647-5A6F-4336-989C-68684307BC3D}" destId="{61EC95B8-81CE-46D1-B8B8-950D5415DAF9}" srcOrd="1" destOrd="0" presId="urn:microsoft.com/office/officeart/2005/8/layout/orgChart1#1"/>
    <dgm:cxn modelId="{33BDAF40-1BE5-47F1-AEF8-7B44804F8D4A}" type="presParOf" srcId="{61EC95B8-81CE-46D1-B8B8-950D5415DAF9}" destId="{49F41791-5F10-47CB-9979-6CB263BDD089}" srcOrd="0" destOrd="0" presId="urn:microsoft.com/office/officeart/2005/8/layout/orgChart1#1"/>
    <dgm:cxn modelId="{975FD977-7C87-4527-8DEB-B387F0CCABE2}" type="presParOf" srcId="{61EC95B8-81CE-46D1-B8B8-950D5415DAF9}" destId="{228A808C-EC6F-4766-8DEF-8B20A31B66C9}" srcOrd="1" destOrd="0" presId="urn:microsoft.com/office/officeart/2005/8/layout/orgChart1#1"/>
    <dgm:cxn modelId="{D30EEDCA-8AC7-4DC2-89A4-66DB2542707B}" type="presParOf" srcId="{228A808C-EC6F-4766-8DEF-8B20A31B66C9}" destId="{E82CFC5F-28FC-4559-A919-B9B1A868C01C}" srcOrd="0" destOrd="0" presId="urn:microsoft.com/office/officeart/2005/8/layout/orgChart1#1"/>
    <dgm:cxn modelId="{250CF10E-41F0-46B5-B2B6-D434E6CF1751}" type="presParOf" srcId="{E82CFC5F-28FC-4559-A919-B9B1A868C01C}" destId="{CDFD9815-943C-4CF1-A9EA-6410E5E2B875}" srcOrd="0" destOrd="0" presId="urn:microsoft.com/office/officeart/2005/8/layout/orgChart1#1"/>
    <dgm:cxn modelId="{1C8680FA-E7EF-4EEF-92A4-73B68AE9EDCE}" type="presParOf" srcId="{E82CFC5F-28FC-4559-A919-B9B1A868C01C}" destId="{E7A6CE37-7E7A-41DF-8518-A58BC968CC5D}" srcOrd="1" destOrd="0" presId="urn:microsoft.com/office/officeart/2005/8/layout/orgChart1#1"/>
    <dgm:cxn modelId="{D37D102F-A1EC-4998-936A-477FD8D3B7E4}" type="presParOf" srcId="{228A808C-EC6F-4766-8DEF-8B20A31B66C9}" destId="{055577AC-9C3D-4B89-941F-5DDDD812A260}" srcOrd="1" destOrd="0" presId="urn:microsoft.com/office/officeart/2005/8/layout/orgChart1#1"/>
    <dgm:cxn modelId="{B5017E98-EA87-41D4-8FE6-BF7E13F2FF77}" type="presParOf" srcId="{228A808C-EC6F-4766-8DEF-8B20A31B66C9}" destId="{ECA8CE59-C0D9-4B60-8898-DF71E88065C2}" srcOrd="2" destOrd="0" presId="urn:microsoft.com/office/officeart/2005/8/layout/orgChart1#1"/>
    <dgm:cxn modelId="{77DCCCB1-E43D-4814-9F25-66B7E5D80759}" type="presParOf" srcId="{61EC95B8-81CE-46D1-B8B8-950D5415DAF9}" destId="{CB07ED92-36B4-45D5-B590-CE99B9B45454}" srcOrd="2" destOrd="0" presId="urn:microsoft.com/office/officeart/2005/8/layout/orgChart1#1"/>
    <dgm:cxn modelId="{D40254D4-15BA-4553-91F0-60418F97315A}" type="presParOf" srcId="{61EC95B8-81CE-46D1-B8B8-950D5415DAF9}" destId="{5F146EEA-7D24-410E-8ABB-5131B561414E}" srcOrd="3" destOrd="0" presId="urn:microsoft.com/office/officeart/2005/8/layout/orgChart1#1"/>
    <dgm:cxn modelId="{54B4862C-9243-40FA-920A-C785E7668B0B}" type="presParOf" srcId="{5F146EEA-7D24-410E-8ABB-5131B561414E}" destId="{01C83747-5B1B-4D8F-87F3-200BC15EF042}" srcOrd="0" destOrd="0" presId="urn:microsoft.com/office/officeart/2005/8/layout/orgChart1#1"/>
    <dgm:cxn modelId="{3A64D0EB-99BC-41F0-9256-86D226BD36D8}" type="presParOf" srcId="{01C83747-5B1B-4D8F-87F3-200BC15EF042}" destId="{CCF24716-4885-4377-9215-5041E592A512}" srcOrd="0" destOrd="0" presId="urn:microsoft.com/office/officeart/2005/8/layout/orgChart1#1"/>
    <dgm:cxn modelId="{F1BC4111-59EA-4ADE-BDAD-FD9946A347F7}" type="presParOf" srcId="{01C83747-5B1B-4D8F-87F3-200BC15EF042}" destId="{3F1204F8-7DAD-417B-BCE0-2FDA0FAE4019}" srcOrd="1" destOrd="0" presId="urn:microsoft.com/office/officeart/2005/8/layout/orgChart1#1"/>
    <dgm:cxn modelId="{98F06E35-A1A0-424A-824E-B56619C29201}" type="presParOf" srcId="{5F146EEA-7D24-410E-8ABB-5131B561414E}" destId="{5F10A07C-37E2-45CA-91FA-11EF4D112ED2}" srcOrd="1" destOrd="0" presId="urn:microsoft.com/office/officeart/2005/8/layout/orgChart1#1"/>
    <dgm:cxn modelId="{791AFE93-4E1A-4D4D-AAB7-8C4A03AD66EF}" type="presParOf" srcId="{5F146EEA-7D24-410E-8ABB-5131B561414E}" destId="{398305B1-D21E-4698-A109-2904A2F8F1F6}" srcOrd="2" destOrd="0" presId="urn:microsoft.com/office/officeart/2005/8/layout/orgChart1#1"/>
    <dgm:cxn modelId="{1E70307C-B5FB-4B88-877C-857B70C12EDA}" type="presParOf" srcId="{3E8E8647-5A6F-4336-989C-68684307BC3D}" destId="{4C33A42A-A8E4-46A2-9D33-0BEBBA0617CD}" srcOrd="2" destOrd="0" presId="urn:microsoft.com/office/officeart/2005/8/layout/orgChart1#1"/>
    <dgm:cxn modelId="{480F56B6-25CC-4A7C-BFD0-622AB7C358A7}" type="presParOf" srcId="{8DF0F103-E4C7-4D60-A1DB-A1AEA58CC4AB}" destId="{E273B93C-40CF-413B-A0D3-7F642CE6C8F1}" srcOrd="2" destOrd="0" presId="urn:microsoft.com/office/officeart/2005/8/layout/orgChart1#1"/>
    <dgm:cxn modelId="{DF9E6A94-1B20-4671-9F12-112771B2F841}" type="presParOf" srcId="{8DF0F103-E4C7-4D60-A1DB-A1AEA58CC4AB}" destId="{C54E92F4-F937-45A9-8050-3C0470BEC3A3}" srcOrd="3" destOrd="0" presId="urn:microsoft.com/office/officeart/2005/8/layout/orgChart1#1"/>
    <dgm:cxn modelId="{C17DB7A0-01AE-4C34-911C-196ED8CE279C}" type="presParOf" srcId="{C54E92F4-F937-45A9-8050-3C0470BEC3A3}" destId="{B0AA9703-2C5C-454B-AA4F-5D3DD293423C}" srcOrd="0" destOrd="0" presId="urn:microsoft.com/office/officeart/2005/8/layout/orgChart1#1"/>
    <dgm:cxn modelId="{8262AE41-713E-49B5-A029-2401E9BE9028}" type="presParOf" srcId="{B0AA9703-2C5C-454B-AA4F-5D3DD293423C}" destId="{42B132F7-4D2C-41FA-8099-FB31D3A3E5DC}" srcOrd="0" destOrd="0" presId="urn:microsoft.com/office/officeart/2005/8/layout/orgChart1#1"/>
    <dgm:cxn modelId="{40129490-5B61-4DB9-8FD2-35300AB84170}" type="presParOf" srcId="{B0AA9703-2C5C-454B-AA4F-5D3DD293423C}" destId="{DE5CBE33-0C6F-4EC8-90B1-D953AA52AC4D}" srcOrd="1" destOrd="0" presId="urn:microsoft.com/office/officeart/2005/8/layout/orgChart1#1"/>
    <dgm:cxn modelId="{7B8874AB-CC0B-41EF-80B1-CAE64D73E667}" type="presParOf" srcId="{C54E92F4-F937-45A9-8050-3C0470BEC3A3}" destId="{8A809558-9E6D-4FBE-AD72-6D7BCBC0330F}" srcOrd="1" destOrd="0" presId="urn:microsoft.com/office/officeart/2005/8/layout/orgChart1#1"/>
    <dgm:cxn modelId="{AAED5A34-6480-43F8-BDFB-153CCBBF8D01}" type="presParOf" srcId="{8A809558-9E6D-4FBE-AD72-6D7BCBC0330F}" destId="{7D0E6903-5E77-4AAA-BF3A-A1BDB43F5AB2}" srcOrd="0" destOrd="0" presId="urn:microsoft.com/office/officeart/2005/8/layout/orgChart1#1"/>
    <dgm:cxn modelId="{561A2A4C-918F-4254-AA36-A45B86659FFE}" type="presParOf" srcId="{8A809558-9E6D-4FBE-AD72-6D7BCBC0330F}" destId="{23779C0E-D2D7-4B47-B63E-04C2A5533AB3}" srcOrd="1" destOrd="0" presId="urn:microsoft.com/office/officeart/2005/8/layout/orgChart1#1"/>
    <dgm:cxn modelId="{3208A36C-AE51-4DED-8728-92B50193AA5E}" type="presParOf" srcId="{23779C0E-D2D7-4B47-B63E-04C2A5533AB3}" destId="{86FE5E33-F9C8-43BA-9090-3124E28BD1A9}" srcOrd="0" destOrd="0" presId="urn:microsoft.com/office/officeart/2005/8/layout/orgChart1#1"/>
    <dgm:cxn modelId="{B781A5BE-5618-4296-8FA5-2EE58120416A}" type="presParOf" srcId="{86FE5E33-F9C8-43BA-9090-3124E28BD1A9}" destId="{05385268-1BD6-4D9E-A023-A2FAAE2CC356}" srcOrd="0" destOrd="0" presId="urn:microsoft.com/office/officeart/2005/8/layout/orgChart1#1"/>
    <dgm:cxn modelId="{5F693DE6-1427-49DA-8D9A-434D66E7E895}" type="presParOf" srcId="{86FE5E33-F9C8-43BA-9090-3124E28BD1A9}" destId="{282D844B-A684-41AE-9860-0775060F9049}" srcOrd="1" destOrd="0" presId="urn:microsoft.com/office/officeart/2005/8/layout/orgChart1#1"/>
    <dgm:cxn modelId="{AD7E7E41-572E-40AB-B3EC-AA9BB0A387E0}" type="presParOf" srcId="{23779C0E-D2D7-4B47-B63E-04C2A5533AB3}" destId="{A6F3AB52-2958-4AA6-A425-305CBCCE9BB1}" srcOrd="1" destOrd="0" presId="urn:microsoft.com/office/officeart/2005/8/layout/orgChart1#1"/>
    <dgm:cxn modelId="{9696BF40-EE36-4FAF-97DE-19978CD22783}" type="presParOf" srcId="{23779C0E-D2D7-4B47-B63E-04C2A5533AB3}" destId="{E8D214A7-B013-488E-9967-CF6EB89DA3F4}" srcOrd="2" destOrd="0" presId="urn:microsoft.com/office/officeart/2005/8/layout/orgChart1#1"/>
    <dgm:cxn modelId="{F33ECB6D-2E51-44E9-8593-013F30ED3D07}" type="presParOf" srcId="{8A809558-9E6D-4FBE-AD72-6D7BCBC0330F}" destId="{DD9FC7C8-8D0F-4313-A6BC-B76639AED71B}" srcOrd="2" destOrd="0" presId="urn:microsoft.com/office/officeart/2005/8/layout/orgChart1#1"/>
    <dgm:cxn modelId="{51F6DCEA-1A1C-4E7D-BDF9-E5F22D799062}" type="presParOf" srcId="{8A809558-9E6D-4FBE-AD72-6D7BCBC0330F}" destId="{1C72AE27-DCFA-40AD-88EE-4B6010CE2537}" srcOrd="3" destOrd="0" presId="urn:microsoft.com/office/officeart/2005/8/layout/orgChart1#1"/>
    <dgm:cxn modelId="{7BD9A91D-5C87-4E3C-BEE2-CD4699504EA0}" type="presParOf" srcId="{1C72AE27-DCFA-40AD-88EE-4B6010CE2537}" destId="{4602B22D-94FB-49FE-AB91-AE3EC7770E67}" srcOrd="0" destOrd="0" presId="urn:microsoft.com/office/officeart/2005/8/layout/orgChart1#1"/>
    <dgm:cxn modelId="{AA3F0EC3-81E4-4184-9FA5-F44FF0AC043B}" type="presParOf" srcId="{4602B22D-94FB-49FE-AB91-AE3EC7770E67}" destId="{5047A8A6-6E1D-4983-A550-D67862490A8D}" srcOrd="0" destOrd="0" presId="urn:microsoft.com/office/officeart/2005/8/layout/orgChart1#1"/>
    <dgm:cxn modelId="{F533C38D-FD05-4B5D-A2E4-A9924C200ABF}" type="presParOf" srcId="{4602B22D-94FB-49FE-AB91-AE3EC7770E67}" destId="{53DE9CA0-CD8D-4B5F-AC9E-DA1D8C4737C0}" srcOrd="1" destOrd="0" presId="urn:microsoft.com/office/officeart/2005/8/layout/orgChart1#1"/>
    <dgm:cxn modelId="{02483371-7518-458D-96C3-7AA38B071F06}" type="presParOf" srcId="{1C72AE27-DCFA-40AD-88EE-4B6010CE2537}" destId="{4A984555-C804-4495-A206-C987FD188A41}" srcOrd="1" destOrd="0" presId="urn:microsoft.com/office/officeart/2005/8/layout/orgChart1#1"/>
    <dgm:cxn modelId="{EDE8C86B-CA13-4986-A379-270CBD6FD69B}" type="presParOf" srcId="{1C72AE27-DCFA-40AD-88EE-4B6010CE2537}" destId="{B405DED6-5585-4280-85C1-CFA38A48BB23}" srcOrd="2" destOrd="0" presId="urn:microsoft.com/office/officeart/2005/8/layout/orgChart1#1"/>
    <dgm:cxn modelId="{022D98B5-267E-486C-AAB9-A48D425886F6}" type="presParOf" srcId="{8A809558-9E6D-4FBE-AD72-6D7BCBC0330F}" destId="{57FFD02A-8CF8-4457-8B06-74D988B8204B}" srcOrd="4" destOrd="0" presId="urn:microsoft.com/office/officeart/2005/8/layout/orgChart1#1"/>
    <dgm:cxn modelId="{67441620-6B24-4030-80C6-F01E1E29DAE6}" type="presParOf" srcId="{8A809558-9E6D-4FBE-AD72-6D7BCBC0330F}" destId="{9B84D5C4-D650-44E3-A6DB-5428E3F38D41}" srcOrd="5" destOrd="0" presId="urn:microsoft.com/office/officeart/2005/8/layout/orgChart1#1"/>
    <dgm:cxn modelId="{CC8D45F3-0BA8-49E1-B91B-A700FB8C2B95}" type="presParOf" srcId="{9B84D5C4-D650-44E3-A6DB-5428E3F38D41}" destId="{4D126671-EF82-4282-A080-781EB3BC8E42}" srcOrd="0" destOrd="0" presId="urn:microsoft.com/office/officeart/2005/8/layout/orgChart1#1"/>
    <dgm:cxn modelId="{C338A241-4E72-4494-AD7A-50BA85562A48}" type="presParOf" srcId="{4D126671-EF82-4282-A080-781EB3BC8E42}" destId="{BDAAB3E5-083B-4EDC-BB72-0CF618944349}" srcOrd="0" destOrd="0" presId="urn:microsoft.com/office/officeart/2005/8/layout/orgChart1#1"/>
    <dgm:cxn modelId="{35F6B5A7-1A95-4434-A9C8-ABFBD0376E7E}" type="presParOf" srcId="{4D126671-EF82-4282-A080-781EB3BC8E42}" destId="{ABBA47C4-9EAE-4EF6-B06C-1CF7521B593D}" srcOrd="1" destOrd="0" presId="urn:microsoft.com/office/officeart/2005/8/layout/orgChart1#1"/>
    <dgm:cxn modelId="{979A51EA-C970-4975-A792-C3F7AA6577E4}" type="presParOf" srcId="{9B84D5C4-D650-44E3-A6DB-5428E3F38D41}" destId="{357FC1F5-C1B2-4E85-94BD-43DA0897A711}" srcOrd="1" destOrd="0" presId="urn:microsoft.com/office/officeart/2005/8/layout/orgChart1#1"/>
    <dgm:cxn modelId="{65AC97A2-4EAF-44FE-A524-5BC724A1E0AE}" type="presParOf" srcId="{9B84D5C4-D650-44E3-A6DB-5428E3F38D41}" destId="{4B78EF76-27E3-4AE5-BB02-3B8B0F27F56D}" srcOrd="2" destOrd="0" presId="urn:microsoft.com/office/officeart/2005/8/layout/orgChart1#1"/>
    <dgm:cxn modelId="{EAD02DFC-2BDF-4487-B520-D0E7A01F1658}" type="presParOf" srcId="{C54E92F4-F937-45A9-8050-3C0470BEC3A3}" destId="{A0C2D0AD-F421-432D-86E6-E37AB0D792FD}" srcOrd="2" destOrd="0" presId="urn:microsoft.com/office/officeart/2005/8/layout/orgChart1#1"/>
    <dgm:cxn modelId="{07AEDEC2-7154-434B-B13B-D9A8CD3E85ED}" type="presParOf" srcId="{AE97C82D-D698-4C60-BE2F-705F67693DB1}" destId="{584BFB1A-CBB4-4CEF-95BB-628BABB3703F}" srcOrd="2" destOrd="0" presId="urn:microsoft.com/office/officeart/2005/8/layout/orgChart1#1"/>
    <dgm:cxn modelId="{161A725F-2A41-4DD6-AEDB-CE740FD93080}" type="presParOf" srcId="{5BB26DEF-D803-4BB5-BFE1-A87A5D793741}" destId="{18EF5558-9277-4D83-8106-3787E82F27B9}" srcOrd="2" destOrd="0" presId="urn:microsoft.com/office/officeart/2005/8/layout/orgChart1#1"/>
    <dgm:cxn modelId="{27BBEA7C-4C14-4100-B19B-3A9FCA1BF316}" type="presParOf" srcId="{5BB26DEF-D803-4BB5-BFE1-A87A5D793741}" destId="{68C4D5C6-B5EF-4DD2-BA31-9DA46F306001}" srcOrd="3" destOrd="0" presId="urn:microsoft.com/office/officeart/2005/8/layout/orgChart1#1"/>
    <dgm:cxn modelId="{F043E73E-106A-46FF-9C4E-D3DEAF64D1A8}" type="presParOf" srcId="{68C4D5C6-B5EF-4DD2-BA31-9DA46F306001}" destId="{946EF097-DA8C-42FC-BB30-856C9A4AD5C2}" srcOrd="0" destOrd="0" presId="urn:microsoft.com/office/officeart/2005/8/layout/orgChart1#1"/>
    <dgm:cxn modelId="{6746486A-27EF-4F07-8ADB-5DA70A7B4741}" type="presParOf" srcId="{946EF097-DA8C-42FC-BB30-856C9A4AD5C2}" destId="{17C7F73B-9A9F-41E9-84DF-C030403157CC}" srcOrd="0" destOrd="0" presId="urn:microsoft.com/office/officeart/2005/8/layout/orgChart1#1"/>
    <dgm:cxn modelId="{6F2113E9-18DF-4326-A623-5E461ABCD73E}" type="presParOf" srcId="{946EF097-DA8C-42FC-BB30-856C9A4AD5C2}" destId="{BA1B5DE0-2AEE-4E13-8C35-52781E5D8205}" srcOrd="1" destOrd="0" presId="urn:microsoft.com/office/officeart/2005/8/layout/orgChart1#1"/>
    <dgm:cxn modelId="{315ACE98-9FBC-4AED-9ED8-E687D0C47FD3}" type="presParOf" srcId="{68C4D5C6-B5EF-4DD2-BA31-9DA46F306001}" destId="{283CD4D4-C683-47FB-B248-D932992D133F}" srcOrd="1" destOrd="0" presId="urn:microsoft.com/office/officeart/2005/8/layout/orgChart1#1"/>
    <dgm:cxn modelId="{C9631B64-08BF-416F-9AB4-18FFCAB9ACE3}" type="presParOf" srcId="{283CD4D4-C683-47FB-B248-D932992D133F}" destId="{BDDE39F5-1AF2-4B8E-AF1E-7BB0201E4979}" srcOrd="0" destOrd="0" presId="urn:microsoft.com/office/officeart/2005/8/layout/orgChart1#1"/>
    <dgm:cxn modelId="{985D25BD-AC0C-4851-94B5-5825D470A1BF}" type="presParOf" srcId="{283CD4D4-C683-47FB-B248-D932992D133F}" destId="{7E4DF3C3-CD06-4415-9032-DC67105BBC73}" srcOrd="1" destOrd="0" presId="urn:microsoft.com/office/officeart/2005/8/layout/orgChart1#1"/>
    <dgm:cxn modelId="{5353D510-6A92-4454-924F-754EC333F3A4}" type="presParOf" srcId="{7E4DF3C3-CD06-4415-9032-DC67105BBC73}" destId="{74FD9997-AAF3-4A0A-9DBA-95C9884B8980}" srcOrd="0" destOrd="0" presId="urn:microsoft.com/office/officeart/2005/8/layout/orgChart1#1"/>
    <dgm:cxn modelId="{E09B60B4-8406-499E-BB04-DE3F44BB9FB4}" type="presParOf" srcId="{74FD9997-AAF3-4A0A-9DBA-95C9884B8980}" destId="{1C8C7C2C-EFDF-4BCB-A1D5-A590DD9599C1}" srcOrd="0" destOrd="0" presId="urn:microsoft.com/office/officeart/2005/8/layout/orgChart1#1"/>
    <dgm:cxn modelId="{36F46F4C-E142-4FF4-B304-0B8614ADF32E}" type="presParOf" srcId="{74FD9997-AAF3-4A0A-9DBA-95C9884B8980}" destId="{52E34E08-E792-4DC9-9D86-87F7DF3EF285}" srcOrd="1" destOrd="0" presId="urn:microsoft.com/office/officeart/2005/8/layout/orgChart1#1"/>
    <dgm:cxn modelId="{E8A8D00B-5D57-4801-8A6F-4D3D835C42C2}" type="presParOf" srcId="{7E4DF3C3-CD06-4415-9032-DC67105BBC73}" destId="{CCEE158E-E5D5-46D2-8854-D8AEE1A1BFDA}" srcOrd="1" destOrd="0" presId="urn:microsoft.com/office/officeart/2005/8/layout/orgChart1#1"/>
    <dgm:cxn modelId="{33046BC2-3092-42C3-B09C-AFA980E51B24}" type="presParOf" srcId="{7E4DF3C3-CD06-4415-9032-DC67105BBC73}" destId="{2269DF73-E4BB-4FFD-AD57-FDDD15014EFA}" srcOrd="2" destOrd="0" presId="urn:microsoft.com/office/officeart/2005/8/layout/orgChart1#1"/>
    <dgm:cxn modelId="{5E63EF99-930E-4FD5-958E-BC0357DA39F7}" type="presParOf" srcId="{283CD4D4-C683-47FB-B248-D932992D133F}" destId="{6D2BDEBB-7EB1-4ACE-BC8A-D00BC15B8F6C}" srcOrd="2" destOrd="0" presId="urn:microsoft.com/office/officeart/2005/8/layout/orgChart1#1"/>
    <dgm:cxn modelId="{6E450496-0726-4B26-9D68-F2B47026EA80}" type="presParOf" srcId="{283CD4D4-C683-47FB-B248-D932992D133F}" destId="{BD30B428-65ED-40FD-BC4D-69A2DBC0763C}" srcOrd="3" destOrd="0" presId="urn:microsoft.com/office/officeart/2005/8/layout/orgChart1#1"/>
    <dgm:cxn modelId="{5A14BD2E-1294-456C-BBC9-922D8F335F37}" type="presParOf" srcId="{BD30B428-65ED-40FD-BC4D-69A2DBC0763C}" destId="{63A7418D-4708-4CE9-A8D9-F0E231994244}" srcOrd="0" destOrd="0" presId="urn:microsoft.com/office/officeart/2005/8/layout/orgChart1#1"/>
    <dgm:cxn modelId="{E4C52FF8-23CF-4878-8782-3286B2E53684}" type="presParOf" srcId="{63A7418D-4708-4CE9-A8D9-F0E231994244}" destId="{37A4FA7D-1395-410E-A4C6-9B73AD0DA683}" srcOrd="0" destOrd="0" presId="urn:microsoft.com/office/officeart/2005/8/layout/orgChart1#1"/>
    <dgm:cxn modelId="{7879DD85-1C03-41FB-9716-DDD8DEBD2CF3}" type="presParOf" srcId="{63A7418D-4708-4CE9-A8D9-F0E231994244}" destId="{853B7BC0-EDC7-4D37-B067-1B4E14A7B11F}" srcOrd="1" destOrd="0" presId="urn:microsoft.com/office/officeart/2005/8/layout/orgChart1#1"/>
    <dgm:cxn modelId="{D15B9073-44DB-43AA-947C-FA3121848997}" type="presParOf" srcId="{BD30B428-65ED-40FD-BC4D-69A2DBC0763C}" destId="{722546BB-F2BC-4E63-AAC9-0DF9063579A3}" srcOrd="1" destOrd="0" presId="urn:microsoft.com/office/officeart/2005/8/layout/orgChart1#1"/>
    <dgm:cxn modelId="{F4F6D5FA-D60A-4DB7-B47F-52D4782CB1CE}" type="presParOf" srcId="{BD30B428-65ED-40FD-BC4D-69A2DBC0763C}" destId="{D18130C3-0F0F-4088-9301-EE91F5BA1642}" srcOrd="2" destOrd="0" presId="urn:microsoft.com/office/officeart/2005/8/layout/orgChart1#1"/>
    <dgm:cxn modelId="{8088867C-BBD8-4967-B850-DF67B931DDF4}" type="presParOf" srcId="{283CD4D4-C683-47FB-B248-D932992D133F}" destId="{6E629CF8-DF7C-4418-8C65-0FCCC44F9451}" srcOrd="4" destOrd="0" presId="urn:microsoft.com/office/officeart/2005/8/layout/orgChart1#1"/>
    <dgm:cxn modelId="{FAA92288-3EEC-45E7-B71C-02B85CA12A2D}" type="presParOf" srcId="{283CD4D4-C683-47FB-B248-D932992D133F}" destId="{F629B365-0070-4A29-BA5F-A82903C266FD}" srcOrd="5" destOrd="0" presId="urn:microsoft.com/office/officeart/2005/8/layout/orgChart1#1"/>
    <dgm:cxn modelId="{B6108C0A-B8C9-44A3-B255-E531A2C3C78E}" type="presParOf" srcId="{F629B365-0070-4A29-BA5F-A82903C266FD}" destId="{93735AB7-6C75-4E51-904B-BA933F03563B}" srcOrd="0" destOrd="0" presId="urn:microsoft.com/office/officeart/2005/8/layout/orgChart1#1"/>
    <dgm:cxn modelId="{C4889125-2196-4914-809A-454645358634}" type="presParOf" srcId="{93735AB7-6C75-4E51-904B-BA933F03563B}" destId="{96FFE150-BE7E-46AD-9BF1-91D409D4480C}" srcOrd="0" destOrd="0" presId="urn:microsoft.com/office/officeart/2005/8/layout/orgChart1#1"/>
    <dgm:cxn modelId="{0941490B-F7A6-4F83-B524-1DC0DAEDA77D}" type="presParOf" srcId="{93735AB7-6C75-4E51-904B-BA933F03563B}" destId="{0614711F-2E0C-4DDC-A6F2-2548AECA7DFC}" srcOrd="1" destOrd="0" presId="urn:microsoft.com/office/officeart/2005/8/layout/orgChart1#1"/>
    <dgm:cxn modelId="{3AA05449-ABCE-4CF9-A676-4FD908CB98F3}" type="presParOf" srcId="{F629B365-0070-4A29-BA5F-A82903C266FD}" destId="{C8E4277D-BA7F-48E6-A7A3-12208868F00A}" srcOrd="1" destOrd="0" presId="urn:microsoft.com/office/officeart/2005/8/layout/orgChart1#1"/>
    <dgm:cxn modelId="{21A591AD-14F7-4CC1-BBF0-9361BFEB0E93}" type="presParOf" srcId="{F629B365-0070-4A29-BA5F-A82903C266FD}" destId="{8A9420AD-F363-40B7-8B9D-2AD3E26C62C1}" srcOrd="2" destOrd="0" presId="urn:microsoft.com/office/officeart/2005/8/layout/orgChart1#1"/>
    <dgm:cxn modelId="{16B5EE30-B5FA-425C-821C-428815889CAC}" type="presParOf" srcId="{68C4D5C6-B5EF-4DD2-BA31-9DA46F306001}" destId="{CA3D0281-0604-4B27-8FC5-12B2D30174D7}" srcOrd="2" destOrd="0" presId="urn:microsoft.com/office/officeart/2005/8/layout/orgChart1#1"/>
    <dgm:cxn modelId="{F69CBC72-D193-4FF0-9AFF-3E94CC384369}" type="presParOf" srcId="{5BB26DEF-D803-4BB5-BFE1-A87A5D793741}" destId="{2E38FCA9-572D-486C-A9BA-AF850B52683F}" srcOrd="4" destOrd="0" presId="urn:microsoft.com/office/officeart/2005/8/layout/orgChart1#1"/>
    <dgm:cxn modelId="{DEC80819-E827-46B9-8D04-6575DA14A3A6}" type="presParOf" srcId="{5BB26DEF-D803-4BB5-BFE1-A87A5D793741}" destId="{889093C5-3DE4-4148-B1B2-8C9587BC330A}" srcOrd="5" destOrd="0" presId="urn:microsoft.com/office/officeart/2005/8/layout/orgChart1#1"/>
    <dgm:cxn modelId="{0FE5DBA2-840E-4EAE-865B-01DEE6C5008D}" type="presParOf" srcId="{889093C5-3DE4-4148-B1B2-8C9587BC330A}" destId="{8EC24C02-9C6D-49CC-AE54-6C946B77121F}" srcOrd="0" destOrd="0" presId="urn:microsoft.com/office/officeart/2005/8/layout/orgChart1#1"/>
    <dgm:cxn modelId="{4EB3C266-1CE5-4108-B966-7F038088DB6E}" type="presParOf" srcId="{8EC24C02-9C6D-49CC-AE54-6C946B77121F}" destId="{6D75E421-DDDA-4A52-8787-A203DAE00810}" srcOrd="0" destOrd="0" presId="urn:microsoft.com/office/officeart/2005/8/layout/orgChart1#1"/>
    <dgm:cxn modelId="{618EF53E-3A2B-4537-A390-ED446092C263}" type="presParOf" srcId="{8EC24C02-9C6D-49CC-AE54-6C946B77121F}" destId="{836F728A-CE69-48AD-9B6D-332DA2907DE6}" srcOrd="1" destOrd="0" presId="urn:microsoft.com/office/officeart/2005/8/layout/orgChart1#1"/>
    <dgm:cxn modelId="{58F54187-AF27-4073-8AB3-53215342617A}" type="presParOf" srcId="{889093C5-3DE4-4148-B1B2-8C9587BC330A}" destId="{79D8E47F-7775-4F24-88FA-B31BBAD01301}" srcOrd="1" destOrd="0" presId="urn:microsoft.com/office/officeart/2005/8/layout/orgChart1#1"/>
    <dgm:cxn modelId="{20E184EC-F4B0-4E41-BE0A-95EF6504335D}" type="presParOf" srcId="{79D8E47F-7775-4F24-88FA-B31BBAD01301}" destId="{492A7151-BF1C-48FA-ABC9-F01C759681EB}" srcOrd="0" destOrd="0" presId="urn:microsoft.com/office/officeart/2005/8/layout/orgChart1#1"/>
    <dgm:cxn modelId="{22822B9B-18CD-4CC2-AF87-425D12DDF6FE}" type="presParOf" srcId="{79D8E47F-7775-4F24-88FA-B31BBAD01301}" destId="{5FCA980E-21C8-437B-A781-4CC8E4B6FA08}" srcOrd="1" destOrd="0" presId="urn:microsoft.com/office/officeart/2005/8/layout/orgChart1#1"/>
    <dgm:cxn modelId="{FD884226-BE79-45B4-BDC3-F640965E172B}" type="presParOf" srcId="{5FCA980E-21C8-437B-A781-4CC8E4B6FA08}" destId="{0AF5C4C8-1E32-4508-BC75-B21A68E48F0F}" srcOrd="0" destOrd="0" presId="urn:microsoft.com/office/officeart/2005/8/layout/orgChart1#1"/>
    <dgm:cxn modelId="{3102759E-8AC8-4A07-B95C-446624855E61}" type="presParOf" srcId="{0AF5C4C8-1E32-4508-BC75-B21A68E48F0F}" destId="{766C6B3B-AEC6-4A04-BFFB-22BEAFBE3F7D}" srcOrd="0" destOrd="0" presId="urn:microsoft.com/office/officeart/2005/8/layout/orgChart1#1"/>
    <dgm:cxn modelId="{DDB9D7C7-E4C8-4CAA-B8DC-8B81E50ADB66}" type="presParOf" srcId="{0AF5C4C8-1E32-4508-BC75-B21A68E48F0F}" destId="{9858F8E2-E2B3-4C21-8DDE-8D22BBED5310}" srcOrd="1" destOrd="0" presId="urn:microsoft.com/office/officeart/2005/8/layout/orgChart1#1"/>
    <dgm:cxn modelId="{546F1DC1-6185-419F-ADAD-C32763873810}" type="presParOf" srcId="{5FCA980E-21C8-437B-A781-4CC8E4B6FA08}" destId="{E86DCDD6-460F-4F05-BE9A-6F8181F79D67}" srcOrd="1" destOrd="0" presId="urn:microsoft.com/office/officeart/2005/8/layout/orgChart1#1"/>
    <dgm:cxn modelId="{7B71C217-8A34-4832-8D03-ABF802A9BE31}" type="presParOf" srcId="{5FCA980E-21C8-437B-A781-4CC8E4B6FA08}" destId="{24E775E6-8FC9-4DB5-82B6-5C0D6B9709C4}" srcOrd="2" destOrd="0" presId="urn:microsoft.com/office/officeart/2005/8/layout/orgChart1#1"/>
    <dgm:cxn modelId="{76F6FD94-934D-4819-9C55-F54185ED2F65}" type="presParOf" srcId="{79D8E47F-7775-4F24-88FA-B31BBAD01301}" destId="{73AABFEA-4BB3-446F-B7B5-2CD3AA08702C}" srcOrd="2" destOrd="0" presId="urn:microsoft.com/office/officeart/2005/8/layout/orgChart1#1"/>
    <dgm:cxn modelId="{FA21E493-09D0-4F01-9F7B-B276DDAE687F}" type="presParOf" srcId="{79D8E47F-7775-4F24-88FA-B31BBAD01301}" destId="{6D7A8C68-B0A8-4060-9D82-76E669615BF6}" srcOrd="3" destOrd="0" presId="urn:microsoft.com/office/officeart/2005/8/layout/orgChart1#1"/>
    <dgm:cxn modelId="{A7DD8D75-0D7C-47B7-A25E-AF1FA8B0BC30}" type="presParOf" srcId="{6D7A8C68-B0A8-4060-9D82-76E669615BF6}" destId="{DFD37C90-5419-4A3D-9774-4CA427250597}" srcOrd="0" destOrd="0" presId="urn:microsoft.com/office/officeart/2005/8/layout/orgChart1#1"/>
    <dgm:cxn modelId="{4DFE920F-BCF9-4965-A1F1-729EB5A264D1}" type="presParOf" srcId="{DFD37C90-5419-4A3D-9774-4CA427250597}" destId="{6154B3E8-EF4E-4DD5-B991-B5D101C027C4}" srcOrd="0" destOrd="0" presId="urn:microsoft.com/office/officeart/2005/8/layout/orgChart1#1"/>
    <dgm:cxn modelId="{D7658303-D063-4629-9D6F-CB4767ABFC6E}" type="presParOf" srcId="{DFD37C90-5419-4A3D-9774-4CA427250597}" destId="{474EDE66-AA76-4CB2-8C38-74ECD6973E2E}" srcOrd="1" destOrd="0" presId="urn:microsoft.com/office/officeart/2005/8/layout/orgChart1#1"/>
    <dgm:cxn modelId="{95E24D8A-E4CD-4F0C-8339-9EBB4D780B40}" type="presParOf" srcId="{6D7A8C68-B0A8-4060-9D82-76E669615BF6}" destId="{84409975-140C-4BB4-9FD8-2565F83EEA3A}" srcOrd="1" destOrd="0" presId="urn:microsoft.com/office/officeart/2005/8/layout/orgChart1#1"/>
    <dgm:cxn modelId="{9D94AAA1-01C3-4FC0-AF81-C0865EF5B7F6}" type="presParOf" srcId="{6D7A8C68-B0A8-4060-9D82-76E669615BF6}" destId="{8FF33C08-2119-4156-A947-66420E88E265}" srcOrd="2" destOrd="0" presId="urn:microsoft.com/office/officeart/2005/8/layout/orgChart1#1"/>
    <dgm:cxn modelId="{CA07D7C6-230C-4C16-953A-C1003C227B4A}" type="presParOf" srcId="{79D8E47F-7775-4F24-88FA-B31BBAD01301}" destId="{5BA2126F-45D0-400F-8CBB-71B7C5ABA8BD}" srcOrd="4" destOrd="0" presId="urn:microsoft.com/office/officeart/2005/8/layout/orgChart1#1"/>
    <dgm:cxn modelId="{0A739160-3BED-4CE2-A01B-92610FE03A6B}" type="presParOf" srcId="{79D8E47F-7775-4F24-88FA-B31BBAD01301}" destId="{6A297360-67F1-4F8B-8D68-10926061D5AD}" srcOrd="5" destOrd="0" presId="urn:microsoft.com/office/officeart/2005/8/layout/orgChart1#1"/>
    <dgm:cxn modelId="{F20E9502-E649-4A92-82D6-24CE34102595}" type="presParOf" srcId="{6A297360-67F1-4F8B-8D68-10926061D5AD}" destId="{CED0350C-07AB-422C-970D-C0BF7506B80C}" srcOrd="0" destOrd="0" presId="urn:microsoft.com/office/officeart/2005/8/layout/orgChart1#1"/>
    <dgm:cxn modelId="{9971B9D8-C501-46EE-8E05-5EA220B84468}" type="presParOf" srcId="{CED0350C-07AB-422C-970D-C0BF7506B80C}" destId="{05F04F34-155F-4B2E-80A7-888FD5F5979B}" srcOrd="0" destOrd="0" presId="urn:microsoft.com/office/officeart/2005/8/layout/orgChart1#1"/>
    <dgm:cxn modelId="{2F3E6F5E-4FE5-41E1-AFCF-F1982C9BAF0B}" type="presParOf" srcId="{CED0350C-07AB-422C-970D-C0BF7506B80C}" destId="{DFE96300-2111-4A02-95ED-F5DFA438CCAE}" srcOrd="1" destOrd="0" presId="urn:microsoft.com/office/officeart/2005/8/layout/orgChart1#1"/>
    <dgm:cxn modelId="{E45B62EC-BCDC-4D24-81AA-DB023C8FF844}" type="presParOf" srcId="{6A297360-67F1-4F8B-8D68-10926061D5AD}" destId="{F662287D-31F2-44F6-9BD4-9377EEC324D7}" srcOrd="1" destOrd="0" presId="urn:microsoft.com/office/officeart/2005/8/layout/orgChart1#1"/>
    <dgm:cxn modelId="{06743905-72A3-4444-A13C-2188CF711AE1}" type="presParOf" srcId="{6A297360-67F1-4F8B-8D68-10926061D5AD}" destId="{DDF95E4C-FC78-41A9-B58B-C911B66DBEEE}" srcOrd="2" destOrd="0" presId="urn:microsoft.com/office/officeart/2005/8/layout/orgChart1#1"/>
    <dgm:cxn modelId="{679FF543-323D-4FB8-B21B-174C48D14411}" type="presParOf" srcId="{889093C5-3DE4-4148-B1B2-8C9587BC330A}" destId="{9B0621A1-0F9B-49D8-AFF1-664B961CB65B}" srcOrd="2" destOrd="0" presId="urn:microsoft.com/office/officeart/2005/8/layout/orgChart1#1"/>
    <dgm:cxn modelId="{D4E9C9FE-CBA1-4255-8402-83FDB36ECA56}" type="presParOf" srcId="{5BB26DEF-D803-4BB5-BFE1-A87A5D793741}" destId="{6E0CC72F-7BAB-4D1B-B1E6-787C64D8EF42}" srcOrd="6" destOrd="0" presId="urn:microsoft.com/office/officeart/2005/8/layout/orgChart1#1"/>
    <dgm:cxn modelId="{28AA5555-CF80-49BB-9ECC-3290A5E962EA}" type="presParOf" srcId="{5BB26DEF-D803-4BB5-BFE1-A87A5D793741}" destId="{296936BE-6C79-4DD5-AE95-F464E5A0A51E}" srcOrd="7" destOrd="0" presId="urn:microsoft.com/office/officeart/2005/8/layout/orgChart1#1"/>
    <dgm:cxn modelId="{8B1862F5-ED12-4597-A0D0-2A78D5E83CD2}" type="presParOf" srcId="{296936BE-6C79-4DD5-AE95-F464E5A0A51E}" destId="{C24CE8D2-253E-46B1-BFE4-5516C8DDF2E3}" srcOrd="0" destOrd="0" presId="urn:microsoft.com/office/officeart/2005/8/layout/orgChart1#1"/>
    <dgm:cxn modelId="{8B38C054-1F90-4FF3-BA43-FDA728E3CC45}" type="presParOf" srcId="{C24CE8D2-253E-46B1-BFE4-5516C8DDF2E3}" destId="{EE95C747-CD99-4A1C-89F0-F8BEDF9802D2}" srcOrd="0" destOrd="0" presId="urn:microsoft.com/office/officeart/2005/8/layout/orgChart1#1"/>
    <dgm:cxn modelId="{D022D281-C9ED-4B43-88CE-0A76F3F13610}" type="presParOf" srcId="{C24CE8D2-253E-46B1-BFE4-5516C8DDF2E3}" destId="{9DB45B23-B8B7-4E2A-9645-B69D9F5FC16D}" srcOrd="1" destOrd="0" presId="urn:microsoft.com/office/officeart/2005/8/layout/orgChart1#1"/>
    <dgm:cxn modelId="{2C820BE7-6D4D-4FEF-B0F6-8825A78C2192}" type="presParOf" srcId="{296936BE-6C79-4DD5-AE95-F464E5A0A51E}" destId="{BA17B70C-5C68-4F35-909E-B0FC79AE582B}" srcOrd="1" destOrd="0" presId="urn:microsoft.com/office/officeart/2005/8/layout/orgChart1#1"/>
    <dgm:cxn modelId="{F3B8ED53-620B-4887-8A04-2046B360D139}" type="presParOf" srcId="{BA17B70C-5C68-4F35-909E-B0FC79AE582B}" destId="{7C04946A-3A5A-4622-A596-499771DEF542}" srcOrd="0" destOrd="0" presId="urn:microsoft.com/office/officeart/2005/8/layout/orgChart1#1"/>
    <dgm:cxn modelId="{54895425-0FDF-4BC8-9D9D-735A82F402F9}" type="presParOf" srcId="{BA17B70C-5C68-4F35-909E-B0FC79AE582B}" destId="{89154A7C-FF41-43E1-943A-846C11765BA9}" srcOrd="1" destOrd="0" presId="urn:microsoft.com/office/officeart/2005/8/layout/orgChart1#1"/>
    <dgm:cxn modelId="{20D84221-9FEF-4F84-8AFA-473691D68819}" type="presParOf" srcId="{89154A7C-FF41-43E1-943A-846C11765BA9}" destId="{E908F1D2-FB77-42E8-AC9F-71EA82636A56}" srcOrd="0" destOrd="0" presId="urn:microsoft.com/office/officeart/2005/8/layout/orgChart1#1"/>
    <dgm:cxn modelId="{87395D0F-F8B9-422F-ACC2-F6D31B6B8D85}" type="presParOf" srcId="{E908F1D2-FB77-42E8-AC9F-71EA82636A56}" destId="{D027857B-C948-42C5-A0C7-763523887897}" srcOrd="0" destOrd="0" presId="urn:microsoft.com/office/officeart/2005/8/layout/orgChart1#1"/>
    <dgm:cxn modelId="{1D8CC66A-0797-4D1D-BBB1-9F5AEECB3D54}" type="presParOf" srcId="{E908F1D2-FB77-42E8-AC9F-71EA82636A56}" destId="{E4198201-ED50-4382-B4BB-4C3B2ADD7153}" srcOrd="1" destOrd="0" presId="urn:microsoft.com/office/officeart/2005/8/layout/orgChart1#1"/>
    <dgm:cxn modelId="{12B4817C-0E31-4F65-B3B8-2956E58A5D37}" type="presParOf" srcId="{89154A7C-FF41-43E1-943A-846C11765BA9}" destId="{D148E835-BDF4-4987-8ED2-94EDAB054179}" srcOrd="1" destOrd="0" presId="urn:microsoft.com/office/officeart/2005/8/layout/orgChart1#1"/>
    <dgm:cxn modelId="{2292F796-BF70-4747-9083-B60584C18CB7}" type="presParOf" srcId="{89154A7C-FF41-43E1-943A-846C11765BA9}" destId="{69BDE19D-7E3E-4002-9636-8DF9BE26B828}" srcOrd="2" destOrd="0" presId="urn:microsoft.com/office/officeart/2005/8/layout/orgChart1#1"/>
    <dgm:cxn modelId="{EB1ED9C3-C200-4A84-9552-FDC90F9F408C}" type="presParOf" srcId="{BA17B70C-5C68-4F35-909E-B0FC79AE582B}" destId="{8F369FF0-08C2-4CC8-8491-D346E81849E8}" srcOrd="2" destOrd="0" presId="urn:microsoft.com/office/officeart/2005/8/layout/orgChart1#1"/>
    <dgm:cxn modelId="{86071880-03F9-428C-8C19-FF09540380B0}" type="presParOf" srcId="{BA17B70C-5C68-4F35-909E-B0FC79AE582B}" destId="{E95F214E-3B0A-44BF-855F-D46CECC326BD}" srcOrd="3" destOrd="0" presId="urn:microsoft.com/office/officeart/2005/8/layout/orgChart1#1"/>
    <dgm:cxn modelId="{252F3C37-352F-4F8C-9461-54D6833E7CA4}" type="presParOf" srcId="{E95F214E-3B0A-44BF-855F-D46CECC326BD}" destId="{D1A7FFAF-C88D-43C9-B478-A6AFF4850E39}" srcOrd="0" destOrd="0" presId="urn:microsoft.com/office/officeart/2005/8/layout/orgChart1#1"/>
    <dgm:cxn modelId="{27BF7BBF-2C2F-4F07-A525-1BE4C55F8FBF}" type="presParOf" srcId="{D1A7FFAF-C88D-43C9-B478-A6AFF4850E39}" destId="{298CDB4F-C7C5-463D-8892-59804AF8C14A}" srcOrd="0" destOrd="0" presId="urn:microsoft.com/office/officeart/2005/8/layout/orgChart1#1"/>
    <dgm:cxn modelId="{DE278914-F0B3-4099-98A4-64734D4ADA84}" type="presParOf" srcId="{D1A7FFAF-C88D-43C9-B478-A6AFF4850E39}" destId="{19DFB2B3-01C2-43FE-B595-A50DD37D720C}" srcOrd="1" destOrd="0" presId="urn:microsoft.com/office/officeart/2005/8/layout/orgChart1#1"/>
    <dgm:cxn modelId="{709FAD3D-F506-467A-8C9E-52850B654D44}" type="presParOf" srcId="{E95F214E-3B0A-44BF-855F-D46CECC326BD}" destId="{D9A57552-54E4-4C42-B2A7-9B636D8128D6}" srcOrd="1" destOrd="0" presId="urn:microsoft.com/office/officeart/2005/8/layout/orgChart1#1"/>
    <dgm:cxn modelId="{1C065983-1EA7-48ED-960E-6CC2AE138C1D}" type="presParOf" srcId="{E95F214E-3B0A-44BF-855F-D46CECC326BD}" destId="{39A74F0A-BB7F-41EC-9BE1-A0359E34D6D0}" srcOrd="2" destOrd="0" presId="urn:microsoft.com/office/officeart/2005/8/layout/orgChart1#1"/>
    <dgm:cxn modelId="{2E8B9F74-FFFB-44B0-8EFA-92CAE40E9E8C}" type="presParOf" srcId="{296936BE-6C79-4DD5-AE95-F464E5A0A51E}" destId="{6E1AF622-22CC-4027-8DCA-16DEB67738C6}" srcOrd="2" destOrd="0" presId="urn:microsoft.com/office/officeart/2005/8/layout/orgChart1#1"/>
    <dgm:cxn modelId="{FA76F17D-F94B-4974-BCB9-62FEEC3F70C3}" type="presParOf" srcId="{E711CF37-8AFC-4A6B-9BEB-37AF1A463BDF}" destId="{9A319C55-9F42-4DD7-ACAB-0A07F83028AE}" srcOrd="2" destOrd="0" presId="urn:microsoft.com/office/officeart/2005/8/layout/orgChart1#1"/>
    <dgm:cxn modelId="{72DD24FC-0128-4AC2-BB17-D05526256B22}" type="presParOf" srcId="{03757511-9CEE-4085-8051-ED66D3F546C3}" destId="{66F05E79-40A6-4D5E-8343-DC8931A1675F}" srcOrd="2" destOrd="0" presId="urn:microsoft.com/office/officeart/2005/8/layout/orgChart1#1"/>
    <dgm:cxn modelId="{4AFA09BA-CCAD-4986-B664-BAB5BC3C066F}" type="presParOf" srcId="{6D8B11BD-0930-4548-920F-1527482C57E4}" destId="{96160975-3278-4F85-9E50-9C0AA18BC47B}" srcOrd="2" destOrd="0" presId="urn:microsoft.com/office/officeart/2005/8/layout/orgChart1#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369FF0-08C2-4CC8-8491-D346E81849E8}">
      <dsp:nvSpPr>
        <dsp:cNvPr id="0" name=""/>
        <dsp:cNvSpPr/>
      </dsp:nvSpPr>
      <dsp:spPr>
        <a:xfrm>
          <a:off x="4328075" y="2286451"/>
          <a:ext cx="91440" cy="816901"/>
        </a:xfrm>
        <a:custGeom>
          <a:avLst/>
          <a:gdLst/>
          <a:ahLst/>
          <a:cxnLst/>
          <a:rect l="0" t="0" r="0" b="0"/>
          <a:pathLst>
            <a:path>
              <a:moveTo>
                <a:pt x="45720" y="0"/>
              </a:moveTo>
              <a:lnTo>
                <a:pt x="45720" y="816901"/>
              </a:lnTo>
              <a:lnTo>
                <a:pt x="115050" y="816901"/>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7C04946A-3A5A-4622-A596-499771DEF542}">
      <dsp:nvSpPr>
        <dsp:cNvPr id="0" name=""/>
        <dsp:cNvSpPr/>
      </dsp:nvSpPr>
      <dsp:spPr>
        <a:xfrm>
          <a:off x="4328075" y="2286451"/>
          <a:ext cx="91440" cy="304566"/>
        </a:xfrm>
        <a:custGeom>
          <a:avLst/>
          <a:gdLst/>
          <a:ahLst/>
          <a:cxnLst/>
          <a:rect l="0" t="0" r="0" b="0"/>
          <a:pathLst>
            <a:path>
              <a:moveTo>
                <a:pt x="45720" y="0"/>
              </a:moveTo>
              <a:lnTo>
                <a:pt x="45720" y="304566"/>
              </a:lnTo>
              <a:lnTo>
                <a:pt x="94613" y="304566"/>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6E0CC72F-7BAB-4D1B-B1E6-787C64D8EF42}">
      <dsp:nvSpPr>
        <dsp:cNvPr id="0" name=""/>
        <dsp:cNvSpPr/>
      </dsp:nvSpPr>
      <dsp:spPr>
        <a:xfrm>
          <a:off x="1249528" y="1689000"/>
          <a:ext cx="3464616" cy="176897"/>
        </a:xfrm>
        <a:custGeom>
          <a:avLst/>
          <a:gdLst/>
          <a:ahLst/>
          <a:cxnLst/>
          <a:rect l="0" t="0" r="0" b="0"/>
          <a:pathLst>
            <a:path>
              <a:moveTo>
                <a:pt x="0" y="0"/>
              </a:moveTo>
              <a:lnTo>
                <a:pt x="0" y="69389"/>
              </a:lnTo>
              <a:lnTo>
                <a:pt x="3464616" y="69389"/>
              </a:lnTo>
              <a:lnTo>
                <a:pt x="3464616" y="176897"/>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5BA2126F-45D0-400F-8CBB-71B7C5ABA8BD}">
      <dsp:nvSpPr>
        <dsp:cNvPr id="0" name=""/>
        <dsp:cNvSpPr/>
      </dsp:nvSpPr>
      <dsp:spPr>
        <a:xfrm>
          <a:off x="3473867" y="2288826"/>
          <a:ext cx="124856" cy="1330443"/>
        </a:xfrm>
        <a:custGeom>
          <a:avLst/>
          <a:gdLst/>
          <a:ahLst/>
          <a:cxnLst/>
          <a:rect l="0" t="0" r="0" b="0"/>
          <a:pathLst>
            <a:path>
              <a:moveTo>
                <a:pt x="0" y="0"/>
              </a:moveTo>
              <a:lnTo>
                <a:pt x="0" y="1330443"/>
              </a:lnTo>
              <a:lnTo>
                <a:pt x="124856" y="1330443"/>
              </a:lnTo>
            </a:path>
          </a:pathLst>
        </a:custGeom>
        <a:noFill/>
        <a:ln w="127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3AABFEA-4BB3-446F-B7B5-2CD3AA08702C}">
      <dsp:nvSpPr>
        <dsp:cNvPr id="0" name=""/>
        <dsp:cNvSpPr/>
      </dsp:nvSpPr>
      <dsp:spPr>
        <a:xfrm>
          <a:off x="3473867" y="2288826"/>
          <a:ext cx="120719" cy="809534"/>
        </a:xfrm>
        <a:custGeom>
          <a:avLst/>
          <a:gdLst/>
          <a:ahLst/>
          <a:cxnLst/>
          <a:rect l="0" t="0" r="0" b="0"/>
          <a:pathLst>
            <a:path>
              <a:moveTo>
                <a:pt x="0" y="0"/>
              </a:moveTo>
              <a:lnTo>
                <a:pt x="0" y="809534"/>
              </a:lnTo>
              <a:lnTo>
                <a:pt x="120719" y="809534"/>
              </a:lnTo>
            </a:path>
          </a:pathLst>
        </a:custGeom>
        <a:noFill/>
        <a:ln w="127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492A7151-BF1C-48FA-ABC9-F01C759681EB}">
      <dsp:nvSpPr>
        <dsp:cNvPr id="0" name=""/>
        <dsp:cNvSpPr/>
      </dsp:nvSpPr>
      <dsp:spPr>
        <a:xfrm>
          <a:off x="3473867" y="2288826"/>
          <a:ext cx="120433" cy="270230"/>
        </a:xfrm>
        <a:custGeom>
          <a:avLst/>
          <a:gdLst/>
          <a:ahLst/>
          <a:cxnLst/>
          <a:rect l="0" t="0" r="0" b="0"/>
          <a:pathLst>
            <a:path>
              <a:moveTo>
                <a:pt x="0" y="0"/>
              </a:moveTo>
              <a:lnTo>
                <a:pt x="0" y="270230"/>
              </a:lnTo>
              <a:lnTo>
                <a:pt x="120433" y="270230"/>
              </a:lnTo>
            </a:path>
          </a:pathLst>
        </a:custGeom>
        <a:noFill/>
        <a:ln w="127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E38FCA9-572D-486C-A9BA-AF850B52683F}">
      <dsp:nvSpPr>
        <dsp:cNvPr id="0" name=""/>
        <dsp:cNvSpPr/>
      </dsp:nvSpPr>
      <dsp:spPr>
        <a:xfrm>
          <a:off x="1249528" y="1689000"/>
          <a:ext cx="2564688" cy="179273"/>
        </a:xfrm>
        <a:custGeom>
          <a:avLst/>
          <a:gdLst/>
          <a:ahLst/>
          <a:cxnLst/>
          <a:rect l="0" t="0" r="0" b="0"/>
          <a:pathLst>
            <a:path>
              <a:moveTo>
                <a:pt x="0" y="0"/>
              </a:moveTo>
              <a:lnTo>
                <a:pt x="0" y="71764"/>
              </a:lnTo>
              <a:lnTo>
                <a:pt x="2564688" y="71764"/>
              </a:lnTo>
              <a:lnTo>
                <a:pt x="2564688" y="179273"/>
              </a:lnTo>
            </a:path>
          </a:pathLst>
        </a:custGeom>
        <a:noFill/>
        <a:ln w="127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6E629CF8-DF7C-4418-8C65-0FCCC44F9451}">
      <dsp:nvSpPr>
        <dsp:cNvPr id="0" name=""/>
        <dsp:cNvSpPr/>
      </dsp:nvSpPr>
      <dsp:spPr>
        <a:xfrm>
          <a:off x="2512184" y="2288826"/>
          <a:ext cx="91440" cy="1483034"/>
        </a:xfrm>
        <a:custGeom>
          <a:avLst/>
          <a:gdLst/>
          <a:ahLst/>
          <a:cxnLst/>
          <a:rect l="0" t="0" r="0" b="0"/>
          <a:pathLst>
            <a:path>
              <a:moveTo>
                <a:pt x="45720" y="0"/>
              </a:moveTo>
              <a:lnTo>
                <a:pt x="45720" y="1483034"/>
              </a:lnTo>
              <a:lnTo>
                <a:pt x="83566" y="1483034"/>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6D2BDEBB-7EB1-4ACE-BC8A-D00BC15B8F6C}">
      <dsp:nvSpPr>
        <dsp:cNvPr id="0" name=""/>
        <dsp:cNvSpPr/>
      </dsp:nvSpPr>
      <dsp:spPr>
        <a:xfrm>
          <a:off x="2512184" y="2288826"/>
          <a:ext cx="91440" cy="912399"/>
        </a:xfrm>
        <a:custGeom>
          <a:avLst/>
          <a:gdLst/>
          <a:ahLst/>
          <a:cxnLst/>
          <a:rect l="0" t="0" r="0" b="0"/>
          <a:pathLst>
            <a:path>
              <a:moveTo>
                <a:pt x="45720" y="0"/>
              </a:moveTo>
              <a:lnTo>
                <a:pt x="45720" y="912399"/>
              </a:lnTo>
              <a:lnTo>
                <a:pt x="83566" y="912399"/>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BDDE39F5-1AF2-4B8E-AF1E-7BB0201E4979}">
      <dsp:nvSpPr>
        <dsp:cNvPr id="0" name=""/>
        <dsp:cNvSpPr/>
      </dsp:nvSpPr>
      <dsp:spPr>
        <a:xfrm>
          <a:off x="2512184" y="2288826"/>
          <a:ext cx="91440" cy="337295"/>
        </a:xfrm>
        <a:custGeom>
          <a:avLst/>
          <a:gdLst/>
          <a:ahLst/>
          <a:cxnLst/>
          <a:rect l="0" t="0" r="0" b="0"/>
          <a:pathLst>
            <a:path>
              <a:moveTo>
                <a:pt x="45720" y="0"/>
              </a:moveTo>
              <a:lnTo>
                <a:pt x="45720" y="337295"/>
              </a:lnTo>
              <a:lnTo>
                <a:pt x="125760" y="337295"/>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18EF5558-9277-4D83-8106-3787E82F27B9}">
      <dsp:nvSpPr>
        <dsp:cNvPr id="0" name=""/>
        <dsp:cNvSpPr/>
      </dsp:nvSpPr>
      <dsp:spPr>
        <a:xfrm>
          <a:off x="1249528" y="1689000"/>
          <a:ext cx="1648725" cy="179273"/>
        </a:xfrm>
        <a:custGeom>
          <a:avLst/>
          <a:gdLst/>
          <a:ahLst/>
          <a:cxnLst/>
          <a:rect l="0" t="0" r="0" b="0"/>
          <a:pathLst>
            <a:path>
              <a:moveTo>
                <a:pt x="0" y="0"/>
              </a:moveTo>
              <a:lnTo>
                <a:pt x="0" y="71764"/>
              </a:lnTo>
              <a:lnTo>
                <a:pt x="1648725" y="71764"/>
              </a:lnTo>
              <a:lnTo>
                <a:pt x="1648725" y="179273"/>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57FFD02A-8CF8-4457-8B06-74D988B8204B}">
      <dsp:nvSpPr>
        <dsp:cNvPr id="0" name=""/>
        <dsp:cNvSpPr/>
      </dsp:nvSpPr>
      <dsp:spPr>
        <a:xfrm>
          <a:off x="1546707" y="2848081"/>
          <a:ext cx="91440" cy="1465669"/>
        </a:xfrm>
        <a:custGeom>
          <a:avLst/>
          <a:gdLst/>
          <a:ahLst/>
          <a:cxnLst/>
          <a:rect l="0" t="0" r="0" b="0"/>
          <a:pathLst>
            <a:path>
              <a:moveTo>
                <a:pt x="45720" y="0"/>
              </a:moveTo>
              <a:lnTo>
                <a:pt x="45720" y="1465669"/>
              </a:lnTo>
              <a:lnTo>
                <a:pt x="126271" y="1465669"/>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DD9FC7C8-8D0F-4313-A6BC-B76639AED71B}">
      <dsp:nvSpPr>
        <dsp:cNvPr id="0" name=""/>
        <dsp:cNvSpPr/>
      </dsp:nvSpPr>
      <dsp:spPr>
        <a:xfrm>
          <a:off x="1546707" y="2848081"/>
          <a:ext cx="91440" cy="866252"/>
        </a:xfrm>
        <a:custGeom>
          <a:avLst/>
          <a:gdLst/>
          <a:ahLst/>
          <a:cxnLst/>
          <a:rect l="0" t="0" r="0" b="0"/>
          <a:pathLst>
            <a:path>
              <a:moveTo>
                <a:pt x="45720" y="0"/>
              </a:moveTo>
              <a:lnTo>
                <a:pt x="45720" y="866252"/>
              </a:lnTo>
              <a:lnTo>
                <a:pt x="131769" y="866252"/>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7D0E6903-5E77-4AAA-BF3A-A1BDB43F5AB2}">
      <dsp:nvSpPr>
        <dsp:cNvPr id="0" name=""/>
        <dsp:cNvSpPr/>
      </dsp:nvSpPr>
      <dsp:spPr>
        <a:xfrm>
          <a:off x="1546707" y="2848081"/>
          <a:ext cx="91440" cy="285652"/>
        </a:xfrm>
        <a:custGeom>
          <a:avLst/>
          <a:gdLst/>
          <a:ahLst/>
          <a:cxnLst/>
          <a:rect l="0" t="0" r="0" b="0"/>
          <a:pathLst>
            <a:path>
              <a:moveTo>
                <a:pt x="45720" y="0"/>
              </a:moveTo>
              <a:lnTo>
                <a:pt x="45720" y="285652"/>
              </a:lnTo>
              <a:lnTo>
                <a:pt x="131769" y="285652"/>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E273B93C-40CF-413B-A0D3-7F642CE6C8F1}">
      <dsp:nvSpPr>
        <dsp:cNvPr id="0" name=""/>
        <dsp:cNvSpPr/>
      </dsp:nvSpPr>
      <dsp:spPr>
        <a:xfrm>
          <a:off x="1332811" y="2217835"/>
          <a:ext cx="597696" cy="217827"/>
        </a:xfrm>
        <a:custGeom>
          <a:avLst/>
          <a:gdLst/>
          <a:ahLst/>
          <a:cxnLst/>
          <a:rect l="0" t="0" r="0" b="0"/>
          <a:pathLst>
            <a:path>
              <a:moveTo>
                <a:pt x="0" y="0"/>
              </a:moveTo>
              <a:lnTo>
                <a:pt x="0" y="110319"/>
              </a:lnTo>
              <a:lnTo>
                <a:pt x="597696" y="110319"/>
              </a:lnTo>
              <a:lnTo>
                <a:pt x="597696" y="217827"/>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CB07ED92-36B4-45D5-B590-CE99B9B45454}">
      <dsp:nvSpPr>
        <dsp:cNvPr id="0" name=""/>
        <dsp:cNvSpPr/>
      </dsp:nvSpPr>
      <dsp:spPr>
        <a:xfrm>
          <a:off x="84520" y="2848081"/>
          <a:ext cx="143226" cy="840944"/>
        </a:xfrm>
        <a:custGeom>
          <a:avLst/>
          <a:gdLst/>
          <a:ahLst/>
          <a:cxnLst/>
          <a:rect l="0" t="0" r="0" b="0"/>
          <a:pathLst>
            <a:path>
              <a:moveTo>
                <a:pt x="0" y="0"/>
              </a:moveTo>
              <a:lnTo>
                <a:pt x="0" y="840944"/>
              </a:lnTo>
              <a:lnTo>
                <a:pt x="143226" y="840944"/>
              </a:lnTo>
            </a:path>
          </a:pathLst>
        </a:custGeom>
        <a:noFill/>
        <a:ln w="127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49F41791-5F10-47CB-9979-6CB263BDD089}">
      <dsp:nvSpPr>
        <dsp:cNvPr id="0" name=""/>
        <dsp:cNvSpPr/>
      </dsp:nvSpPr>
      <dsp:spPr>
        <a:xfrm>
          <a:off x="84520" y="2848081"/>
          <a:ext cx="167615" cy="280456"/>
        </a:xfrm>
        <a:custGeom>
          <a:avLst/>
          <a:gdLst/>
          <a:ahLst/>
          <a:cxnLst/>
          <a:rect l="0" t="0" r="0" b="0"/>
          <a:pathLst>
            <a:path>
              <a:moveTo>
                <a:pt x="0" y="0"/>
              </a:moveTo>
              <a:lnTo>
                <a:pt x="0" y="280456"/>
              </a:lnTo>
              <a:lnTo>
                <a:pt x="167615" y="280456"/>
              </a:lnTo>
            </a:path>
          </a:pathLst>
        </a:custGeom>
        <a:noFill/>
        <a:ln w="127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413E99A7-7114-4139-9A77-EC212E747121}">
      <dsp:nvSpPr>
        <dsp:cNvPr id="0" name=""/>
        <dsp:cNvSpPr/>
      </dsp:nvSpPr>
      <dsp:spPr>
        <a:xfrm>
          <a:off x="422600" y="2217835"/>
          <a:ext cx="910210" cy="217827"/>
        </a:xfrm>
        <a:custGeom>
          <a:avLst/>
          <a:gdLst/>
          <a:ahLst/>
          <a:cxnLst/>
          <a:rect l="0" t="0" r="0" b="0"/>
          <a:pathLst>
            <a:path>
              <a:moveTo>
                <a:pt x="910210" y="0"/>
              </a:moveTo>
              <a:lnTo>
                <a:pt x="910210" y="110319"/>
              </a:lnTo>
              <a:lnTo>
                <a:pt x="0" y="110319"/>
              </a:lnTo>
              <a:lnTo>
                <a:pt x="0" y="217827"/>
              </a:lnTo>
            </a:path>
          </a:pathLst>
        </a:custGeom>
        <a:noFill/>
        <a:ln w="127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86F5B7F1-D150-4452-B023-2CA7FE38D454}">
      <dsp:nvSpPr>
        <dsp:cNvPr id="0" name=""/>
        <dsp:cNvSpPr/>
      </dsp:nvSpPr>
      <dsp:spPr>
        <a:xfrm>
          <a:off x="1203808" y="1689000"/>
          <a:ext cx="91440" cy="176298"/>
        </a:xfrm>
        <a:custGeom>
          <a:avLst/>
          <a:gdLst/>
          <a:ahLst/>
          <a:cxnLst/>
          <a:rect l="0" t="0" r="0" b="0"/>
          <a:pathLst>
            <a:path>
              <a:moveTo>
                <a:pt x="45720" y="0"/>
              </a:moveTo>
              <a:lnTo>
                <a:pt x="45720" y="68790"/>
              </a:lnTo>
              <a:lnTo>
                <a:pt x="129003" y="68790"/>
              </a:lnTo>
              <a:lnTo>
                <a:pt x="129003" y="176298"/>
              </a:lnTo>
            </a:path>
          </a:pathLst>
        </a:custGeom>
        <a:noFill/>
        <a:ln w="127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E0D418B-B3A8-4246-8FFA-C1984AACA608}">
      <dsp:nvSpPr>
        <dsp:cNvPr id="0" name=""/>
        <dsp:cNvSpPr/>
      </dsp:nvSpPr>
      <dsp:spPr>
        <a:xfrm>
          <a:off x="1249528" y="947222"/>
          <a:ext cx="2293221" cy="304218"/>
        </a:xfrm>
        <a:custGeom>
          <a:avLst/>
          <a:gdLst/>
          <a:ahLst/>
          <a:cxnLst/>
          <a:rect l="0" t="0" r="0" b="0"/>
          <a:pathLst>
            <a:path>
              <a:moveTo>
                <a:pt x="2293221" y="0"/>
              </a:moveTo>
              <a:lnTo>
                <a:pt x="2293221" y="196709"/>
              </a:lnTo>
              <a:lnTo>
                <a:pt x="0" y="196709"/>
              </a:lnTo>
              <a:lnTo>
                <a:pt x="0" y="304218"/>
              </a:lnTo>
            </a:path>
          </a:pathLst>
        </a:custGeom>
        <a:noFill/>
        <a:ln w="127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C7E0B80B-1EFB-4613-86EC-D3CB7CA0AFA1}">
      <dsp:nvSpPr>
        <dsp:cNvPr id="0" name=""/>
        <dsp:cNvSpPr/>
      </dsp:nvSpPr>
      <dsp:spPr>
        <a:xfrm>
          <a:off x="6357742" y="2271835"/>
          <a:ext cx="91440" cy="1207687"/>
        </a:xfrm>
        <a:custGeom>
          <a:avLst/>
          <a:gdLst/>
          <a:ahLst/>
          <a:cxnLst/>
          <a:rect l="0" t="0" r="0" b="0"/>
          <a:pathLst>
            <a:path>
              <a:moveTo>
                <a:pt x="45720" y="0"/>
              </a:moveTo>
              <a:lnTo>
                <a:pt x="45720" y="1207687"/>
              </a:lnTo>
              <a:lnTo>
                <a:pt x="87592" y="1207687"/>
              </a:lnTo>
            </a:path>
          </a:pathLst>
        </a:custGeom>
        <a:noFill/>
        <a:ln w="127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E1B81E8B-98AC-449C-8EB9-3FE9AC757359}">
      <dsp:nvSpPr>
        <dsp:cNvPr id="0" name=""/>
        <dsp:cNvSpPr/>
      </dsp:nvSpPr>
      <dsp:spPr>
        <a:xfrm>
          <a:off x="6357742" y="2271835"/>
          <a:ext cx="91440" cy="722285"/>
        </a:xfrm>
        <a:custGeom>
          <a:avLst/>
          <a:gdLst/>
          <a:ahLst/>
          <a:cxnLst/>
          <a:rect l="0" t="0" r="0" b="0"/>
          <a:pathLst>
            <a:path>
              <a:moveTo>
                <a:pt x="45720" y="0"/>
              </a:moveTo>
              <a:lnTo>
                <a:pt x="45720" y="722285"/>
              </a:lnTo>
              <a:lnTo>
                <a:pt x="100513" y="722285"/>
              </a:lnTo>
            </a:path>
          </a:pathLst>
        </a:custGeom>
        <a:noFill/>
        <a:ln w="127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F59CA4A3-D120-4930-9E28-293937EB0DA9}">
      <dsp:nvSpPr>
        <dsp:cNvPr id="0" name=""/>
        <dsp:cNvSpPr/>
      </dsp:nvSpPr>
      <dsp:spPr>
        <a:xfrm>
          <a:off x="6357742" y="2271835"/>
          <a:ext cx="91440" cy="252041"/>
        </a:xfrm>
        <a:custGeom>
          <a:avLst/>
          <a:gdLst/>
          <a:ahLst/>
          <a:cxnLst/>
          <a:rect l="0" t="0" r="0" b="0"/>
          <a:pathLst>
            <a:path>
              <a:moveTo>
                <a:pt x="45720" y="0"/>
              </a:moveTo>
              <a:lnTo>
                <a:pt x="45720" y="252041"/>
              </a:lnTo>
              <a:lnTo>
                <a:pt x="115462" y="252041"/>
              </a:lnTo>
            </a:path>
          </a:pathLst>
        </a:custGeom>
        <a:noFill/>
        <a:ln w="127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00BD349-D548-4803-9A35-1294A8C6259F}">
      <dsp:nvSpPr>
        <dsp:cNvPr id="0" name=""/>
        <dsp:cNvSpPr/>
      </dsp:nvSpPr>
      <dsp:spPr>
        <a:xfrm>
          <a:off x="6326880" y="1653866"/>
          <a:ext cx="387230" cy="225547"/>
        </a:xfrm>
        <a:custGeom>
          <a:avLst/>
          <a:gdLst/>
          <a:ahLst/>
          <a:cxnLst/>
          <a:rect l="0" t="0" r="0" b="0"/>
          <a:pathLst>
            <a:path>
              <a:moveTo>
                <a:pt x="0" y="0"/>
              </a:moveTo>
              <a:lnTo>
                <a:pt x="0" y="118039"/>
              </a:lnTo>
              <a:lnTo>
                <a:pt x="387230" y="118039"/>
              </a:lnTo>
              <a:lnTo>
                <a:pt x="387230" y="225547"/>
              </a:lnTo>
            </a:path>
          </a:pathLst>
        </a:custGeom>
        <a:noFill/>
        <a:ln w="127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8DEEF7A4-74E7-40A0-8998-E00E8A86BF5B}">
      <dsp:nvSpPr>
        <dsp:cNvPr id="0" name=""/>
        <dsp:cNvSpPr/>
      </dsp:nvSpPr>
      <dsp:spPr>
        <a:xfrm>
          <a:off x="5573665" y="2297852"/>
          <a:ext cx="91440" cy="1267612"/>
        </a:xfrm>
        <a:custGeom>
          <a:avLst/>
          <a:gdLst/>
          <a:ahLst/>
          <a:cxnLst/>
          <a:rect l="0" t="0" r="0" b="0"/>
          <a:pathLst>
            <a:path>
              <a:moveTo>
                <a:pt x="45720" y="0"/>
              </a:moveTo>
              <a:lnTo>
                <a:pt x="45720" y="1267612"/>
              </a:lnTo>
              <a:lnTo>
                <a:pt x="123553" y="1267612"/>
              </a:lnTo>
            </a:path>
          </a:pathLst>
        </a:custGeom>
        <a:noFill/>
        <a:ln w="127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0CCC70C6-134D-4BF8-A527-8A49129F93CD}">
      <dsp:nvSpPr>
        <dsp:cNvPr id="0" name=""/>
        <dsp:cNvSpPr/>
      </dsp:nvSpPr>
      <dsp:spPr>
        <a:xfrm>
          <a:off x="5573665" y="2297852"/>
          <a:ext cx="91440" cy="776989"/>
        </a:xfrm>
        <a:custGeom>
          <a:avLst/>
          <a:gdLst/>
          <a:ahLst/>
          <a:cxnLst/>
          <a:rect l="0" t="0" r="0" b="0"/>
          <a:pathLst>
            <a:path>
              <a:moveTo>
                <a:pt x="45720" y="0"/>
              </a:moveTo>
              <a:lnTo>
                <a:pt x="45720" y="776989"/>
              </a:lnTo>
              <a:lnTo>
                <a:pt x="109300" y="776989"/>
              </a:lnTo>
            </a:path>
          </a:pathLst>
        </a:custGeom>
        <a:noFill/>
        <a:ln w="127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70351EB-4976-4C25-A7AE-0FC2D110735F}">
      <dsp:nvSpPr>
        <dsp:cNvPr id="0" name=""/>
        <dsp:cNvSpPr/>
      </dsp:nvSpPr>
      <dsp:spPr>
        <a:xfrm>
          <a:off x="5573665" y="2297852"/>
          <a:ext cx="91440" cy="281616"/>
        </a:xfrm>
        <a:custGeom>
          <a:avLst/>
          <a:gdLst/>
          <a:ahLst/>
          <a:cxnLst/>
          <a:rect l="0" t="0" r="0" b="0"/>
          <a:pathLst>
            <a:path>
              <a:moveTo>
                <a:pt x="45720" y="0"/>
              </a:moveTo>
              <a:lnTo>
                <a:pt x="45720" y="281616"/>
              </a:lnTo>
              <a:lnTo>
                <a:pt x="109300" y="281616"/>
              </a:lnTo>
            </a:path>
          </a:pathLst>
        </a:custGeom>
        <a:noFill/>
        <a:ln w="127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8FC0F736-47BD-424C-8805-88269550A5C3}">
      <dsp:nvSpPr>
        <dsp:cNvPr id="0" name=""/>
        <dsp:cNvSpPr/>
      </dsp:nvSpPr>
      <dsp:spPr>
        <a:xfrm>
          <a:off x="5891240" y="1653866"/>
          <a:ext cx="435640" cy="226822"/>
        </a:xfrm>
        <a:custGeom>
          <a:avLst/>
          <a:gdLst/>
          <a:ahLst/>
          <a:cxnLst/>
          <a:rect l="0" t="0" r="0" b="0"/>
          <a:pathLst>
            <a:path>
              <a:moveTo>
                <a:pt x="435640" y="0"/>
              </a:moveTo>
              <a:lnTo>
                <a:pt x="435640" y="119314"/>
              </a:lnTo>
              <a:lnTo>
                <a:pt x="0" y="119314"/>
              </a:lnTo>
              <a:lnTo>
                <a:pt x="0" y="226822"/>
              </a:lnTo>
            </a:path>
          </a:pathLst>
        </a:custGeom>
        <a:noFill/>
        <a:ln w="127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608C81B8-1340-47A8-A520-7518FC71DCF9}">
      <dsp:nvSpPr>
        <dsp:cNvPr id="0" name=""/>
        <dsp:cNvSpPr/>
      </dsp:nvSpPr>
      <dsp:spPr>
        <a:xfrm>
          <a:off x="3542749" y="947222"/>
          <a:ext cx="2784131" cy="305692"/>
        </a:xfrm>
        <a:custGeom>
          <a:avLst/>
          <a:gdLst/>
          <a:ahLst/>
          <a:cxnLst/>
          <a:rect l="0" t="0" r="0" b="0"/>
          <a:pathLst>
            <a:path>
              <a:moveTo>
                <a:pt x="0" y="0"/>
              </a:moveTo>
              <a:lnTo>
                <a:pt x="0" y="198184"/>
              </a:lnTo>
              <a:lnTo>
                <a:pt x="2784131" y="198184"/>
              </a:lnTo>
              <a:lnTo>
                <a:pt x="2784131" y="305692"/>
              </a:lnTo>
            </a:path>
          </a:pathLst>
        </a:custGeom>
        <a:noFill/>
        <a:ln w="3175"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0579334F-144D-4459-AEA7-2AEFCC246D9F}">
      <dsp:nvSpPr>
        <dsp:cNvPr id="0" name=""/>
        <dsp:cNvSpPr/>
      </dsp:nvSpPr>
      <dsp:spPr>
        <a:xfrm>
          <a:off x="3496640" y="336154"/>
          <a:ext cx="91440" cy="190013"/>
        </a:xfrm>
        <a:custGeom>
          <a:avLst/>
          <a:gdLst/>
          <a:ahLst/>
          <a:cxnLst/>
          <a:rect l="0" t="0" r="0" b="0"/>
          <a:pathLst>
            <a:path>
              <a:moveTo>
                <a:pt x="45720" y="0"/>
              </a:moveTo>
              <a:lnTo>
                <a:pt x="45720" y="82505"/>
              </a:lnTo>
              <a:lnTo>
                <a:pt x="46109" y="82505"/>
              </a:lnTo>
              <a:lnTo>
                <a:pt x="46109" y="190013"/>
              </a:lnTo>
            </a:path>
          </a:pathLst>
        </a:custGeom>
        <a:noFill/>
        <a:ln w="127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789BE4F-5480-4446-A283-B22F4F98EE10}">
      <dsp:nvSpPr>
        <dsp:cNvPr id="0" name=""/>
        <dsp:cNvSpPr/>
      </dsp:nvSpPr>
      <dsp:spPr>
        <a:xfrm>
          <a:off x="2969248" y="461"/>
          <a:ext cx="1146225" cy="335692"/>
        </a:xfrm>
        <a:prstGeom prst="roundRect">
          <a:avLst/>
        </a:prstGeom>
        <a:solidFill>
          <a:srgbClr val="FF0000">
            <a:alpha val="41000"/>
          </a:srgbClr>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baseline="0">
              <a:solidFill>
                <a:schemeClr val="tx1"/>
              </a:solidFill>
            </a:rPr>
            <a:t>SUSTAINED PROTECTION OF POPULATION AGAINST VPD</a:t>
          </a:r>
        </a:p>
      </dsp:txBody>
      <dsp:txXfrm>
        <a:off x="2985635" y="16848"/>
        <a:ext cx="1113451" cy="302918"/>
      </dsp:txXfrm>
    </dsp:sp>
    <dsp:sp modelId="{62563767-40D6-4D45-84C3-574A3AFAA82E}">
      <dsp:nvSpPr>
        <dsp:cNvPr id="0" name=""/>
        <dsp:cNvSpPr/>
      </dsp:nvSpPr>
      <dsp:spPr>
        <a:xfrm>
          <a:off x="2924887" y="526167"/>
          <a:ext cx="1235723" cy="421054"/>
        </a:xfrm>
        <a:prstGeom prst="roundRect">
          <a:avLst/>
        </a:prstGeom>
        <a:solidFill>
          <a:schemeClr val="accent1">
            <a:lumMod val="20000"/>
            <a:lumOff val="80000"/>
          </a:schemeClr>
        </a:solidFill>
        <a:ln w="254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baseline="0">
              <a:solidFill>
                <a:schemeClr val="tx1"/>
              </a:solidFill>
              <a:latin typeface="Calibri" panose="020F0502020204030204" pitchFamily="34" charset="0"/>
            </a:rPr>
            <a:t>A</a:t>
          </a:r>
        </a:p>
        <a:p>
          <a:pPr marL="0" lvl="0" indent="0" algn="ctr" defTabSz="222250">
            <a:lnSpc>
              <a:spcPct val="90000"/>
            </a:lnSpc>
            <a:spcBef>
              <a:spcPct val="0"/>
            </a:spcBef>
            <a:spcAft>
              <a:spcPct val="35000"/>
            </a:spcAft>
            <a:buNone/>
          </a:pPr>
          <a:r>
            <a:rPr lang="en-US" sz="700" b="1" kern="1200" baseline="0">
              <a:solidFill>
                <a:schemeClr val="tx1"/>
              </a:solidFill>
              <a:latin typeface="Calibri" panose="020F0502020204030204" pitchFamily="34" charset="0"/>
            </a:rPr>
            <a:t>Maintenance of High Covarage Rates in all Areas of the Country</a:t>
          </a:r>
        </a:p>
      </dsp:txBody>
      <dsp:txXfrm>
        <a:off x="2945441" y="546721"/>
        <a:ext cx="1194615" cy="379946"/>
      </dsp:txXfrm>
    </dsp:sp>
    <dsp:sp modelId="{9217389D-FF13-44F9-996E-C41B5BF5AC65}">
      <dsp:nvSpPr>
        <dsp:cNvPr id="0" name=""/>
        <dsp:cNvSpPr/>
      </dsp:nvSpPr>
      <dsp:spPr>
        <a:xfrm>
          <a:off x="5923524" y="1252915"/>
          <a:ext cx="806713" cy="400950"/>
        </a:xfrm>
        <a:prstGeom prst="roundRect">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baseline="0" dirty="0">
              <a:solidFill>
                <a:schemeClr val="tx1"/>
              </a:solidFill>
              <a:latin typeface="Calibri" panose="020F0502020204030204" pitchFamily="34" charset="0"/>
            </a:rPr>
            <a:t>A2</a:t>
          </a:r>
        </a:p>
        <a:p>
          <a:pPr marL="0" lvl="0" indent="0" algn="ctr" defTabSz="222250">
            <a:lnSpc>
              <a:spcPct val="90000"/>
            </a:lnSpc>
            <a:spcBef>
              <a:spcPct val="0"/>
            </a:spcBef>
            <a:spcAft>
              <a:spcPct val="35000"/>
            </a:spcAft>
            <a:buNone/>
          </a:pPr>
          <a:r>
            <a:rPr lang="en-US" sz="500" b="1" kern="1200" baseline="0" dirty="0">
              <a:solidFill>
                <a:schemeClr val="tx1"/>
              </a:solidFill>
              <a:latin typeface="Calibri" panose="020F0502020204030204" pitchFamily="34" charset="0"/>
            </a:rPr>
            <a:t>Uptake of immunization services</a:t>
          </a:r>
        </a:p>
      </dsp:txBody>
      <dsp:txXfrm>
        <a:off x="5943097" y="1272488"/>
        <a:ext cx="767567" cy="361804"/>
      </dsp:txXfrm>
    </dsp:sp>
    <dsp:sp modelId="{D07D5271-1111-404F-B10C-7FA0DA79FD95}">
      <dsp:nvSpPr>
        <dsp:cNvPr id="0" name=""/>
        <dsp:cNvSpPr/>
      </dsp:nvSpPr>
      <dsp:spPr>
        <a:xfrm>
          <a:off x="5551421" y="1880688"/>
          <a:ext cx="679638" cy="417163"/>
        </a:xfrm>
        <a:prstGeom prst="roundRect">
          <a:avLst/>
        </a:prstGeom>
        <a:solidFill>
          <a:schemeClr val="bg1"/>
        </a:solidFill>
        <a:ln w="254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0" kern="1200" baseline="0" dirty="0">
              <a:solidFill>
                <a:schemeClr val="tx1"/>
              </a:solidFill>
              <a:latin typeface="Calibri" panose="020F0502020204030204" pitchFamily="34" charset="0"/>
            </a:rPr>
            <a:t>A2.1</a:t>
          </a:r>
        </a:p>
        <a:p>
          <a:pPr marL="0" lvl="0" indent="0" algn="ctr" defTabSz="222250">
            <a:lnSpc>
              <a:spcPct val="90000"/>
            </a:lnSpc>
            <a:spcBef>
              <a:spcPct val="0"/>
            </a:spcBef>
            <a:spcAft>
              <a:spcPct val="35000"/>
            </a:spcAft>
            <a:buNone/>
          </a:pPr>
          <a:r>
            <a:rPr lang="en-US" sz="500" b="0" kern="1200" baseline="0" dirty="0">
              <a:solidFill>
                <a:schemeClr val="tx1"/>
              </a:solidFill>
              <a:latin typeface="Calibri" panose="020F0502020204030204" pitchFamily="34" charset="0"/>
            </a:rPr>
            <a:t>Demand for vaccination in the low performing communities</a:t>
          </a:r>
        </a:p>
      </dsp:txBody>
      <dsp:txXfrm>
        <a:off x="5571785" y="1901052"/>
        <a:ext cx="638910" cy="376435"/>
      </dsp:txXfrm>
    </dsp:sp>
    <dsp:sp modelId="{1DF4CD26-0511-4850-998B-D2CADB96B0D8}">
      <dsp:nvSpPr>
        <dsp:cNvPr id="0" name=""/>
        <dsp:cNvSpPr/>
      </dsp:nvSpPr>
      <dsp:spPr>
        <a:xfrm>
          <a:off x="5682966" y="2369197"/>
          <a:ext cx="705942" cy="420542"/>
        </a:xfrm>
        <a:prstGeom prst="ellipse">
          <a:avLst/>
        </a:prstGeom>
        <a:solidFill>
          <a:schemeClr val="bg1"/>
        </a:solidFill>
        <a:ln w="254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baseline="0">
              <a:solidFill>
                <a:schemeClr val="tx1"/>
              </a:solidFill>
            </a:rPr>
            <a:t>A.2.1.1</a:t>
          </a:r>
        </a:p>
        <a:p>
          <a:pPr marL="0" lvl="0" indent="0" algn="ctr" defTabSz="222250">
            <a:lnSpc>
              <a:spcPct val="90000"/>
            </a:lnSpc>
            <a:spcBef>
              <a:spcPct val="0"/>
            </a:spcBef>
            <a:spcAft>
              <a:spcPct val="35000"/>
            </a:spcAft>
            <a:buNone/>
          </a:pPr>
          <a:r>
            <a:rPr lang="en-US" sz="500" kern="1200" baseline="0">
              <a:solidFill>
                <a:schemeClr val="tx1"/>
              </a:solidFill>
            </a:rPr>
            <a:t>Knowledge of caregivers about eligibility and timing</a:t>
          </a:r>
        </a:p>
      </dsp:txBody>
      <dsp:txXfrm>
        <a:off x="5786349" y="2430784"/>
        <a:ext cx="499176" cy="297368"/>
      </dsp:txXfrm>
    </dsp:sp>
    <dsp:sp modelId="{58C39C79-F0AE-4E80-BD45-147A0D14A141}">
      <dsp:nvSpPr>
        <dsp:cNvPr id="0" name=""/>
        <dsp:cNvSpPr/>
      </dsp:nvSpPr>
      <dsp:spPr>
        <a:xfrm>
          <a:off x="5682966" y="2864571"/>
          <a:ext cx="705942" cy="420542"/>
        </a:xfrm>
        <a:prstGeom prst="ellipse">
          <a:avLst/>
        </a:prstGeom>
        <a:solidFill>
          <a:schemeClr val="bg1"/>
        </a:solidFill>
        <a:ln w="254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baseline="0">
              <a:solidFill>
                <a:schemeClr val="tx1"/>
              </a:solidFill>
            </a:rPr>
            <a:t>A.2.1.1</a:t>
          </a:r>
        </a:p>
        <a:p>
          <a:pPr marL="0" lvl="0" indent="0" algn="ctr" defTabSz="222250">
            <a:lnSpc>
              <a:spcPct val="90000"/>
            </a:lnSpc>
            <a:spcBef>
              <a:spcPct val="0"/>
            </a:spcBef>
            <a:spcAft>
              <a:spcPct val="35000"/>
            </a:spcAft>
            <a:buNone/>
          </a:pPr>
          <a:r>
            <a:rPr lang="en-US" sz="500" kern="1200" baseline="0">
              <a:solidFill>
                <a:schemeClr val="tx1"/>
              </a:solidFill>
            </a:rPr>
            <a:t>Engagement of communities in mobilization for vaccination</a:t>
          </a:r>
        </a:p>
      </dsp:txBody>
      <dsp:txXfrm>
        <a:off x="5786349" y="2926158"/>
        <a:ext cx="499176" cy="297368"/>
      </dsp:txXfrm>
    </dsp:sp>
    <dsp:sp modelId="{C2E81217-0893-4465-861D-535B2D51FFC6}">
      <dsp:nvSpPr>
        <dsp:cNvPr id="0" name=""/>
        <dsp:cNvSpPr/>
      </dsp:nvSpPr>
      <dsp:spPr>
        <a:xfrm>
          <a:off x="5697218" y="3355194"/>
          <a:ext cx="705942" cy="420542"/>
        </a:xfrm>
        <a:prstGeom prst="ellipse">
          <a:avLst/>
        </a:prstGeom>
        <a:solidFill>
          <a:schemeClr val="bg1"/>
        </a:solidFill>
        <a:ln w="254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baseline="0">
              <a:solidFill>
                <a:schemeClr val="tx1"/>
              </a:solidFill>
            </a:rPr>
            <a:t>A.2.1.2</a:t>
          </a:r>
        </a:p>
        <a:p>
          <a:pPr marL="0" lvl="0" indent="0" algn="ctr" defTabSz="222250">
            <a:lnSpc>
              <a:spcPct val="90000"/>
            </a:lnSpc>
            <a:spcBef>
              <a:spcPct val="0"/>
            </a:spcBef>
            <a:spcAft>
              <a:spcPct val="35000"/>
            </a:spcAft>
            <a:buNone/>
          </a:pPr>
          <a:r>
            <a:rPr lang="en-US" sz="500" kern="1200" baseline="0">
              <a:solidFill>
                <a:schemeClr val="tx1"/>
              </a:solidFill>
            </a:rPr>
            <a:t>Capacity of staff for effective IPC and community mobilization</a:t>
          </a:r>
        </a:p>
      </dsp:txBody>
      <dsp:txXfrm>
        <a:off x="5800601" y="3416781"/>
        <a:ext cx="499176" cy="297368"/>
      </dsp:txXfrm>
    </dsp:sp>
    <dsp:sp modelId="{A0D5FA5A-717E-4275-92A0-18C1F606CD95}">
      <dsp:nvSpPr>
        <dsp:cNvPr id="0" name=""/>
        <dsp:cNvSpPr/>
      </dsp:nvSpPr>
      <dsp:spPr>
        <a:xfrm>
          <a:off x="6325800" y="1879413"/>
          <a:ext cx="776621" cy="392421"/>
        </a:xfrm>
        <a:prstGeom prst="roundRect">
          <a:avLst/>
        </a:prstGeom>
        <a:solidFill>
          <a:schemeClr val="bg1"/>
        </a:solidFill>
        <a:ln w="254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0" kern="1200" baseline="0" dirty="0">
              <a:solidFill>
                <a:schemeClr val="tx1"/>
              </a:solidFill>
              <a:latin typeface="Calibri" panose="020F0502020204030204" pitchFamily="34" charset="0"/>
            </a:rPr>
            <a:t>A2.2</a:t>
          </a:r>
        </a:p>
        <a:p>
          <a:pPr marL="0" lvl="0" indent="0" algn="ctr" defTabSz="222250">
            <a:lnSpc>
              <a:spcPct val="90000"/>
            </a:lnSpc>
            <a:spcBef>
              <a:spcPct val="0"/>
            </a:spcBef>
            <a:spcAft>
              <a:spcPct val="35000"/>
            </a:spcAft>
            <a:buNone/>
          </a:pPr>
          <a:r>
            <a:rPr lang="en-US" sz="500" b="0" kern="1200" baseline="0" dirty="0">
              <a:solidFill>
                <a:schemeClr val="tx1"/>
              </a:solidFill>
              <a:latin typeface="Calibri" panose="020F0502020204030204" pitchFamily="34" charset="0"/>
            </a:rPr>
            <a:t>Barriers for vaccination</a:t>
          </a:r>
        </a:p>
      </dsp:txBody>
      <dsp:txXfrm>
        <a:off x="6344956" y="1898569"/>
        <a:ext cx="738309" cy="354109"/>
      </dsp:txXfrm>
    </dsp:sp>
    <dsp:sp modelId="{B6B3BFC2-2294-4CC5-8547-2ED0D91D5231}">
      <dsp:nvSpPr>
        <dsp:cNvPr id="0" name=""/>
        <dsp:cNvSpPr/>
      </dsp:nvSpPr>
      <dsp:spPr>
        <a:xfrm>
          <a:off x="6473205" y="2318929"/>
          <a:ext cx="673730" cy="409894"/>
        </a:xfrm>
        <a:prstGeom prst="ellipse">
          <a:avLst/>
        </a:prstGeom>
        <a:solidFill>
          <a:schemeClr val="bg1"/>
        </a:solidFill>
        <a:ln w="254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A.2.2.1</a:t>
          </a:r>
        </a:p>
        <a:p>
          <a:pPr marL="0" lvl="0" indent="0" algn="ctr" defTabSz="222250">
            <a:lnSpc>
              <a:spcPct val="90000"/>
            </a:lnSpc>
            <a:spcBef>
              <a:spcPct val="0"/>
            </a:spcBef>
            <a:spcAft>
              <a:spcPct val="35000"/>
            </a:spcAft>
            <a:buNone/>
          </a:pPr>
          <a:r>
            <a:rPr lang="en-US" sz="500" b="0" kern="1200" baseline="0" dirty="0">
              <a:solidFill>
                <a:schemeClr val="tx1"/>
              </a:solidFill>
              <a:latin typeface="Calibri" panose="020F0502020204030204" pitchFamily="34" charset="0"/>
            </a:rPr>
            <a:t>Mobile and outreach service delivery in urban areas</a:t>
          </a:r>
          <a:endParaRPr lang="en-US" sz="500" kern="1200">
            <a:solidFill>
              <a:schemeClr val="tx1"/>
            </a:solidFill>
          </a:endParaRPr>
        </a:p>
      </dsp:txBody>
      <dsp:txXfrm>
        <a:off x="6571870" y="2378957"/>
        <a:ext cx="476400" cy="289838"/>
      </dsp:txXfrm>
    </dsp:sp>
    <dsp:sp modelId="{07692B59-7582-4EA3-BC80-24308F1EAAC1}">
      <dsp:nvSpPr>
        <dsp:cNvPr id="0" name=""/>
        <dsp:cNvSpPr/>
      </dsp:nvSpPr>
      <dsp:spPr>
        <a:xfrm>
          <a:off x="6458256" y="2788920"/>
          <a:ext cx="688679" cy="410401"/>
        </a:xfrm>
        <a:prstGeom prst="ellipse">
          <a:avLst/>
        </a:prstGeom>
        <a:solidFill>
          <a:schemeClr val="bg1"/>
        </a:solidFill>
        <a:ln w="254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A.2.2.2</a:t>
          </a:r>
        </a:p>
        <a:p>
          <a:pPr marL="0" lvl="0" indent="0" algn="ctr" defTabSz="222250">
            <a:lnSpc>
              <a:spcPct val="90000"/>
            </a:lnSpc>
            <a:spcBef>
              <a:spcPct val="0"/>
            </a:spcBef>
            <a:spcAft>
              <a:spcPct val="35000"/>
            </a:spcAft>
            <a:buNone/>
          </a:pPr>
          <a:r>
            <a:rPr lang="en-US" sz="500" b="0" kern="1200" baseline="0" dirty="0">
              <a:solidFill>
                <a:schemeClr val="tx1"/>
              </a:solidFill>
              <a:latin typeface="Calibri" panose="020F0502020204030204" pitchFamily="34" charset="0"/>
            </a:rPr>
            <a:t>Effective strategies for covering urban and hard-to-reach areasA</a:t>
          </a:r>
          <a:endParaRPr lang="en-US" sz="500" kern="1200">
            <a:solidFill>
              <a:schemeClr val="tx1"/>
            </a:solidFill>
          </a:endParaRPr>
        </a:p>
      </dsp:txBody>
      <dsp:txXfrm>
        <a:off x="6559111" y="2849022"/>
        <a:ext cx="486969" cy="290197"/>
      </dsp:txXfrm>
    </dsp:sp>
    <dsp:sp modelId="{251CE618-14FC-461D-80CB-4B7272FE488D}">
      <dsp:nvSpPr>
        <dsp:cNvPr id="0" name=""/>
        <dsp:cNvSpPr/>
      </dsp:nvSpPr>
      <dsp:spPr>
        <a:xfrm>
          <a:off x="6445334" y="3265025"/>
          <a:ext cx="722989" cy="428994"/>
        </a:xfrm>
        <a:prstGeom prst="ellipse">
          <a:avLst/>
        </a:prstGeom>
        <a:solidFill>
          <a:schemeClr val="bg1"/>
        </a:solidFill>
        <a:ln w="254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A.2.2.3</a:t>
          </a:r>
        </a:p>
        <a:p>
          <a:pPr marL="0" lvl="0" indent="0" algn="ctr" defTabSz="222250">
            <a:lnSpc>
              <a:spcPct val="90000"/>
            </a:lnSpc>
            <a:spcBef>
              <a:spcPct val="0"/>
            </a:spcBef>
            <a:spcAft>
              <a:spcPct val="35000"/>
            </a:spcAft>
            <a:buNone/>
          </a:pPr>
          <a:r>
            <a:rPr lang="en-US" sz="500" b="0" kern="1200" baseline="0" dirty="0">
              <a:solidFill>
                <a:schemeClr val="tx1"/>
              </a:solidFill>
              <a:latin typeface="Calibri" panose="020F0502020204030204" pitchFamily="34" charset="0"/>
            </a:rPr>
            <a:t>Access to the specific minority groups</a:t>
          </a:r>
          <a:endParaRPr lang="en-US" sz="500" kern="1200">
            <a:solidFill>
              <a:schemeClr val="tx1"/>
            </a:solidFill>
          </a:endParaRPr>
        </a:p>
      </dsp:txBody>
      <dsp:txXfrm>
        <a:off x="6551213" y="3327850"/>
        <a:ext cx="511231" cy="303344"/>
      </dsp:txXfrm>
    </dsp:sp>
    <dsp:sp modelId="{673E3EDB-A72F-4F99-AF2E-2FB26091A5AC}">
      <dsp:nvSpPr>
        <dsp:cNvPr id="0" name=""/>
        <dsp:cNvSpPr/>
      </dsp:nvSpPr>
      <dsp:spPr>
        <a:xfrm>
          <a:off x="783975" y="1251441"/>
          <a:ext cx="931105" cy="437559"/>
        </a:xfrm>
        <a:prstGeom prst="roundRect">
          <a:avLst/>
        </a:prstGeom>
        <a:solidFill>
          <a:schemeClr val="bg1"/>
        </a:solidFill>
        <a:ln w="254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tx1"/>
              </a:solidFill>
            </a:rPr>
            <a:t>A.1</a:t>
          </a:r>
        </a:p>
        <a:p>
          <a:pPr marL="0" lvl="0" indent="0" algn="ctr" defTabSz="222250">
            <a:lnSpc>
              <a:spcPct val="90000"/>
            </a:lnSpc>
            <a:spcBef>
              <a:spcPct val="0"/>
            </a:spcBef>
            <a:spcAft>
              <a:spcPct val="35000"/>
            </a:spcAft>
            <a:buNone/>
          </a:pPr>
          <a:r>
            <a:rPr lang="en-US" sz="500" b="1" kern="1200">
              <a:solidFill>
                <a:schemeClr val="tx1"/>
              </a:solidFill>
            </a:rPr>
            <a:t>Missed opportunities for Vaccination</a:t>
          </a:r>
        </a:p>
      </dsp:txBody>
      <dsp:txXfrm>
        <a:off x="805335" y="1272801"/>
        <a:ext cx="888385" cy="394839"/>
      </dsp:txXfrm>
    </dsp:sp>
    <dsp:sp modelId="{BC4B7941-EC4B-450F-9893-D26E6916A1A5}">
      <dsp:nvSpPr>
        <dsp:cNvPr id="0" name=""/>
        <dsp:cNvSpPr/>
      </dsp:nvSpPr>
      <dsp:spPr>
        <a:xfrm>
          <a:off x="907973" y="1865299"/>
          <a:ext cx="849675" cy="352535"/>
        </a:xfrm>
        <a:prstGeom prst="roundRect">
          <a:avLst/>
        </a:prstGeom>
        <a:solidFill>
          <a:schemeClr val="bg1"/>
        </a:solidFill>
        <a:ln w="254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A.1.1</a:t>
          </a:r>
        </a:p>
        <a:p>
          <a:pPr marL="0" lvl="0" indent="0" algn="ctr" defTabSz="222250">
            <a:lnSpc>
              <a:spcPct val="90000"/>
            </a:lnSpc>
            <a:spcBef>
              <a:spcPct val="0"/>
            </a:spcBef>
            <a:spcAft>
              <a:spcPct val="35000"/>
            </a:spcAft>
            <a:buNone/>
          </a:pPr>
          <a:r>
            <a:rPr lang="en-US" sz="500" kern="1200">
              <a:solidFill>
                <a:schemeClr val="tx1"/>
              </a:solidFill>
            </a:rPr>
            <a:t>Valid RI vaccination rate</a:t>
          </a:r>
        </a:p>
      </dsp:txBody>
      <dsp:txXfrm>
        <a:off x="925182" y="1882508"/>
        <a:ext cx="815257" cy="318117"/>
      </dsp:txXfrm>
    </dsp:sp>
    <dsp:sp modelId="{D82A0DF4-1ACB-4B15-AFD9-1F57A2700E6E}">
      <dsp:nvSpPr>
        <dsp:cNvPr id="0" name=""/>
        <dsp:cNvSpPr/>
      </dsp:nvSpPr>
      <dsp:spPr>
        <a:xfrm>
          <a:off x="0" y="2435663"/>
          <a:ext cx="845201" cy="412418"/>
        </a:xfrm>
        <a:prstGeom prst="roundRect">
          <a:avLst/>
        </a:prstGeom>
        <a:solidFill>
          <a:schemeClr val="bg1"/>
        </a:solidFill>
        <a:ln w="254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A.1.1.1</a:t>
          </a:r>
        </a:p>
        <a:p>
          <a:pPr marL="0" lvl="0" indent="0" algn="ctr" defTabSz="222250">
            <a:lnSpc>
              <a:spcPct val="90000"/>
            </a:lnSpc>
            <a:spcBef>
              <a:spcPct val="0"/>
            </a:spcBef>
            <a:spcAft>
              <a:spcPct val="35000"/>
            </a:spcAft>
            <a:buNone/>
          </a:pPr>
          <a:r>
            <a:rPr lang="en-US" sz="500" kern="1200">
              <a:solidFill>
                <a:schemeClr val="tx1"/>
              </a:solidFill>
            </a:rPr>
            <a:t>Availability of well organized high quality services</a:t>
          </a:r>
        </a:p>
      </dsp:txBody>
      <dsp:txXfrm>
        <a:off x="20133" y="2455796"/>
        <a:ext cx="804935" cy="372152"/>
      </dsp:txXfrm>
    </dsp:sp>
    <dsp:sp modelId="{CDFD9815-943C-4CF1-A9EA-6410E5E2B875}">
      <dsp:nvSpPr>
        <dsp:cNvPr id="0" name=""/>
        <dsp:cNvSpPr/>
      </dsp:nvSpPr>
      <dsp:spPr>
        <a:xfrm>
          <a:off x="252135" y="2888458"/>
          <a:ext cx="824273" cy="480158"/>
        </a:xfrm>
        <a:prstGeom prst="ellipse">
          <a:avLst/>
        </a:prstGeom>
        <a:solidFill>
          <a:schemeClr val="bg1"/>
        </a:solidFill>
        <a:ln w="254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A.1.1.1.1</a:t>
          </a:r>
        </a:p>
        <a:p>
          <a:pPr marL="0" lvl="0" indent="0" algn="ctr" defTabSz="222250">
            <a:lnSpc>
              <a:spcPct val="90000"/>
            </a:lnSpc>
            <a:spcBef>
              <a:spcPct val="0"/>
            </a:spcBef>
            <a:spcAft>
              <a:spcPct val="35000"/>
            </a:spcAft>
            <a:buNone/>
          </a:pPr>
          <a:r>
            <a:rPr lang="en-US" sz="500" kern="1200">
              <a:solidFill>
                <a:schemeClr val="tx1"/>
              </a:solidFill>
            </a:rPr>
            <a:t>Capacity in micro-planning</a:t>
          </a:r>
        </a:p>
      </dsp:txBody>
      <dsp:txXfrm>
        <a:off x="372847" y="2958776"/>
        <a:ext cx="582849" cy="339522"/>
      </dsp:txXfrm>
    </dsp:sp>
    <dsp:sp modelId="{CCF24716-4885-4377-9215-5041E592A512}">
      <dsp:nvSpPr>
        <dsp:cNvPr id="0" name=""/>
        <dsp:cNvSpPr/>
      </dsp:nvSpPr>
      <dsp:spPr>
        <a:xfrm>
          <a:off x="227746" y="3449714"/>
          <a:ext cx="834675" cy="478622"/>
        </a:xfrm>
        <a:prstGeom prst="ellipse">
          <a:avLst/>
        </a:prstGeom>
        <a:solidFill>
          <a:schemeClr val="bg1"/>
        </a:solidFill>
        <a:ln w="254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A.1.1.1.2</a:t>
          </a:r>
        </a:p>
        <a:p>
          <a:pPr marL="0" lvl="0" indent="0" algn="ctr" defTabSz="222250">
            <a:lnSpc>
              <a:spcPct val="90000"/>
            </a:lnSpc>
            <a:spcBef>
              <a:spcPct val="0"/>
            </a:spcBef>
            <a:spcAft>
              <a:spcPct val="35000"/>
            </a:spcAft>
            <a:buNone/>
          </a:pPr>
          <a:r>
            <a:rPr lang="en-US" sz="500" kern="1200">
              <a:solidFill>
                <a:schemeClr val="tx1"/>
              </a:solidFill>
            </a:rPr>
            <a:t>Capacities and skills of service providers in service delivery</a:t>
          </a:r>
        </a:p>
      </dsp:txBody>
      <dsp:txXfrm>
        <a:off x="349981" y="3519807"/>
        <a:ext cx="590205" cy="338436"/>
      </dsp:txXfrm>
    </dsp:sp>
    <dsp:sp modelId="{42B132F7-4D2C-41FA-8099-FB31D3A3E5DC}">
      <dsp:nvSpPr>
        <dsp:cNvPr id="0" name=""/>
        <dsp:cNvSpPr/>
      </dsp:nvSpPr>
      <dsp:spPr>
        <a:xfrm>
          <a:off x="1507907" y="2435663"/>
          <a:ext cx="845201" cy="412418"/>
        </a:xfrm>
        <a:prstGeom prst="roundRect">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A.1.1.2</a:t>
          </a:r>
        </a:p>
        <a:p>
          <a:pPr marL="0" lvl="0" indent="0" algn="ctr" defTabSz="222250">
            <a:lnSpc>
              <a:spcPct val="90000"/>
            </a:lnSpc>
            <a:spcBef>
              <a:spcPct val="0"/>
            </a:spcBef>
            <a:spcAft>
              <a:spcPct val="35000"/>
            </a:spcAft>
            <a:buNone/>
          </a:pPr>
          <a:r>
            <a:rPr lang="en-US" sz="500" kern="1200">
              <a:solidFill>
                <a:schemeClr val="tx1"/>
              </a:solidFill>
            </a:rPr>
            <a:t>Service providers are not motivated to achieve immunization targets in valid coverage</a:t>
          </a:r>
        </a:p>
      </dsp:txBody>
      <dsp:txXfrm>
        <a:off x="1528040" y="2455796"/>
        <a:ext cx="804935" cy="372152"/>
      </dsp:txXfrm>
    </dsp:sp>
    <dsp:sp modelId="{05385268-1BD6-4D9E-A023-A2FAAE2CC356}">
      <dsp:nvSpPr>
        <dsp:cNvPr id="0" name=""/>
        <dsp:cNvSpPr/>
      </dsp:nvSpPr>
      <dsp:spPr>
        <a:xfrm>
          <a:off x="1678477" y="2890234"/>
          <a:ext cx="827518" cy="486998"/>
        </a:xfrm>
        <a:prstGeom prst="ellipse">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A.1.1.2.1</a:t>
          </a:r>
        </a:p>
        <a:p>
          <a:pPr marL="0" lvl="0" indent="0" algn="ctr" defTabSz="222250">
            <a:lnSpc>
              <a:spcPct val="90000"/>
            </a:lnSpc>
            <a:spcBef>
              <a:spcPct val="0"/>
            </a:spcBef>
            <a:spcAft>
              <a:spcPct val="35000"/>
            </a:spcAft>
            <a:buNone/>
          </a:pPr>
          <a:r>
            <a:rPr lang="en-US" sz="500" kern="1200">
              <a:solidFill>
                <a:schemeClr val="tx1"/>
              </a:solidFill>
            </a:rPr>
            <a:t>Non-financial Incentives and/or motivating factors for increasing valid covarege rates</a:t>
          </a:r>
        </a:p>
      </dsp:txBody>
      <dsp:txXfrm>
        <a:off x="1799664" y="2961553"/>
        <a:ext cx="585144" cy="344360"/>
      </dsp:txXfrm>
    </dsp:sp>
    <dsp:sp modelId="{5047A8A6-6E1D-4983-A550-D67862490A8D}">
      <dsp:nvSpPr>
        <dsp:cNvPr id="0" name=""/>
        <dsp:cNvSpPr/>
      </dsp:nvSpPr>
      <dsp:spPr>
        <a:xfrm>
          <a:off x="1678477" y="3462579"/>
          <a:ext cx="808955" cy="503508"/>
        </a:xfrm>
        <a:prstGeom prst="ellipse">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A.1.1.2.2</a:t>
          </a:r>
        </a:p>
        <a:p>
          <a:pPr marL="0" lvl="0" indent="0" algn="ctr" defTabSz="222250">
            <a:lnSpc>
              <a:spcPct val="90000"/>
            </a:lnSpc>
            <a:spcBef>
              <a:spcPct val="0"/>
            </a:spcBef>
            <a:spcAft>
              <a:spcPct val="35000"/>
            </a:spcAft>
            <a:buNone/>
          </a:pPr>
          <a:r>
            <a:rPr lang="en-US" sz="500" kern="1200">
              <a:solidFill>
                <a:schemeClr val="tx1"/>
              </a:solidFill>
            </a:rPr>
            <a:t>Supportive supervision systems for improving quality of provided services</a:t>
          </a:r>
        </a:p>
      </dsp:txBody>
      <dsp:txXfrm>
        <a:off x="1796946" y="3536316"/>
        <a:ext cx="572017" cy="356034"/>
      </dsp:txXfrm>
    </dsp:sp>
    <dsp:sp modelId="{BDAAB3E5-083B-4EDC-BB72-0CF618944349}">
      <dsp:nvSpPr>
        <dsp:cNvPr id="0" name=""/>
        <dsp:cNvSpPr/>
      </dsp:nvSpPr>
      <dsp:spPr>
        <a:xfrm>
          <a:off x="1672979" y="4061996"/>
          <a:ext cx="808955" cy="503508"/>
        </a:xfrm>
        <a:prstGeom prst="trapezoid">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A.1.1.2.3</a:t>
          </a:r>
        </a:p>
        <a:p>
          <a:pPr marL="0" lvl="0" indent="0" algn="ctr" defTabSz="222250">
            <a:lnSpc>
              <a:spcPct val="90000"/>
            </a:lnSpc>
            <a:spcBef>
              <a:spcPct val="0"/>
            </a:spcBef>
            <a:spcAft>
              <a:spcPct val="35000"/>
            </a:spcAft>
            <a:buNone/>
          </a:pPr>
          <a:r>
            <a:rPr lang="en-US" sz="500" kern="1200">
              <a:solidFill>
                <a:schemeClr val="tx1"/>
              </a:solidFill>
            </a:rPr>
            <a:t>Lack of financial incentives for the service providers</a:t>
          </a:r>
        </a:p>
      </dsp:txBody>
      <dsp:txXfrm>
        <a:off x="1756897" y="4114228"/>
        <a:ext cx="641119" cy="451276"/>
      </dsp:txXfrm>
    </dsp:sp>
    <dsp:sp modelId="{17C7F73B-9A9F-41E9-84DF-C030403157CC}">
      <dsp:nvSpPr>
        <dsp:cNvPr id="0" name=""/>
        <dsp:cNvSpPr/>
      </dsp:nvSpPr>
      <dsp:spPr>
        <a:xfrm>
          <a:off x="2472817" y="1868273"/>
          <a:ext cx="850873" cy="420552"/>
        </a:xfrm>
        <a:prstGeom prst="roundRect">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A.1.2 Reporting and recording systems</a:t>
          </a:r>
        </a:p>
      </dsp:txBody>
      <dsp:txXfrm>
        <a:off x="2493347" y="1888803"/>
        <a:ext cx="809813" cy="379492"/>
      </dsp:txXfrm>
    </dsp:sp>
    <dsp:sp modelId="{1C8C7C2C-EFDF-4BCB-A1D5-A590DD9599C1}">
      <dsp:nvSpPr>
        <dsp:cNvPr id="0" name=""/>
        <dsp:cNvSpPr/>
      </dsp:nvSpPr>
      <dsp:spPr>
        <a:xfrm>
          <a:off x="2637945" y="2407475"/>
          <a:ext cx="729112" cy="437293"/>
        </a:xfrm>
        <a:prstGeom prst="ellipse">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A.1.2.1</a:t>
          </a:r>
        </a:p>
        <a:p>
          <a:pPr marL="0" lvl="0" indent="0" algn="ctr" defTabSz="222250">
            <a:lnSpc>
              <a:spcPct val="90000"/>
            </a:lnSpc>
            <a:spcBef>
              <a:spcPct val="0"/>
            </a:spcBef>
            <a:spcAft>
              <a:spcPct val="35000"/>
            </a:spcAft>
            <a:buNone/>
          </a:pPr>
          <a:r>
            <a:rPr lang="en-US" sz="500" kern="1200">
              <a:solidFill>
                <a:schemeClr val="tx1"/>
              </a:solidFill>
            </a:rPr>
            <a:t>Manual reporting system at the service delivery level</a:t>
          </a:r>
        </a:p>
      </dsp:txBody>
      <dsp:txXfrm>
        <a:off x="2744721" y="2471515"/>
        <a:ext cx="515560" cy="309213"/>
      </dsp:txXfrm>
    </dsp:sp>
    <dsp:sp modelId="{37A4FA7D-1395-410E-A4C6-9B73AD0DA683}">
      <dsp:nvSpPr>
        <dsp:cNvPr id="0" name=""/>
        <dsp:cNvSpPr/>
      </dsp:nvSpPr>
      <dsp:spPr>
        <a:xfrm>
          <a:off x="2595750" y="2982579"/>
          <a:ext cx="729112" cy="437293"/>
        </a:xfrm>
        <a:prstGeom prst="ellipse">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A.1.2.2</a:t>
          </a:r>
        </a:p>
        <a:p>
          <a:pPr marL="0" lvl="0" indent="0" algn="ctr" defTabSz="222250">
            <a:lnSpc>
              <a:spcPct val="90000"/>
            </a:lnSpc>
            <a:spcBef>
              <a:spcPct val="0"/>
            </a:spcBef>
            <a:spcAft>
              <a:spcPct val="35000"/>
            </a:spcAft>
            <a:buNone/>
          </a:pPr>
          <a:r>
            <a:rPr lang="en-US" sz="500" kern="1200">
              <a:solidFill>
                <a:schemeClr val="tx1"/>
              </a:solidFill>
            </a:rPr>
            <a:t>Skills of front line staff in recording and reporting</a:t>
          </a:r>
        </a:p>
      </dsp:txBody>
      <dsp:txXfrm>
        <a:off x="2702526" y="3046619"/>
        <a:ext cx="515560" cy="309213"/>
      </dsp:txXfrm>
    </dsp:sp>
    <dsp:sp modelId="{96FFE150-BE7E-46AD-9BF1-91D409D4480C}">
      <dsp:nvSpPr>
        <dsp:cNvPr id="0" name=""/>
        <dsp:cNvSpPr/>
      </dsp:nvSpPr>
      <dsp:spPr>
        <a:xfrm>
          <a:off x="2595750" y="3553214"/>
          <a:ext cx="729112" cy="437293"/>
        </a:xfrm>
        <a:prstGeom prst="ellipse">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A.1.2.3</a:t>
          </a:r>
        </a:p>
        <a:p>
          <a:pPr marL="0" lvl="0" indent="0" algn="ctr" defTabSz="222250">
            <a:lnSpc>
              <a:spcPct val="90000"/>
            </a:lnSpc>
            <a:spcBef>
              <a:spcPct val="0"/>
            </a:spcBef>
            <a:spcAft>
              <a:spcPct val="35000"/>
            </a:spcAft>
            <a:buNone/>
          </a:pPr>
          <a:r>
            <a:rPr lang="en-US" sz="500" kern="1200">
              <a:solidFill>
                <a:schemeClr val="tx1"/>
              </a:solidFill>
            </a:rPr>
            <a:t>Lack of equipment for electronic recording and reporting</a:t>
          </a:r>
        </a:p>
      </dsp:txBody>
      <dsp:txXfrm>
        <a:off x="2702526" y="3617254"/>
        <a:ext cx="515560" cy="309213"/>
      </dsp:txXfrm>
    </dsp:sp>
    <dsp:sp modelId="{6D75E421-DDDA-4A52-8787-A203DAE00810}">
      <dsp:nvSpPr>
        <dsp:cNvPr id="0" name=""/>
        <dsp:cNvSpPr/>
      </dsp:nvSpPr>
      <dsp:spPr>
        <a:xfrm>
          <a:off x="3388779" y="1868273"/>
          <a:ext cx="850873" cy="420552"/>
        </a:xfrm>
        <a:prstGeom prst="roundRect">
          <a:avLst/>
        </a:prstGeom>
        <a:solidFill>
          <a:schemeClr val="bg1"/>
        </a:solidFill>
        <a:ln w="254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A.1.3</a:t>
          </a:r>
        </a:p>
        <a:p>
          <a:pPr marL="0" lvl="0" indent="0" algn="ctr" defTabSz="222250">
            <a:lnSpc>
              <a:spcPct val="90000"/>
            </a:lnSpc>
            <a:spcBef>
              <a:spcPct val="0"/>
            </a:spcBef>
            <a:spcAft>
              <a:spcPct val="35000"/>
            </a:spcAft>
            <a:buNone/>
          </a:pPr>
          <a:r>
            <a:rPr lang="en-US" sz="500" kern="1200">
              <a:solidFill>
                <a:schemeClr val="tx1"/>
              </a:solidFill>
            </a:rPr>
            <a:t>Staff shortage at vaccination points</a:t>
          </a:r>
        </a:p>
      </dsp:txBody>
      <dsp:txXfrm>
        <a:off x="3409309" y="1888803"/>
        <a:ext cx="809813" cy="379492"/>
      </dsp:txXfrm>
    </dsp:sp>
    <dsp:sp modelId="{766C6B3B-AEC6-4A04-BFFB-22BEAFBE3F7D}">
      <dsp:nvSpPr>
        <dsp:cNvPr id="0" name=""/>
        <dsp:cNvSpPr/>
      </dsp:nvSpPr>
      <dsp:spPr>
        <a:xfrm>
          <a:off x="3594300" y="2365890"/>
          <a:ext cx="716488" cy="386334"/>
        </a:xfrm>
        <a:prstGeom prst="ellipse">
          <a:avLst/>
        </a:prstGeom>
        <a:solidFill>
          <a:schemeClr val="bg1"/>
        </a:solidFill>
        <a:ln w="254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A.1.3.1</a:t>
          </a:r>
        </a:p>
        <a:p>
          <a:pPr marL="0" lvl="0" indent="0" algn="ctr" defTabSz="222250">
            <a:lnSpc>
              <a:spcPct val="90000"/>
            </a:lnSpc>
            <a:spcBef>
              <a:spcPct val="0"/>
            </a:spcBef>
            <a:spcAft>
              <a:spcPct val="35000"/>
            </a:spcAft>
            <a:buNone/>
          </a:pPr>
          <a:r>
            <a:rPr lang="en-US" sz="500" kern="1200">
              <a:solidFill>
                <a:schemeClr val="tx1"/>
              </a:solidFill>
            </a:rPr>
            <a:t>Full reliance on fixed service delivery in urban slums</a:t>
          </a:r>
        </a:p>
      </dsp:txBody>
      <dsp:txXfrm>
        <a:off x="3699227" y="2422467"/>
        <a:ext cx="506634" cy="273180"/>
      </dsp:txXfrm>
    </dsp:sp>
    <dsp:sp modelId="{6154B3E8-EF4E-4DD5-B991-B5D101C027C4}">
      <dsp:nvSpPr>
        <dsp:cNvPr id="0" name=""/>
        <dsp:cNvSpPr/>
      </dsp:nvSpPr>
      <dsp:spPr>
        <a:xfrm>
          <a:off x="3594586" y="2894048"/>
          <a:ext cx="753276" cy="408624"/>
        </a:xfrm>
        <a:prstGeom prst="ellipse">
          <a:avLst/>
        </a:prstGeom>
        <a:solidFill>
          <a:schemeClr val="bg1"/>
        </a:solidFill>
        <a:ln w="254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A.1.3.2</a:t>
          </a:r>
        </a:p>
        <a:p>
          <a:pPr marL="0" lvl="0" indent="0" algn="ctr" defTabSz="222250">
            <a:lnSpc>
              <a:spcPct val="90000"/>
            </a:lnSpc>
            <a:spcBef>
              <a:spcPct val="0"/>
            </a:spcBef>
            <a:spcAft>
              <a:spcPct val="35000"/>
            </a:spcAft>
            <a:buNone/>
          </a:pPr>
          <a:r>
            <a:rPr lang="en-US" sz="500" kern="1200">
              <a:solidFill>
                <a:schemeClr val="tx1"/>
              </a:solidFill>
            </a:rPr>
            <a:t>National Immunization policy and HR strategy for immunization</a:t>
          </a:r>
        </a:p>
      </dsp:txBody>
      <dsp:txXfrm>
        <a:off x="3704901" y="2953890"/>
        <a:ext cx="532646" cy="288940"/>
      </dsp:txXfrm>
    </dsp:sp>
    <dsp:sp modelId="{05F04F34-155F-4B2E-80A7-888FD5F5979B}">
      <dsp:nvSpPr>
        <dsp:cNvPr id="0" name=""/>
        <dsp:cNvSpPr/>
      </dsp:nvSpPr>
      <dsp:spPr>
        <a:xfrm>
          <a:off x="3598723" y="3414958"/>
          <a:ext cx="753276" cy="408624"/>
        </a:xfrm>
        <a:prstGeom prst="ellipse">
          <a:avLst/>
        </a:prstGeom>
        <a:solidFill>
          <a:schemeClr val="bg1"/>
        </a:solidFill>
        <a:ln w="254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tx1"/>
              </a:solidFill>
            </a:rPr>
            <a:t>A.1.3.3</a:t>
          </a:r>
        </a:p>
        <a:p>
          <a:pPr marL="0" lvl="0" indent="0" algn="ctr" defTabSz="222250">
            <a:lnSpc>
              <a:spcPct val="90000"/>
            </a:lnSpc>
            <a:spcBef>
              <a:spcPct val="0"/>
            </a:spcBef>
            <a:spcAft>
              <a:spcPct val="35000"/>
            </a:spcAft>
            <a:buNone/>
          </a:pPr>
          <a:r>
            <a:rPr lang="en-US" sz="500" kern="1200">
              <a:solidFill>
                <a:schemeClr val="tx1"/>
              </a:solidFill>
            </a:rPr>
            <a:t>High staff turn over and availability of service providers in Urban settins</a:t>
          </a:r>
        </a:p>
      </dsp:txBody>
      <dsp:txXfrm>
        <a:off x="3709038" y="3474800"/>
        <a:ext cx="532646" cy="288940"/>
      </dsp:txXfrm>
    </dsp:sp>
    <dsp:sp modelId="{EE95C747-CD99-4A1C-89F0-F8BEDF9802D2}">
      <dsp:nvSpPr>
        <dsp:cNvPr id="0" name=""/>
        <dsp:cNvSpPr/>
      </dsp:nvSpPr>
      <dsp:spPr>
        <a:xfrm>
          <a:off x="4288708" y="1865898"/>
          <a:ext cx="850873" cy="420552"/>
        </a:xfrm>
        <a:prstGeom prst="roundRect">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baseline="0">
              <a:solidFill>
                <a:schemeClr val="tx1"/>
              </a:solidFill>
            </a:rPr>
            <a:t>A.1.4</a:t>
          </a:r>
        </a:p>
        <a:p>
          <a:pPr marL="0" lvl="0" indent="0" algn="ctr" defTabSz="222250">
            <a:lnSpc>
              <a:spcPct val="90000"/>
            </a:lnSpc>
            <a:spcBef>
              <a:spcPct val="0"/>
            </a:spcBef>
            <a:spcAft>
              <a:spcPct val="35000"/>
            </a:spcAft>
            <a:buNone/>
          </a:pPr>
          <a:r>
            <a:rPr lang="en-US" sz="500" kern="1200" baseline="0">
              <a:solidFill>
                <a:schemeClr val="tx1"/>
              </a:solidFill>
            </a:rPr>
            <a:t>Capacity for defaulter tracking</a:t>
          </a:r>
        </a:p>
      </dsp:txBody>
      <dsp:txXfrm>
        <a:off x="4309238" y="1886428"/>
        <a:ext cx="809813" cy="379492"/>
      </dsp:txXfrm>
    </dsp:sp>
    <dsp:sp modelId="{D027857B-C948-42C5-A0C7-763523887897}">
      <dsp:nvSpPr>
        <dsp:cNvPr id="0" name=""/>
        <dsp:cNvSpPr/>
      </dsp:nvSpPr>
      <dsp:spPr>
        <a:xfrm>
          <a:off x="4422689" y="2358338"/>
          <a:ext cx="801501" cy="465358"/>
        </a:xfrm>
        <a:prstGeom prst="ellipse">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baseline="0">
              <a:solidFill>
                <a:sysClr val="windowText" lastClr="000000"/>
              </a:solidFill>
              <a:latin typeface="Calibri" panose="020F0502020204030204" pitchFamily="34" charset="0"/>
            </a:rPr>
            <a:t>A.1.4.1</a:t>
          </a:r>
        </a:p>
        <a:p>
          <a:pPr marL="0" lvl="0" indent="0" algn="ctr" defTabSz="222250">
            <a:lnSpc>
              <a:spcPct val="90000"/>
            </a:lnSpc>
            <a:spcBef>
              <a:spcPct val="0"/>
            </a:spcBef>
            <a:spcAft>
              <a:spcPct val="35000"/>
            </a:spcAft>
            <a:buNone/>
          </a:pPr>
          <a:r>
            <a:rPr lang="en-US" sz="500" kern="1200" baseline="0">
              <a:solidFill>
                <a:sysClr val="windowText" lastClr="000000"/>
              </a:solidFill>
              <a:latin typeface="Calibri" panose="020F0502020204030204" pitchFamily="34" charset="0"/>
            </a:rPr>
            <a:t>Defaulter tracking and reminder systems</a:t>
          </a:r>
        </a:p>
        <a:p>
          <a:pPr marL="0" lvl="0" indent="0" algn="ctr" defTabSz="222250">
            <a:lnSpc>
              <a:spcPct val="90000"/>
            </a:lnSpc>
            <a:spcBef>
              <a:spcPct val="0"/>
            </a:spcBef>
            <a:spcAft>
              <a:spcPct val="35000"/>
            </a:spcAft>
            <a:buNone/>
          </a:pPr>
          <a:endParaRPr lang="en-US" sz="500" kern="1200" baseline="0">
            <a:solidFill>
              <a:sysClr val="windowText" lastClr="000000"/>
            </a:solidFill>
            <a:latin typeface="Calibri" panose="020F0502020204030204" pitchFamily="34" charset="0"/>
          </a:endParaRPr>
        </a:p>
      </dsp:txBody>
      <dsp:txXfrm>
        <a:off x="4540066" y="2426488"/>
        <a:ext cx="566747" cy="329058"/>
      </dsp:txXfrm>
    </dsp:sp>
    <dsp:sp modelId="{298CDB4F-C7C5-463D-8892-59804AF8C14A}">
      <dsp:nvSpPr>
        <dsp:cNvPr id="0" name=""/>
        <dsp:cNvSpPr/>
      </dsp:nvSpPr>
      <dsp:spPr>
        <a:xfrm>
          <a:off x="4443126" y="2883405"/>
          <a:ext cx="792143" cy="439894"/>
        </a:xfrm>
        <a:prstGeom prst="ellipse">
          <a:avLst/>
        </a:prstGeom>
        <a:solidFill>
          <a:schemeClr val="bg1"/>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baseline="0">
              <a:solidFill>
                <a:sysClr val="windowText" lastClr="000000"/>
              </a:solidFill>
              <a:latin typeface="Calibri" panose="020F0502020204030204" pitchFamily="34" charset="0"/>
            </a:rPr>
            <a:t>A.1.4.2</a:t>
          </a:r>
        </a:p>
        <a:p>
          <a:pPr marL="0" lvl="0" indent="0" algn="ctr" defTabSz="222250">
            <a:lnSpc>
              <a:spcPct val="90000"/>
            </a:lnSpc>
            <a:spcBef>
              <a:spcPct val="0"/>
            </a:spcBef>
            <a:spcAft>
              <a:spcPct val="35000"/>
            </a:spcAft>
            <a:buNone/>
          </a:pPr>
          <a:r>
            <a:rPr lang="en-US" sz="500" kern="1200" baseline="0">
              <a:solidFill>
                <a:sysClr val="windowText" lastClr="000000"/>
              </a:solidFill>
              <a:latin typeface="Calibri" panose="020F0502020204030204" pitchFamily="34" charset="0"/>
            </a:rPr>
            <a:t>Staff capacity to track defaulters</a:t>
          </a:r>
        </a:p>
        <a:p>
          <a:pPr marL="0" lvl="0" indent="0" algn="ctr" defTabSz="222250">
            <a:lnSpc>
              <a:spcPct val="90000"/>
            </a:lnSpc>
            <a:spcBef>
              <a:spcPct val="0"/>
            </a:spcBef>
            <a:spcAft>
              <a:spcPct val="35000"/>
            </a:spcAft>
            <a:buNone/>
          </a:pPr>
          <a:endParaRPr lang="en-US" sz="500" kern="1200" baseline="0">
            <a:solidFill>
              <a:sysClr val="windowText" lastClr="000000"/>
            </a:solidFill>
            <a:latin typeface="Calibri" panose="020F0502020204030204" pitchFamily="34" charset="0"/>
          </a:endParaRPr>
        </a:p>
      </dsp:txBody>
      <dsp:txXfrm>
        <a:off x="4559133" y="2947826"/>
        <a:ext cx="560129" cy="3110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0F3FA2DE2F4009AB69DA1173F12623"/>
        <w:category>
          <w:name w:val="General"/>
          <w:gallery w:val="placeholder"/>
        </w:category>
        <w:types>
          <w:type w:val="bbPlcHdr"/>
        </w:types>
        <w:behaviors>
          <w:behavior w:val="content"/>
        </w:behaviors>
        <w:guid w:val="{EE1E1D32-6200-4DD4-8B98-984277094073}"/>
      </w:docPartPr>
      <w:docPartBody>
        <w:p w:rsidR="0036692F" w:rsidRDefault="00720CDB">
          <w:pPr>
            <w:pStyle w:val="F40F3FA2DE2F4009AB69DA1173F12623"/>
          </w:pPr>
          <w:r w:rsidRPr="006D39AE">
            <w:rPr>
              <w:rStyle w:val="PlaceholderText"/>
            </w:rPr>
            <w:t>[Title]</w:t>
          </w:r>
        </w:p>
      </w:docPartBody>
    </w:docPart>
    <w:docPart>
      <w:docPartPr>
        <w:name w:val="87671F44B2C645BC9E7CA8209C71E05A"/>
        <w:category>
          <w:name w:val="General"/>
          <w:gallery w:val="placeholder"/>
        </w:category>
        <w:types>
          <w:type w:val="bbPlcHdr"/>
        </w:types>
        <w:behaviors>
          <w:behavior w:val="content"/>
        </w:behaviors>
        <w:guid w:val="{1E7B2987-959E-4B2F-987C-7958C72F9810}"/>
      </w:docPartPr>
      <w:docPartBody>
        <w:p w:rsidR="0036692F" w:rsidRDefault="00720CDB">
          <w:pPr>
            <w:pStyle w:val="87671F44B2C645BC9E7CA8209C71E05A"/>
          </w:pPr>
          <w:r w:rsidRPr="006D39A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DIN">
    <w:altName w:val="Calibri"/>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inionPro-Regular">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CDB"/>
    <w:rsid w:val="00037DC8"/>
    <w:rsid w:val="00090A68"/>
    <w:rsid w:val="000B1E0D"/>
    <w:rsid w:val="0012770C"/>
    <w:rsid w:val="00134627"/>
    <w:rsid w:val="00182E44"/>
    <w:rsid w:val="001A624C"/>
    <w:rsid w:val="001B6842"/>
    <w:rsid w:val="001C4470"/>
    <w:rsid w:val="0020146C"/>
    <w:rsid w:val="00244C1A"/>
    <w:rsid w:val="00266AF0"/>
    <w:rsid w:val="002754E6"/>
    <w:rsid w:val="00317C1C"/>
    <w:rsid w:val="00340817"/>
    <w:rsid w:val="00360DC0"/>
    <w:rsid w:val="0036692F"/>
    <w:rsid w:val="003E1BE7"/>
    <w:rsid w:val="00426A42"/>
    <w:rsid w:val="004805E8"/>
    <w:rsid w:val="004810F0"/>
    <w:rsid w:val="004813CF"/>
    <w:rsid w:val="004E0883"/>
    <w:rsid w:val="005164FE"/>
    <w:rsid w:val="005452BC"/>
    <w:rsid w:val="005B5A92"/>
    <w:rsid w:val="005C5966"/>
    <w:rsid w:val="005F168C"/>
    <w:rsid w:val="00675AB1"/>
    <w:rsid w:val="00680E32"/>
    <w:rsid w:val="00693538"/>
    <w:rsid w:val="00697EA1"/>
    <w:rsid w:val="006C24E0"/>
    <w:rsid w:val="006D17AF"/>
    <w:rsid w:val="006D719B"/>
    <w:rsid w:val="006F3454"/>
    <w:rsid w:val="007159D4"/>
    <w:rsid w:val="00720CDB"/>
    <w:rsid w:val="00745278"/>
    <w:rsid w:val="00755296"/>
    <w:rsid w:val="00755ADE"/>
    <w:rsid w:val="0075618B"/>
    <w:rsid w:val="007561A2"/>
    <w:rsid w:val="00767172"/>
    <w:rsid w:val="007B49E2"/>
    <w:rsid w:val="007C23BF"/>
    <w:rsid w:val="008252FE"/>
    <w:rsid w:val="008731CA"/>
    <w:rsid w:val="008804B5"/>
    <w:rsid w:val="008A3C47"/>
    <w:rsid w:val="008B3446"/>
    <w:rsid w:val="008F0660"/>
    <w:rsid w:val="008F719E"/>
    <w:rsid w:val="00921036"/>
    <w:rsid w:val="00933B9C"/>
    <w:rsid w:val="00963116"/>
    <w:rsid w:val="00973F5B"/>
    <w:rsid w:val="0099184A"/>
    <w:rsid w:val="009A4550"/>
    <w:rsid w:val="00A13075"/>
    <w:rsid w:val="00A17128"/>
    <w:rsid w:val="00A2616B"/>
    <w:rsid w:val="00A6704C"/>
    <w:rsid w:val="00AF6FF5"/>
    <w:rsid w:val="00B1642C"/>
    <w:rsid w:val="00B35525"/>
    <w:rsid w:val="00B459CA"/>
    <w:rsid w:val="00BA19CC"/>
    <w:rsid w:val="00BA5563"/>
    <w:rsid w:val="00BB5451"/>
    <w:rsid w:val="00BD71D3"/>
    <w:rsid w:val="00BE1907"/>
    <w:rsid w:val="00C0153F"/>
    <w:rsid w:val="00C216A0"/>
    <w:rsid w:val="00C37743"/>
    <w:rsid w:val="00C52AFE"/>
    <w:rsid w:val="00CC485F"/>
    <w:rsid w:val="00CC7D70"/>
    <w:rsid w:val="00CD13F3"/>
    <w:rsid w:val="00CD3693"/>
    <w:rsid w:val="00D12BA7"/>
    <w:rsid w:val="00D564C5"/>
    <w:rsid w:val="00DA4499"/>
    <w:rsid w:val="00DC1040"/>
    <w:rsid w:val="00DC3EF5"/>
    <w:rsid w:val="00DD696A"/>
    <w:rsid w:val="00E00AEC"/>
    <w:rsid w:val="00E17F9C"/>
    <w:rsid w:val="00E22474"/>
    <w:rsid w:val="00E372CC"/>
    <w:rsid w:val="00E45FA7"/>
    <w:rsid w:val="00E84327"/>
    <w:rsid w:val="00E90743"/>
    <w:rsid w:val="00EA76DA"/>
    <w:rsid w:val="00EB2149"/>
    <w:rsid w:val="00ED196F"/>
    <w:rsid w:val="00EE4436"/>
    <w:rsid w:val="00EF44CC"/>
    <w:rsid w:val="00F122D7"/>
    <w:rsid w:val="00F30CC2"/>
    <w:rsid w:val="00FD5006"/>
    <w:rsid w:val="00FE2EAE"/>
    <w:rsid w:val="00FF0D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40F3FA2DE2F4009AB69DA1173F12623">
    <w:name w:val="F40F3FA2DE2F4009AB69DA1173F12623"/>
  </w:style>
  <w:style w:type="paragraph" w:customStyle="1" w:styleId="87671F44B2C645BC9E7CA8209C71E05A">
    <w:name w:val="87671F44B2C645BC9E7CA8209C71E0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33FCD6CF-4FDD-4C70-95A7-BAF2BDC9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70</Pages>
  <Words>25400</Words>
  <Characters>144786</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National Immunization Strategy (NIS) 2023-2027</vt:lpstr>
    </vt:vector>
  </TitlesOfParts>
  <Company>CGC Ltd</Company>
  <LinksUpToDate>false</LinksUpToDate>
  <CharactersWithSpaces>169847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Immunization Strategy (NIS) 2023-2027</dc:title>
  <dc:subject>for Expanded Program on Immunization (EPI) of Bangladesh</dc:subject>
  <dc:creator>EPI, DGHS</dc:creator>
  <cp:keywords>BNG;WHO</cp:keywords>
  <dc:description/>
  <cp:lastModifiedBy>DAS, Chiranjit</cp:lastModifiedBy>
  <cp:revision>14</cp:revision>
  <cp:lastPrinted>2019-06-19T04:01:00Z</cp:lastPrinted>
  <dcterms:created xsi:type="dcterms:W3CDTF">2022-08-22T13:03:00Z</dcterms:created>
  <dcterms:modified xsi:type="dcterms:W3CDTF">2022-08-31T05:12:00Z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