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2" w:type="dxa"/>
        <w:tblInd w:w="-522" w:type="dxa"/>
        <w:tblLayout w:type="fixed"/>
        <w:tblLook w:val="04A0"/>
      </w:tblPr>
      <w:tblGrid>
        <w:gridCol w:w="629"/>
        <w:gridCol w:w="2247"/>
        <w:gridCol w:w="904"/>
        <w:gridCol w:w="283"/>
        <w:gridCol w:w="797"/>
        <w:gridCol w:w="809"/>
        <w:gridCol w:w="283"/>
        <w:gridCol w:w="894"/>
        <w:gridCol w:w="990"/>
        <w:gridCol w:w="810"/>
        <w:gridCol w:w="283"/>
        <w:gridCol w:w="839"/>
        <w:gridCol w:w="1128"/>
        <w:gridCol w:w="236"/>
      </w:tblGrid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৮২০০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  <w:r w:rsidR="00C73E36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5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="00C73E36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="001D68A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1D68A4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তারিখ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আগস্ট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1D68A4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3.51%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48.28%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37.50%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-17.14%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50.60%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-0.62%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-2.08%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4.29%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12.31%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-29.27%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-51.67%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11.29%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64.29%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23.53%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31.25%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22.58%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123.53%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9.09%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-23.33%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IN"/>
              </w:rPr>
              <w:t xml:space="preserve">পাংগাস মাছ </w:t>
            </w: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IN"/>
              </w:rPr>
              <w:t>১কেজি হতে২কেজি</w:t>
            </w: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-10.71%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-7.63%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3.81%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3.33%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195.00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6.98%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-31.75%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128.00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-14.34%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4.40%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-17.39%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5.80%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2.82%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5.97%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-6.56%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6.54%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1D7C95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2B0A12" w:rsidRPr="002B0A12" w:rsidTr="002B0A12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pStyle w:val="Heading4"/>
        <w:shd w:val="clear" w:color="auto" w:fill="FFFFFF"/>
        <w:spacing w:before="0" w:line="227" w:lineRule="atLeast"/>
        <w:rPr>
          <w:rFonts w:ascii="Vrinda" w:hAnsi="Vrinda" w:cs="Vrinda"/>
          <w:b w:val="0"/>
          <w:color w:val="383838"/>
          <w:sz w:val="20"/>
          <w:szCs w:val="20"/>
          <w:u w:val="single"/>
        </w:rPr>
      </w:pPr>
    </w:p>
    <w:p w:rsidR="00486941" w:rsidRPr="005C4805" w:rsidRDefault="00486941" w:rsidP="00445100">
      <w:pPr>
        <w:rPr>
          <w:rFonts w:ascii="Nikosh" w:hAnsi="Nikosh" w:cs="Nikosh"/>
          <w:szCs w:val="18"/>
        </w:rPr>
      </w:pPr>
    </w:p>
    <w:sectPr w:rsidR="00486941" w:rsidRPr="005C4805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E94" w:rsidRDefault="009F5E94" w:rsidP="00EC30D0">
      <w:pPr>
        <w:spacing w:after="0" w:line="240" w:lineRule="auto"/>
      </w:pPr>
      <w:r>
        <w:separator/>
      </w:r>
    </w:p>
  </w:endnote>
  <w:endnote w:type="continuationSeparator" w:id="1">
    <w:p w:rsidR="009F5E94" w:rsidRDefault="009F5E94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E94" w:rsidRDefault="009F5E94" w:rsidP="00EC30D0">
      <w:pPr>
        <w:spacing w:after="0" w:line="240" w:lineRule="auto"/>
      </w:pPr>
      <w:r>
        <w:separator/>
      </w:r>
    </w:p>
  </w:footnote>
  <w:footnote w:type="continuationSeparator" w:id="1">
    <w:p w:rsidR="009F5E94" w:rsidRDefault="009F5E94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9B5"/>
    <w:rsid w:val="00030AB2"/>
    <w:rsid w:val="00032ABB"/>
    <w:rsid w:val="00032D80"/>
    <w:rsid w:val="00033386"/>
    <w:rsid w:val="0003386B"/>
    <w:rsid w:val="00034EEA"/>
    <w:rsid w:val="00034F4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1485"/>
    <w:rsid w:val="0007149B"/>
    <w:rsid w:val="00071E82"/>
    <w:rsid w:val="00071EF1"/>
    <w:rsid w:val="000720B2"/>
    <w:rsid w:val="00072F3A"/>
    <w:rsid w:val="00073F49"/>
    <w:rsid w:val="000740C1"/>
    <w:rsid w:val="000744A8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4FFC"/>
    <w:rsid w:val="000A50C4"/>
    <w:rsid w:val="000A5616"/>
    <w:rsid w:val="000A5E22"/>
    <w:rsid w:val="000A7F49"/>
    <w:rsid w:val="000B1F22"/>
    <w:rsid w:val="000B2265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D76CC"/>
    <w:rsid w:val="000E01F9"/>
    <w:rsid w:val="000E0664"/>
    <w:rsid w:val="000E0E52"/>
    <w:rsid w:val="000E13A9"/>
    <w:rsid w:val="000E1B27"/>
    <w:rsid w:val="000E1E8C"/>
    <w:rsid w:val="000E22BD"/>
    <w:rsid w:val="000E2628"/>
    <w:rsid w:val="000E2960"/>
    <w:rsid w:val="000E2C54"/>
    <w:rsid w:val="000E2C5C"/>
    <w:rsid w:val="000E5659"/>
    <w:rsid w:val="000E6528"/>
    <w:rsid w:val="000E6D32"/>
    <w:rsid w:val="000F068E"/>
    <w:rsid w:val="000F1A8A"/>
    <w:rsid w:val="000F1F27"/>
    <w:rsid w:val="000F23E2"/>
    <w:rsid w:val="000F2ED5"/>
    <w:rsid w:val="000F3380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575"/>
    <w:rsid w:val="00113C71"/>
    <w:rsid w:val="0011526B"/>
    <w:rsid w:val="00115506"/>
    <w:rsid w:val="00115C4A"/>
    <w:rsid w:val="00117AA9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812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811"/>
    <w:rsid w:val="00195CDE"/>
    <w:rsid w:val="001960EB"/>
    <w:rsid w:val="00196675"/>
    <w:rsid w:val="00196BC5"/>
    <w:rsid w:val="001977DE"/>
    <w:rsid w:val="00197D10"/>
    <w:rsid w:val="001A0F0B"/>
    <w:rsid w:val="001A1C36"/>
    <w:rsid w:val="001A2127"/>
    <w:rsid w:val="001A2F85"/>
    <w:rsid w:val="001A453C"/>
    <w:rsid w:val="001A460D"/>
    <w:rsid w:val="001A47EF"/>
    <w:rsid w:val="001A4EAB"/>
    <w:rsid w:val="001A5123"/>
    <w:rsid w:val="001A532A"/>
    <w:rsid w:val="001A656D"/>
    <w:rsid w:val="001A65F8"/>
    <w:rsid w:val="001A77E0"/>
    <w:rsid w:val="001A7BD9"/>
    <w:rsid w:val="001B00F1"/>
    <w:rsid w:val="001B096E"/>
    <w:rsid w:val="001B0A82"/>
    <w:rsid w:val="001B1501"/>
    <w:rsid w:val="001B1531"/>
    <w:rsid w:val="001B183E"/>
    <w:rsid w:val="001B1A51"/>
    <w:rsid w:val="001B3685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D68A4"/>
    <w:rsid w:val="001D7C95"/>
    <w:rsid w:val="001E01CC"/>
    <w:rsid w:val="001E036C"/>
    <w:rsid w:val="001E0A52"/>
    <w:rsid w:val="001E1257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05B6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9FE"/>
    <w:rsid w:val="00224DBA"/>
    <w:rsid w:val="00224DD7"/>
    <w:rsid w:val="0022533E"/>
    <w:rsid w:val="00225B5C"/>
    <w:rsid w:val="00225EAE"/>
    <w:rsid w:val="0022698B"/>
    <w:rsid w:val="00233510"/>
    <w:rsid w:val="00234769"/>
    <w:rsid w:val="0023487F"/>
    <w:rsid w:val="00234EA8"/>
    <w:rsid w:val="00235C0D"/>
    <w:rsid w:val="002366A7"/>
    <w:rsid w:val="00236F64"/>
    <w:rsid w:val="00237847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47199"/>
    <w:rsid w:val="00250154"/>
    <w:rsid w:val="00253669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2B40"/>
    <w:rsid w:val="00263D70"/>
    <w:rsid w:val="00263EFA"/>
    <w:rsid w:val="00264126"/>
    <w:rsid w:val="00264606"/>
    <w:rsid w:val="00265C85"/>
    <w:rsid w:val="00265CA4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761"/>
    <w:rsid w:val="00293C8B"/>
    <w:rsid w:val="00294CC9"/>
    <w:rsid w:val="00294CFA"/>
    <w:rsid w:val="00295934"/>
    <w:rsid w:val="00295C48"/>
    <w:rsid w:val="00295D2E"/>
    <w:rsid w:val="002962DD"/>
    <w:rsid w:val="00297243"/>
    <w:rsid w:val="0029777C"/>
    <w:rsid w:val="0029777D"/>
    <w:rsid w:val="002A0118"/>
    <w:rsid w:val="002A0A6B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0A1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4BD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8B5"/>
    <w:rsid w:val="002E1979"/>
    <w:rsid w:val="002E1A2B"/>
    <w:rsid w:val="002E1D64"/>
    <w:rsid w:val="002E48A7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E4F"/>
    <w:rsid w:val="00315233"/>
    <w:rsid w:val="0031679D"/>
    <w:rsid w:val="00316FEC"/>
    <w:rsid w:val="0031703A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20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0B1D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12B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1615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4B66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B91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C707E"/>
    <w:rsid w:val="004D4922"/>
    <w:rsid w:val="004D593C"/>
    <w:rsid w:val="004D59A7"/>
    <w:rsid w:val="004D6A6D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1FB"/>
    <w:rsid w:val="00502786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4CAA"/>
    <w:rsid w:val="00535F6E"/>
    <w:rsid w:val="00536499"/>
    <w:rsid w:val="0053689A"/>
    <w:rsid w:val="00537E6D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0642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1F78"/>
    <w:rsid w:val="00593BC9"/>
    <w:rsid w:val="00593D0E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3E48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EFB"/>
    <w:rsid w:val="005F3F31"/>
    <w:rsid w:val="005F5254"/>
    <w:rsid w:val="005F54D5"/>
    <w:rsid w:val="005F6004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2F9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22A5"/>
    <w:rsid w:val="006329F2"/>
    <w:rsid w:val="00632AA1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2E75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BDA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1B1"/>
    <w:rsid w:val="0074529B"/>
    <w:rsid w:val="00747290"/>
    <w:rsid w:val="0075043F"/>
    <w:rsid w:val="007512FD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AE4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CE2"/>
    <w:rsid w:val="00793E93"/>
    <w:rsid w:val="00793F8E"/>
    <w:rsid w:val="00795ED0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F0E"/>
    <w:rsid w:val="007C38A9"/>
    <w:rsid w:val="007C4968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2A87"/>
    <w:rsid w:val="0081304F"/>
    <w:rsid w:val="008133BD"/>
    <w:rsid w:val="008133EA"/>
    <w:rsid w:val="0081439F"/>
    <w:rsid w:val="008152D1"/>
    <w:rsid w:val="00815A46"/>
    <w:rsid w:val="00821BA8"/>
    <w:rsid w:val="008225C1"/>
    <w:rsid w:val="0082347C"/>
    <w:rsid w:val="0082368B"/>
    <w:rsid w:val="00823A65"/>
    <w:rsid w:val="00824496"/>
    <w:rsid w:val="0082463A"/>
    <w:rsid w:val="008257B1"/>
    <w:rsid w:val="00825FDE"/>
    <w:rsid w:val="00826EBA"/>
    <w:rsid w:val="00830499"/>
    <w:rsid w:val="00830A15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579"/>
    <w:rsid w:val="008656BC"/>
    <w:rsid w:val="008668B1"/>
    <w:rsid w:val="0086738D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07D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15E1"/>
    <w:rsid w:val="008A27F3"/>
    <w:rsid w:val="008A3468"/>
    <w:rsid w:val="008A3532"/>
    <w:rsid w:val="008A41B3"/>
    <w:rsid w:val="008A42A6"/>
    <w:rsid w:val="008A4BC9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5527"/>
    <w:rsid w:val="008B59E7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DE1"/>
    <w:rsid w:val="00916D80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577AA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517C"/>
    <w:rsid w:val="00977FAC"/>
    <w:rsid w:val="009845F1"/>
    <w:rsid w:val="00984C21"/>
    <w:rsid w:val="0098500D"/>
    <w:rsid w:val="0098605E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324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A0F"/>
    <w:rsid w:val="009E7B99"/>
    <w:rsid w:val="009F0289"/>
    <w:rsid w:val="009F219A"/>
    <w:rsid w:val="009F2886"/>
    <w:rsid w:val="009F3BDC"/>
    <w:rsid w:val="009F4620"/>
    <w:rsid w:val="009F5C51"/>
    <w:rsid w:val="009F5E94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3D0C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65D0"/>
    <w:rsid w:val="00A17282"/>
    <w:rsid w:val="00A21517"/>
    <w:rsid w:val="00A23588"/>
    <w:rsid w:val="00A24EF0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47C3"/>
    <w:rsid w:val="00A44A61"/>
    <w:rsid w:val="00A44AF3"/>
    <w:rsid w:val="00A44CC5"/>
    <w:rsid w:val="00A456F8"/>
    <w:rsid w:val="00A45E26"/>
    <w:rsid w:val="00A45E77"/>
    <w:rsid w:val="00A50647"/>
    <w:rsid w:val="00A507D4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720"/>
    <w:rsid w:val="00B01FC8"/>
    <w:rsid w:val="00B0336E"/>
    <w:rsid w:val="00B03A07"/>
    <w:rsid w:val="00B0516A"/>
    <w:rsid w:val="00B07453"/>
    <w:rsid w:val="00B0760D"/>
    <w:rsid w:val="00B10336"/>
    <w:rsid w:val="00B11A39"/>
    <w:rsid w:val="00B1278C"/>
    <w:rsid w:val="00B14728"/>
    <w:rsid w:val="00B15939"/>
    <w:rsid w:val="00B16477"/>
    <w:rsid w:val="00B20047"/>
    <w:rsid w:val="00B2022B"/>
    <w:rsid w:val="00B218F0"/>
    <w:rsid w:val="00B230B3"/>
    <w:rsid w:val="00B23299"/>
    <w:rsid w:val="00B23CC7"/>
    <w:rsid w:val="00B2579D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78D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3342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A1B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3114"/>
    <w:rsid w:val="00BB39C5"/>
    <w:rsid w:val="00BB4801"/>
    <w:rsid w:val="00BB48EC"/>
    <w:rsid w:val="00BB4B9E"/>
    <w:rsid w:val="00BB5631"/>
    <w:rsid w:val="00BB5F24"/>
    <w:rsid w:val="00BB5F35"/>
    <w:rsid w:val="00BB70A3"/>
    <w:rsid w:val="00BB71CC"/>
    <w:rsid w:val="00BB7674"/>
    <w:rsid w:val="00BC0419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3F25"/>
    <w:rsid w:val="00C14C34"/>
    <w:rsid w:val="00C1525C"/>
    <w:rsid w:val="00C15830"/>
    <w:rsid w:val="00C15847"/>
    <w:rsid w:val="00C16244"/>
    <w:rsid w:val="00C164B8"/>
    <w:rsid w:val="00C16FFC"/>
    <w:rsid w:val="00C179B0"/>
    <w:rsid w:val="00C17AD6"/>
    <w:rsid w:val="00C2021A"/>
    <w:rsid w:val="00C213BA"/>
    <w:rsid w:val="00C21667"/>
    <w:rsid w:val="00C22AC2"/>
    <w:rsid w:val="00C233F1"/>
    <w:rsid w:val="00C23794"/>
    <w:rsid w:val="00C244DC"/>
    <w:rsid w:val="00C2454C"/>
    <w:rsid w:val="00C2486E"/>
    <w:rsid w:val="00C2554C"/>
    <w:rsid w:val="00C26E05"/>
    <w:rsid w:val="00C33415"/>
    <w:rsid w:val="00C34411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35BE"/>
    <w:rsid w:val="00C64273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3E36"/>
    <w:rsid w:val="00C742AE"/>
    <w:rsid w:val="00C742B6"/>
    <w:rsid w:val="00C7449A"/>
    <w:rsid w:val="00C747BD"/>
    <w:rsid w:val="00C74A0D"/>
    <w:rsid w:val="00C74D13"/>
    <w:rsid w:val="00C762F2"/>
    <w:rsid w:val="00C77CE8"/>
    <w:rsid w:val="00C80268"/>
    <w:rsid w:val="00C8044B"/>
    <w:rsid w:val="00C808DB"/>
    <w:rsid w:val="00C81B0A"/>
    <w:rsid w:val="00C81B50"/>
    <w:rsid w:val="00C820CB"/>
    <w:rsid w:val="00C8311D"/>
    <w:rsid w:val="00C83ED9"/>
    <w:rsid w:val="00C8415C"/>
    <w:rsid w:val="00C84285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0AA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475A1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5B08"/>
    <w:rsid w:val="00D765CF"/>
    <w:rsid w:val="00D779E1"/>
    <w:rsid w:val="00D80A03"/>
    <w:rsid w:val="00D83232"/>
    <w:rsid w:val="00D835F8"/>
    <w:rsid w:val="00D83666"/>
    <w:rsid w:val="00D83AAF"/>
    <w:rsid w:val="00D84667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3C91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71030"/>
    <w:rsid w:val="00E7169E"/>
    <w:rsid w:val="00E71835"/>
    <w:rsid w:val="00E71FA0"/>
    <w:rsid w:val="00E72DCE"/>
    <w:rsid w:val="00E736A5"/>
    <w:rsid w:val="00E745CA"/>
    <w:rsid w:val="00E753C5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E87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2F07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119"/>
    <w:rsid w:val="00EE6315"/>
    <w:rsid w:val="00EE6833"/>
    <w:rsid w:val="00EE683A"/>
    <w:rsid w:val="00EE6E38"/>
    <w:rsid w:val="00EE6F22"/>
    <w:rsid w:val="00EE7B86"/>
    <w:rsid w:val="00EF0041"/>
    <w:rsid w:val="00EF01CB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266"/>
    <w:rsid w:val="00F20BFD"/>
    <w:rsid w:val="00F22257"/>
    <w:rsid w:val="00F22D84"/>
    <w:rsid w:val="00F2383A"/>
    <w:rsid w:val="00F23884"/>
    <w:rsid w:val="00F23C6C"/>
    <w:rsid w:val="00F2417C"/>
    <w:rsid w:val="00F246D8"/>
    <w:rsid w:val="00F24E62"/>
    <w:rsid w:val="00F2521B"/>
    <w:rsid w:val="00F2555E"/>
    <w:rsid w:val="00F255BE"/>
    <w:rsid w:val="00F25C0E"/>
    <w:rsid w:val="00F27BAE"/>
    <w:rsid w:val="00F27E4E"/>
    <w:rsid w:val="00F304D2"/>
    <w:rsid w:val="00F30B21"/>
    <w:rsid w:val="00F31D58"/>
    <w:rsid w:val="00F32628"/>
    <w:rsid w:val="00F32860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64B2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332D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1C9E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8A7"/>
    <w:rsid w:val="00FD40FE"/>
    <w:rsid w:val="00FD4156"/>
    <w:rsid w:val="00FD5E00"/>
    <w:rsid w:val="00FD7B67"/>
    <w:rsid w:val="00FE0AC6"/>
    <w:rsid w:val="00FE0C11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2020-08-25T05:08:00Z</dcterms:created>
  <dcterms:modified xsi:type="dcterms:W3CDTF">2020-08-25T05:08:00Z</dcterms:modified>
</cp:coreProperties>
</file>