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A4" w:rsidRPr="005F2332" w:rsidRDefault="00A573A4" w:rsidP="005F2332">
      <w:pPr>
        <w:jc w:val="center"/>
        <w:rPr>
          <w:color w:val="7030A0"/>
          <w:sz w:val="40"/>
          <w:szCs w:val="40"/>
        </w:rPr>
      </w:pPr>
      <w:r w:rsidRPr="005F2332">
        <w:rPr>
          <w:rFonts w:ascii="Nikosh" w:eastAsia="Nikosh" w:hAnsi="Nikosh" w:cs="Nikosh"/>
          <w:color w:val="7030A0"/>
          <w:sz w:val="40"/>
          <w:szCs w:val="40"/>
          <w:cs/>
        </w:rPr>
        <w:t>বাতাবিলেবুর উৎপাদন প্রযুক্তি</w:t>
      </w: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মাটি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গভীব,হালকা, দো</w:t>
      </w:r>
      <w:r w:rsidR="005F2332">
        <w:rPr>
          <w:rFonts w:ascii="Nikosh" w:eastAsia="Nikosh" w:hAnsi="Nikosh" w:cs="Nikosh" w:hint="cs"/>
          <w:sz w:val="28"/>
          <w:szCs w:val="28"/>
          <w:cs/>
        </w:rPr>
        <w:t>আঁ</w:t>
      </w:r>
      <w:r>
        <w:rPr>
          <w:rFonts w:ascii="Nikosh" w:eastAsia="Nikosh" w:hAnsi="Nikosh" w:cs="Nikosh"/>
          <w:sz w:val="28"/>
          <w:szCs w:val="28"/>
          <w:cs/>
        </w:rPr>
        <w:t>শ পলি নিষ্কাশন সম্পন্ন মাট</w:t>
      </w:r>
      <w:r w:rsidR="005F2332">
        <w:rPr>
          <w:rFonts w:ascii="Nikosh" w:eastAsia="Nikosh" w:hAnsi="Nikosh" w:cs="Nikosh"/>
          <w:sz w:val="28"/>
          <w:szCs w:val="28"/>
          <w:cs/>
        </w:rPr>
        <w:t xml:space="preserve">ি লেবু চাষের জন্য উত্তম। মধ্যম </w:t>
      </w:r>
      <w:r w:rsidR="005F2332">
        <w:rPr>
          <w:rFonts w:ascii="Nikosh" w:eastAsia="Nikosh" w:hAnsi="Nikosh" w:cs="Nikosh" w:hint="cs"/>
          <w:sz w:val="28"/>
          <w:szCs w:val="28"/>
          <w:cs/>
        </w:rPr>
        <w:t>অম্লী</w:t>
      </w:r>
      <w:r>
        <w:rPr>
          <w:rFonts w:ascii="Nikosh" w:eastAsia="Nikosh" w:hAnsi="Nikosh" w:cs="Nikosh"/>
          <w:sz w:val="28"/>
          <w:szCs w:val="28"/>
          <w:cs/>
        </w:rPr>
        <w:t>য় মাটিতে বাতাবিলেবু ভাল জন্মে।</w:t>
      </w:r>
    </w:p>
    <w:p w:rsidR="00A573A4" w:rsidRDefault="00A573A4" w:rsidP="00A573A4">
      <w:pPr>
        <w:jc w:val="both"/>
        <w:rPr>
          <w:color w:val="00B0F0"/>
          <w:sz w:val="40"/>
          <w:szCs w:val="40"/>
        </w:rPr>
      </w:pP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বপণের সময়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মধ্য-কার্তিক থেকে মধ্য-ফাল্গুন (মার্চ থেকে অক্টোবর) মাস।</w:t>
      </w:r>
    </w:p>
    <w:p w:rsidR="00A573A4" w:rsidRDefault="00A573A4" w:rsidP="00A573A4">
      <w:pPr>
        <w:jc w:val="both"/>
        <w:rPr>
          <w:color w:val="00B0F0"/>
          <w:sz w:val="40"/>
          <w:szCs w:val="40"/>
        </w:rPr>
      </w:pP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চাষ পদ্ধতি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 xml:space="preserve">গুটি, কলম ও বার্ডিং তৈরি </w:t>
      </w:r>
      <w:r w:rsidR="005F2332">
        <w:rPr>
          <w:rFonts w:ascii="Nikosh" w:eastAsia="Nikosh" w:hAnsi="Nikosh" w:cs="Nikosh"/>
          <w:sz w:val="28"/>
          <w:szCs w:val="28"/>
          <w:cs/>
        </w:rPr>
        <w:t>করে মধ্য-বৈশাখ থেকে মধ্য-আ</w:t>
      </w:r>
      <w:r w:rsidR="005F2332">
        <w:rPr>
          <w:rFonts w:ascii="Nikosh" w:eastAsia="Nikosh" w:hAnsi="Nikosh" w:cs="Nikosh" w:hint="cs"/>
          <w:sz w:val="28"/>
          <w:szCs w:val="28"/>
          <w:cs/>
        </w:rPr>
        <w:t>শ্বিন</w:t>
      </w:r>
      <w:r>
        <w:rPr>
          <w:rFonts w:ascii="Nikosh" w:eastAsia="Nikosh" w:hAnsi="Nikosh" w:cs="Nikosh"/>
          <w:sz w:val="28"/>
          <w:szCs w:val="28"/>
          <w:cs/>
        </w:rPr>
        <w:t xml:space="preserve">  (মে-সেপ্টেম্বর) মাসে ৫*৫ মি দূরত্বে রোপণ করা হয়। সাধারণত ৮০-১০ মাস</w:t>
      </w:r>
      <w:r w:rsidR="005F2332">
        <w:rPr>
          <w:rFonts w:ascii="Nikosh" w:eastAsia="Nikosh" w:hAnsi="Nikosh" w:cs="Nikosh"/>
          <w:sz w:val="28"/>
          <w:szCs w:val="28"/>
          <w:cs/>
        </w:rPr>
        <w:t xml:space="preserve">ের বাতাবিলেবুর চারা বাডিং ও </w:t>
      </w:r>
      <w:r w:rsidR="005F2332">
        <w:rPr>
          <w:rFonts w:ascii="Nikosh" w:eastAsia="Nikosh" w:hAnsi="Nikosh" w:cs="Nikosh" w:hint="cs"/>
          <w:sz w:val="28"/>
          <w:szCs w:val="28"/>
          <w:cs/>
        </w:rPr>
        <w:t>গ্রাফ</w:t>
      </w:r>
      <w:r>
        <w:rPr>
          <w:rFonts w:ascii="Nikosh" w:eastAsia="Nikosh" w:hAnsi="Nikosh" w:cs="Nikosh"/>
          <w:sz w:val="28"/>
          <w:szCs w:val="28"/>
          <w:cs/>
        </w:rPr>
        <w:t>টিংয়ের জন্য আদিজোড়া হিসেবে ব্যবহার করা হয়।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>বয়স অনুযায়ী সারের পরিমাণ (গ্রাম/গাছ) ও প্রয়োগের সময় নি</w:t>
      </w:r>
      <w:r w:rsidR="005F2332">
        <w:rPr>
          <w:rFonts w:ascii="Nikosh" w:eastAsia="Nikosh" w:hAnsi="Nikosh" w:cs="Nikosh" w:hint="cs"/>
          <w:sz w:val="28"/>
          <w:szCs w:val="28"/>
          <w:cs/>
        </w:rPr>
        <w:t>ম্ন</w:t>
      </w:r>
      <w:r>
        <w:rPr>
          <w:rFonts w:ascii="Nikosh" w:eastAsia="Nikosh" w:hAnsi="Nikosh" w:cs="Nikosh"/>
          <w:sz w:val="28"/>
          <w:szCs w:val="28"/>
          <w:cs/>
        </w:rPr>
        <w:t>রূপ।</w:t>
      </w: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সারের পরিমাণ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1848"/>
        <w:gridCol w:w="1849"/>
        <w:gridCol w:w="1849"/>
        <w:gridCol w:w="1849"/>
      </w:tblGrid>
      <w:tr w:rsidR="00A573A4" w:rsidTr="00464CA2">
        <w:tc>
          <w:tcPr>
            <w:tcW w:w="1848" w:type="dxa"/>
            <w:shd w:val="clear" w:color="auto" w:fill="C4BC96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 xml:space="preserve">সার </w:t>
            </w:r>
          </w:p>
        </w:tc>
        <w:tc>
          <w:tcPr>
            <w:tcW w:w="1848" w:type="dxa"/>
            <w:shd w:val="clear" w:color="auto" w:fill="C4BC96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১-২ বছর</w:t>
            </w:r>
          </w:p>
        </w:tc>
        <w:tc>
          <w:tcPr>
            <w:tcW w:w="1849" w:type="dxa"/>
            <w:shd w:val="clear" w:color="auto" w:fill="C4BC96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৩-৪ বছর</w:t>
            </w:r>
          </w:p>
        </w:tc>
        <w:tc>
          <w:tcPr>
            <w:tcW w:w="1849" w:type="dxa"/>
            <w:shd w:val="clear" w:color="auto" w:fill="C4BC96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৫-১০ বছর</w:t>
            </w:r>
          </w:p>
        </w:tc>
        <w:tc>
          <w:tcPr>
            <w:tcW w:w="1849" w:type="dxa"/>
            <w:shd w:val="clear" w:color="auto" w:fill="C4BC96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১০ বছরের উপরে</w:t>
            </w:r>
          </w:p>
        </w:tc>
      </w:tr>
      <w:tr w:rsidR="00A573A4" w:rsidTr="00464CA2"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ইউরিয়া (গ্রাম)</w:t>
            </w:r>
          </w:p>
        </w:tc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১৭৫-২২৫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২৭০-৩০০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৫০০-৬০০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৬০০-৭০০</w:t>
            </w:r>
          </w:p>
        </w:tc>
      </w:tr>
      <w:tr w:rsidR="00A573A4" w:rsidTr="00464CA2"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টিএসপি (গ্রাম)</w:t>
            </w:r>
          </w:p>
        </w:tc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৮০-৯০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১৪০-১৭০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৪০০-৪৫০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৪০০-৪৫০</w:t>
            </w:r>
          </w:p>
        </w:tc>
      </w:tr>
      <w:tr w:rsidR="00A573A4" w:rsidTr="00464CA2"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এমপি (গ্রাম)</w:t>
            </w:r>
          </w:p>
        </w:tc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১৪০-১৬০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৪০০-৪৫০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৪৫০-৫০০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৬০০-৬৮০</w:t>
            </w:r>
          </w:p>
        </w:tc>
      </w:tr>
      <w:tr w:rsidR="00A573A4" w:rsidTr="00464CA2"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গোবর  (কেজি)</w:t>
            </w:r>
          </w:p>
        </w:tc>
        <w:tc>
          <w:tcPr>
            <w:tcW w:w="1848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৭-১১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১০-২০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১৫-২৫</w:t>
            </w:r>
          </w:p>
        </w:tc>
        <w:tc>
          <w:tcPr>
            <w:tcW w:w="1849" w:type="dxa"/>
            <w:shd w:val="clear" w:color="auto" w:fill="D99594"/>
          </w:tcPr>
          <w:p w:rsidR="00A573A4" w:rsidRDefault="00A573A4" w:rsidP="00464CA2">
            <w:pPr>
              <w:jc w:val="both"/>
              <w:rPr>
                <w:sz w:val="28"/>
                <w:szCs w:val="28"/>
              </w:rPr>
            </w:pPr>
            <w:r>
              <w:rPr>
                <w:rFonts w:ascii="Nikosh" w:eastAsia="Nikosh" w:hAnsi="Nikosh" w:cs="Nikosh"/>
                <w:sz w:val="28"/>
                <w:szCs w:val="28"/>
                <w:cs/>
              </w:rPr>
              <w:t>২৫-৩০</w:t>
            </w:r>
          </w:p>
        </w:tc>
      </w:tr>
    </w:tbl>
    <w:p w:rsidR="00A573A4" w:rsidRDefault="00A573A4" w:rsidP="00A573A4">
      <w:pPr>
        <w:jc w:val="both"/>
        <w:rPr>
          <w:sz w:val="28"/>
          <w:szCs w:val="28"/>
        </w:rPr>
      </w:pP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সার প্রয়োগের সময়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এ সার মধ্য-মাঘ থেকে মধ্য-ফাল্গুন  (ফে</w:t>
      </w:r>
      <w:r w:rsidR="005F2332">
        <w:rPr>
          <w:rFonts w:ascii="Nikosh" w:eastAsia="Nikosh" w:hAnsi="Nikosh" w:cs="Nikosh" w:hint="cs"/>
          <w:sz w:val="28"/>
          <w:szCs w:val="28"/>
          <w:cs/>
        </w:rPr>
        <w:t>ব্রু</w:t>
      </w:r>
      <w:r>
        <w:rPr>
          <w:rFonts w:ascii="Nikosh" w:eastAsia="Nikosh" w:hAnsi="Nikosh" w:cs="Nikosh"/>
          <w:sz w:val="28"/>
          <w:szCs w:val="28"/>
          <w:cs/>
        </w:rPr>
        <w:t>য়ারি), মধ্য-বৈশাখ থেকে মধ্য-</w:t>
      </w:r>
      <w:r w:rsidR="005F2332">
        <w:rPr>
          <w:rFonts w:ascii="Nikosh" w:eastAsia="Nikosh" w:hAnsi="Nikosh" w:cs="Nikosh"/>
          <w:sz w:val="28"/>
          <w:szCs w:val="28"/>
          <w:cs/>
        </w:rPr>
        <w:t>জ্যৈ</w:t>
      </w:r>
      <w:r>
        <w:rPr>
          <w:rFonts w:ascii="Nikosh" w:eastAsia="Nikosh" w:hAnsi="Nikosh" w:cs="Nikosh"/>
          <w:sz w:val="28"/>
          <w:szCs w:val="28"/>
          <w:cs/>
        </w:rPr>
        <w:t>ষ্ঠ (মে) ও মধ্য-আশ্বিন থেকে মধ্য-কার্তিক (অক্টোবর) মাসে প্রয়োগ করা হয়।</w:t>
      </w:r>
    </w:p>
    <w:p w:rsidR="00A573A4" w:rsidRDefault="00A573A4" w:rsidP="00A573A4">
      <w:pPr>
        <w:jc w:val="both"/>
        <w:rPr>
          <w:color w:val="00B0F0"/>
          <w:sz w:val="40"/>
          <w:szCs w:val="40"/>
        </w:rPr>
      </w:pP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অঙ্গ ছাঁটাই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প্রতিবছর ফল আহরণের পর অবাঞ্ছিত ডালপালা ছাঁটাই করতে হবে।</w:t>
      </w: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পানি সেচ ও নিষ্কাশন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শুকনো মৌসুমে ২-৩ বার সেচ দিতে হয়। বর্ষার সময় গাছের গোড়ায় যাতে পানি জমতে না পারে সেজন্য পানি নিষ্কাশনের বব্যস্থা রাখতে হবে।</w:t>
      </w:r>
    </w:p>
    <w:p w:rsidR="00A573A4" w:rsidRPr="00E47E8E" w:rsidRDefault="00A573A4" w:rsidP="00A573A4">
      <w:pPr>
        <w:jc w:val="both"/>
        <w:rPr>
          <w:color w:val="00B0F0"/>
          <w:sz w:val="40"/>
          <w:szCs w:val="40"/>
        </w:rPr>
      </w:pPr>
      <w:r w:rsidRPr="00E47E8E">
        <w:rPr>
          <w:rFonts w:ascii="Nikosh" w:eastAsia="Nikosh" w:hAnsi="Nikosh" w:cs="Nikosh"/>
          <w:color w:val="00B0F0"/>
          <w:sz w:val="40"/>
          <w:szCs w:val="40"/>
          <w:cs/>
        </w:rPr>
        <w:t>ফল সংগ্রহ</w:t>
      </w:r>
    </w:p>
    <w:p w:rsidR="00A573A4" w:rsidRDefault="00A573A4" w:rsidP="00A573A4">
      <w:pPr>
        <w:jc w:val="both"/>
        <w:rPr>
          <w:sz w:val="28"/>
          <w:szCs w:val="28"/>
        </w:rPr>
      </w:pPr>
      <w:r>
        <w:rPr>
          <w:rFonts w:ascii="Nikosh" w:eastAsia="Nikosh" w:hAnsi="Nikosh" w:cs="Nikosh"/>
          <w:sz w:val="28"/>
          <w:szCs w:val="28"/>
          <w:cs/>
        </w:rPr>
        <w:tab/>
        <w:t>ফল কিছুটা হলদে বর্ণ ধারণ করলে ১লা ভাদ্র থেকে মধ্য-আশ্বিন (মধ্য-আগস্ট থেকে অক্টোবরের ১ম সপ্তাহ) ফল সংগ্রহ করা যায়।</w:t>
      </w:r>
    </w:p>
    <w:p w:rsidR="000748B0" w:rsidRDefault="000748B0"/>
    <w:sectPr w:rsidR="000748B0" w:rsidSect="00074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3A4"/>
    <w:rsid w:val="000748B0"/>
    <w:rsid w:val="002B437B"/>
    <w:rsid w:val="005F2332"/>
    <w:rsid w:val="00A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</dc:creator>
  <cp:lastModifiedBy>TC</cp:lastModifiedBy>
  <cp:revision>2</cp:revision>
  <dcterms:created xsi:type="dcterms:W3CDTF">2014-05-27T04:24:00Z</dcterms:created>
  <dcterms:modified xsi:type="dcterms:W3CDTF">2014-05-27T04:53:00Z</dcterms:modified>
</cp:coreProperties>
</file>