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CF1" w:rsidRPr="00325FC0" w:rsidRDefault="00F00CF1" w:rsidP="00F00CF1">
      <w:pPr>
        <w:pStyle w:val="Heading5"/>
        <w:tabs>
          <w:tab w:val="left" w:pos="7860"/>
        </w:tabs>
        <w:spacing w:before="0" w:line="360" w:lineRule="atLeast"/>
        <w:textAlignment w:val="baseline"/>
        <w:rPr>
          <w:rFonts w:ascii="NikoshBAN" w:hAnsi="NikoshBAN" w:cs="NikoshBAN"/>
          <w:color w:val="181818"/>
          <w:sz w:val="26"/>
          <w:szCs w:val="26"/>
        </w:rPr>
      </w:pPr>
      <w:proofErr w:type="spellStart"/>
      <w:r w:rsidRPr="00325FC0">
        <w:rPr>
          <w:rFonts w:ascii="NikoshBAN" w:hAnsi="NikoshBAN" w:cs="NikoshBAN"/>
          <w:b/>
          <w:bCs/>
          <w:color w:val="181818"/>
          <w:sz w:val="26"/>
          <w:szCs w:val="26"/>
        </w:rPr>
        <w:t>বস্থাপনা</w:t>
      </w:r>
      <w:proofErr w:type="spellEnd"/>
      <w:r w:rsidRPr="00325FC0">
        <w:rPr>
          <w:rFonts w:ascii="NikoshBAN" w:hAnsi="NikoshBAN" w:cs="NikoshBAN"/>
          <w:b/>
          <w:bCs/>
          <w:color w:val="181818"/>
          <w:sz w:val="26"/>
          <w:szCs w:val="26"/>
        </w:rPr>
        <w:t xml:space="preserve"> </w:t>
      </w:r>
      <w:proofErr w:type="spellStart"/>
      <w:r w:rsidRPr="00325FC0">
        <w:rPr>
          <w:rFonts w:ascii="NikoshBAN" w:hAnsi="NikoshBAN" w:cs="NikoshBAN"/>
          <w:b/>
          <w:bCs/>
          <w:color w:val="181818"/>
          <w:sz w:val="26"/>
          <w:szCs w:val="26"/>
        </w:rPr>
        <w:t>কমিটি</w:t>
      </w:r>
      <w:proofErr w:type="spellEnd"/>
      <w:r w:rsidRPr="00325FC0">
        <w:rPr>
          <w:rFonts w:ascii="NikoshBAN" w:hAnsi="NikoshBAN" w:cs="NikoshBAN"/>
          <w:b/>
          <w:bCs/>
          <w:color w:val="181818"/>
          <w:sz w:val="26"/>
          <w:szCs w:val="26"/>
        </w:rPr>
        <w:t xml:space="preserve"> </w:t>
      </w:r>
      <w:proofErr w:type="spellStart"/>
      <w:r w:rsidRPr="00325FC0">
        <w:rPr>
          <w:rFonts w:ascii="NikoshBAN" w:hAnsi="NikoshBAN" w:cs="NikoshBAN"/>
          <w:b/>
          <w:bCs/>
          <w:color w:val="181818"/>
          <w:sz w:val="26"/>
          <w:szCs w:val="26"/>
        </w:rPr>
        <w:t>গঠন</w:t>
      </w:r>
      <w:proofErr w:type="spellEnd"/>
      <w:r w:rsidRPr="00325FC0">
        <w:rPr>
          <w:rFonts w:ascii="NikoshBAN" w:hAnsi="NikoshBAN" w:cs="NikoshBAN"/>
          <w:b/>
          <w:bCs/>
          <w:color w:val="181818"/>
          <w:sz w:val="26"/>
          <w:szCs w:val="26"/>
        </w:rPr>
        <w:tab/>
      </w:r>
    </w:p>
    <w:tbl>
      <w:tblPr>
        <w:tblpPr w:leftFromText="45" w:rightFromText="45" w:vertAnchor="text" w:tblpX="-90"/>
        <w:tblW w:w="909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877"/>
        <w:gridCol w:w="2909"/>
        <w:gridCol w:w="1800"/>
        <w:gridCol w:w="1800"/>
      </w:tblGrid>
      <w:tr w:rsidR="00F00CF1" w:rsidRPr="00325FC0" w:rsidTr="00325FC0">
        <w:trPr>
          <w:trHeight w:val="105"/>
        </w:trPr>
        <w:tc>
          <w:tcPr>
            <w:tcW w:w="9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Heading2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150" w:afterAutospacing="0" w:line="105" w:lineRule="atLeast"/>
              <w:textAlignment w:val="baseline"/>
              <w:rPr>
                <w:rFonts w:ascii="NikoshBAN" w:hAnsi="NikoshBAN" w:cs="NikoshBAN"/>
                <w:b w:val="0"/>
                <w:bCs w:val="0"/>
                <w:color w:val="181818"/>
                <w:sz w:val="53"/>
                <w:szCs w:val="53"/>
              </w:rPr>
            </w:pPr>
            <w:r w:rsidRPr="00325FC0">
              <w:rPr>
                <w:rFonts w:ascii="NikoshBAN" w:hAnsi="NikoshBAN" w:cs="NikoshBAN"/>
                <w:b w:val="0"/>
                <w:bCs w:val="0"/>
                <w:color w:val="181818"/>
                <w:sz w:val="53"/>
                <w:szCs w:val="53"/>
              </w:rPr>
              <w:t> </w:t>
            </w:r>
          </w:p>
        </w:tc>
      </w:tr>
      <w:tr w:rsidR="00325FC0" w:rsidRPr="00325FC0" w:rsidTr="00325FC0">
        <w:trPr>
          <w:trHeight w:val="10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প্রদানকারী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অফিসের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দায়িত্বপ্রাপ্ত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 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কর্মকর্তা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স্থান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সময়</w:t>
            </w:r>
            <w:proofErr w:type="spellEnd"/>
          </w:p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0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> </w:t>
            </w:r>
          </w:p>
        </w:tc>
      </w:tr>
      <w:tr w:rsidR="00325FC0" w:rsidRPr="00325FC0" w:rsidTr="00325FC0">
        <w:trPr>
          <w:trHeight w:val="22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বিভাগীয়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কার্যালয়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অধিদপ্তর</w:t>
            </w:r>
            <w:proofErr w:type="spellEnd"/>
          </w:p>
        </w:tc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 xml:space="preserve">১.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="00174766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="00174766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সহকা</w:t>
            </w:r>
            <w:bookmarkStart w:id="0" w:name="_GoBack"/>
            <w:bookmarkEnd w:id="0"/>
            <w:r w:rsidRPr="00325FC0">
              <w:rPr>
                <w:rFonts w:ascii="NikoshBAN" w:hAnsi="NikoshBAN" w:cs="NikoshBAN"/>
                <w:color w:val="000000"/>
              </w:rPr>
              <w:t>রী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</w:p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 xml:space="preserve">২.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</w:p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 xml:space="preserve">৩.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উপ-নিবন্ধক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(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)</w:t>
            </w:r>
          </w:p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 xml:space="preserve">৪.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অতিরিক্ত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বিভাগীয়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কার্যালয়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অধিদপ্তর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22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সবোর্চ্চ</w:t>
            </w:r>
            <w:proofErr w:type="spellEnd"/>
            <w:r w:rsidR="00174766">
              <w:rPr>
                <w:rFonts w:ascii="NikoshBAN" w:hAnsi="NikoshBAN" w:cs="NikoshBAN"/>
                <w:color w:val="000000"/>
              </w:rPr>
              <w:t xml:space="preserve"> </w:t>
            </w:r>
            <w:r w:rsidRPr="00325FC0">
              <w:rPr>
                <w:rFonts w:ascii="NikoshBAN" w:hAnsi="NikoshBAN" w:cs="NikoshBAN"/>
                <w:color w:val="000000"/>
              </w:rPr>
              <w:t>৪৫দিন (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 w:rsidR="004E12A6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অনুসারে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)</w:t>
            </w:r>
          </w:p>
        </w:tc>
      </w:tr>
      <w:tr w:rsidR="00325FC0" w:rsidRPr="00325FC0" w:rsidTr="00325FC0">
        <w:trPr>
          <w:trHeight w:val="120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2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প্রদানের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সংক্ষিপ্ত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বিবরণ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অনুযায়ী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প্রতিটি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মেয়াদ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৩(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তিন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)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বছর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ফলে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মেয়াদ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পূর্তির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পূর্বে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মাধ্যমে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পদক্ষেপ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গ্রহণ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করতে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লক্ষ্যে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নিমিত্ত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আবেদনকারী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নির্বাচনঅনুষ্ঠানের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কমপক্ষে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৪৫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দিন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পূর্বে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সংশ্লিষ্ট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থানাসমবায়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অফিসারের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মাধ্যমে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জাতীয়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মহাপরিচালক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বরাবরে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কেন্দ্রীয়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ও 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প্রাথমিক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(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যে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সমস্ত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প্রাথমিক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পরিশোধিত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শেয়ার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মূলধন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৫০,০০০/-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টাকার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উর্দ্ধে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সকল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)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পরিশোধিত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শেয়ার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মূলধন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৫০,০০০/-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টাকা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পর্যন্ত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হলে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 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বরাবর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আবেদন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দাখিল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দাখিলকৃত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আবেদন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সংশ্লিষ্ট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কর্তৃপক্ষ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যাচাই-বাছাই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শেষে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অনুষ্ঠানের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৪০দিন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পূর্বে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আদেশ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আদেশটি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সংশ্লিষ্ট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/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দপ্তরে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প্রেরণ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।</w:t>
            </w:r>
          </w:p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2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পরবর্তীতে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কর্তৃক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তফসিল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জারি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তফসিল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মোতাবেক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যাবতীয়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কার্যক্রম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শেষে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ফলাফল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ঘোষণা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উক্ত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ফলাফল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সংশ্লিষ্ট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প্রার্থী</w:t>
            </w:r>
            <w:proofErr w:type="spellEnd"/>
            <w:r w:rsidRPr="00325FC0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,</w:t>
            </w:r>
            <w:r w:rsidRPr="00325FC0">
              <w:rPr>
                <w:rFonts w:ascii="NikoshBAN" w:hAnsi="NikoshBAN" w:cs="NikoshBAN"/>
                <w:color w:val="000000"/>
              </w:rPr>
              <w:t> 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দপ্তরে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প্রেরণ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 </w:t>
            </w:r>
            <w:r w:rsidRPr="00325FC0">
              <w:rPr>
                <w:rFonts w:ascii="NikoshBAN" w:hAnsi="NikoshBAN" w:cs="NikoshBAN"/>
                <w:color w:val="000000"/>
                <w:bdr w:val="none" w:sz="0" w:space="0" w:color="auto" w:frame="1"/>
                <w:cs/>
                <w:lang w:bidi="bn-IN"/>
              </w:rPr>
              <w:t>মাধ্যমে</w:t>
            </w:r>
            <w:r w:rsidRPr="00325FC0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 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কার্যক্রম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শেষ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।</w:t>
            </w:r>
          </w:p>
        </w:tc>
      </w:tr>
      <w:tr w:rsidR="00325FC0" w:rsidRPr="00325FC0" w:rsidTr="00325FC0">
        <w:trPr>
          <w:trHeight w:val="150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5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শর্তাবলি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5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ওবিধিমালায়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বর্ণিত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শর্তাবলি</w:t>
            </w:r>
            <w:proofErr w:type="spellEnd"/>
          </w:p>
        </w:tc>
      </w:tr>
      <w:tr w:rsidR="00325FC0" w:rsidRPr="00325FC0" w:rsidTr="00325FC0">
        <w:trPr>
          <w:trHeight w:val="90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কাগজপত্র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আবেদনপত্রওসাংগঠনিকসভাররেজুলেশন</w:t>
            </w:r>
            <w:proofErr w:type="spellEnd"/>
          </w:p>
        </w:tc>
      </w:tr>
      <w:tr w:rsidR="00325FC0" w:rsidRPr="00325FC0" w:rsidTr="00325FC0">
        <w:trPr>
          <w:trHeight w:val="13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3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ফি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ট্যাক্স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আনুষঙ্গিক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lastRenderedPageBreak/>
              <w:t>খরচ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3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lastRenderedPageBreak/>
              <w:t>বিনামূল্যে</w:t>
            </w:r>
            <w:proofErr w:type="spellEnd"/>
          </w:p>
        </w:tc>
      </w:tr>
      <w:tr w:rsidR="00325FC0" w:rsidRPr="00325FC0" w:rsidTr="00325FC0">
        <w:trPr>
          <w:trHeight w:val="75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7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lastRenderedPageBreak/>
              <w:t>সংশ্লিষ্ট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আইন-কানুন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বিধি-বিধান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নীতিমালা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75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ওবিধিমালা</w:t>
            </w:r>
            <w:proofErr w:type="spellEnd"/>
          </w:p>
        </w:tc>
      </w:tr>
      <w:tr w:rsidR="00325FC0" w:rsidRPr="00325FC0" w:rsidTr="00325FC0">
        <w:trPr>
          <w:trHeight w:val="180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8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নির্দিষ্ট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পেতে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ব্যর্থ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হলে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পরবর্তী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প্রতিকারকারী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কর্মকর্তা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18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প্রাথমিক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কেন্দ্রীয়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ওজাতীয়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সচিব</w:t>
            </w:r>
            <w:proofErr w:type="spellEnd"/>
          </w:p>
        </w:tc>
      </w:tr>
      <w:tr w:rsidR="00325FC0" w:rsidRPr="00325FC0" w:rsidTr="00325FC0">
        <w:trPr>
          <w:trHeight w:val="90"/>
        </w:trPr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প্রদান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 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ক্ষেত্রে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অসুবিধাসমূহ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ক)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নাগরিক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সমবায়আইনওবিধিসর্ম্পকেসদস্যদেরস্বচ্ছধারণানাথাকায়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সঠিক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সময়ে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গঠনের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আবেদন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হয়না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।</w:t>
            </w:r>
          </w:p>
        </w:tc>
      </w:tr>
      <w:tr w:rsidR="00325FC0" w:rsidRPr="00325FC0" w:rsidTr="00325FC0">
        <w:trPr>
          <w:trHeight w:val="90"/>
        </w:trPr>
        <w:tc>
          <w:tcPr>
            <w:tcW w:w="1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CF1" w:rsidRPr="00325FC0" w:rsidRDefault="00F00CF1" w:rsidP="00F00CF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rFonts w:ascii="NikoshBAN" w:hAnsi="NikoshBAN" w:cs="NikoshBAN"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খ)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সরকারি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নিবন্ধিত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সকল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সংক্রান্ত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নির্বাচনী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ক্যালেন্ডার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 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সঠিকভাবে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সংরক্ষণ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ফলে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সঠিক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সময়ে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অনুষ্ঠান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করা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সম্ভব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325FC0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  <w:r w:rsidRPr="00325FC0">
              <w:rPr>
                <w:rFonts w:ascii="NikoshBAN" w:hAnsi="NikoshBAN" w:cs="NikoshBAN"/>
                <w:color w:val="000000"/>
              </w:rPr>
              <w:t>।</w:t>
            </w:r>
          </w:p>
        </w:tc>
      </w:tr>
      <w:tr w:rsidR="00325FC0" w:rsidRPr="00325FC0" w:rsidTr="00034692">
        <w:trPr>
          <w:trHeight w:val="1358"/>
        </w:trPr>
        <w:tc>
          <w:tcPr>
            <w:tcW w:w="2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বিবিধ</w:t>
            </w:r>
            <w:proofErr w:type="spellEnd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/</w:t>
            </w:r>
            <w:proofErr w:type="spellStart"/>
            <w:r w:rsidRPr="00325FC0">
              <w:rPr>
                <w:rStyle w:val="Strong"/>
                <w:rFonts w:ascii="NikoshBAN" w:eastAsiaTheme="majorEastAsia" w:hAnsi="NikoshBAN" w:cs="NikoshBAN"/>
                <w:color w:val="333333"/>
                <w:bdr w:val="none" w:sz="0" w:space="0" w:color="auto" w:frame="1"/>
              </w:rPr>
              <w:t>অন্যান্য</w:t>
            </w:r>
            <w:proofErr w:type="spellEnd"/>
          </w:p>
        </w:tc>
        <w:tc>
          <w:tcPr>
            <w:tcW w:w="6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480" w:lineRule="auto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> </w:t>
            </w:r>
          </w:p>
          <w:p w:rsidR="00F00CF1" w:rsidRPr="00325FC0" w:rsidRDefault="00F00CF1" w:rsidP="00F00CF1">
            <w:pPr>
              <w:pStyle w:val="NormalWeb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0" w:beforeAutospacing="0" w:after="0" w:afterAutospacing="0" w:line="90" w:lineRule="atLeast"/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r w:rsidRPr="00325FC0">
              <w:rPr>
                <w:rFonts w:ascii="NikoshBAN" w:hAnsi="NikoshBAN" w:cs="NikoshBAN"/>
                <w:color w:val="000000"/>
              </w:rPr>
              <w:t> </w:t>
            </w:r>
          </w:p>
        </w:tc>
      </w:tr>
    </w:tbl>
    <w:p w:rsidR="00076C6D" w:rsidRPr="00325FC0" w:rsidRDefault="00076C6D" w:rsidP="00F00C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NikoshBAN" w:hAnsi="NikoshBAN" w:cs="NikoshBAN"/>
        </w:rPr>
      </w:pPr>
    </w:p>
    <w:sectPr w:rsidR="00076C6D" w:rsidRPr="00325FC0" w:rsidSect="00EB4B6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1A7F"/>
    <w:multiLevelType w:val="multilevel"/>
    <w:tmpl w:val="79E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F"/>
    <w:rsid w:val="00034692"/>
    <w:rsid w:val="00076C6D"/>
    <w:rsid w:val="00174766"/>
    <w:rsid w:val="00325FC0"/>
    <w:rsid w:val="004E12A6"/>
    <w:rsid w:val="0068745F"/>
    <w:rsid w:val="0073165D"/>
    <w:rsid w:val="009B58DC"/>
    <w:rsid w:val="00EB4B61"/>
    <w:rsid w:val="00F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344</Words>
  <Characters>1962</Characters>
  <Application>Microsoft Office Word</Application>
  <DocSecurity>0</DocSecurity>
  <Lines>16</Lines>
  <Paragraphs>4</Paragraphs>
  <ScaleCrop>false</ScaleCrop>
  <Company>home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11</cp:revision>
  <dcterms:created xsi:type="dcterms:W3CDTF">2019-10-29T07:24:00Z</dcterms:created>
  <dcterms:modified xsi:type="dcterms:W3CDTF">2019-10-29T10:32:00Z</dcterms:modified>
</cp:coreProperties>
</file>