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459"/>
        <w:gridCol w:w="3549"/>
        <w:gridCol w:w="2070"/>
        <w:gridCol w:w="1260"/>
      </w:tblGrid>
      <w:tr w:rsidR="00EB4B61" w:rsidRPr="00EB4B61" w:rsidTr="00EB4B61">
        <w:trPr>
          <w:trHeight w:val="105"/>
        </w:trPr>
        <w:tc>
          <w:tcPr>
            <w:tcW w:w="9630" w:type="dxa"/>
            <w:gridSpan w:val="5"/>
            <w:tcBorders>
              <w:bottom w:val="single" w:sz="4" w:space="0" w:color="auto"/>
            </w:tcBorders>
            <w:hideMark/>
          </w:tcPr>
          <w:p w:rsidR="00EB4B61" w:rsidRPr="00EB4B61" w:rsidRDefault="00EB4B61" w:rsidP="00EB4B61">
            <w:pPr>
              <w:pStyle w:val="Heading5"/>
              <w:spacing w:before="0" w:line="360" w:lineRule="atLeast"/>
              <w:jc w:val="center"/>
              <w:textAlignment w:val="baseline"/>
              <w:rPr>
                <w:rFonts w:ascii="kalpurushregular" w:hAnsi="kalpurushregular"/>
                <w:color w:val="181818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EB4B61">
              <w:rPr>
                <w:rFonts w:ascii="Nirmala UI" w:hAnsi="Nirmala UI" w:cs="Nirmala UI"/>
                <w:b/>
                <w:bCs/>
                <w:color w:val="181818"/>
                <w:sz w:val="72"/>
                <w:szCs w:val="26"/>
              </w:rPr>
              <w:t>উপ</w:t>
            </w:r>
            <w:r w:rsidRPr="00EB4B61">
              <w:rPr>
                <w:rFonts w:ascii="kalpurushregular" w:hAnsi="kalpurushregular"/>
                <w:b/>
                <w:bCs/>
                <w:color w:val="181818"/>
                <w:sz w:val="44"/>
                <w:szCs w:val="26"/>
              </w:rPr>
              <w:t>-</w:t>
            </w:r>
            <w:r w:rsidRPr="00EB4B61">
              <w:rPr>
                <w:rFonts w:ascii="Nirmala UI" w:hAnsi="Nirmala UI" w:cs="Nirmala UI"/>
                <w:b/>
                <w:bCs/>
                <w:color w:val="181818"/>
                <w:sz w:val="72"/>
                <w:szCs w:val="26"/>
              </w:rPr>
              <w:t>আইন</w:t>
            </w:r>
            <w:proofErr w:type="spellEnd"/>
            <w:r w:rsidRPr="00EB4B61">
              <w:rPr>
                <w:rFonts w:ascii="kalpurushregular" w:hAnsi="kalpurushregular"/>
                <w:b/>
                <w:bCs/>
                <w:color w:val="181818"/>
                <w:sz w:val="44"/>
                <w:szCs w:val="26"/>
              </w:rPr>
              <w:t xml:space="preserve"> </w:t>
            </w:r>
            <w:proofErr w:type="spellStart"/>
            <w:r w:rsidRPr="00EB4B61">
              <w:rPr>
                <w:rFonts w:ascii="Nirmala UI" w:hAnsi="Nirmala UI" w:cs="Nirmala UI"/>
                <w:b/>
                <w:bCs/>
                <w:color w:val="181818"/>
                <w:sz w:val="72"/>
                <w:szCs w:val="26"/>
              </w:rPr>
              <w:t>সংশোধন</w:t>
            </w:r>
            <w:proofErr w:type="spellEnd"/>
          </w:p>
        </w:tc>
      </w:tr>
      <w:tr w:rsidR="00EB4B61" w:rsidRPr="00EB4B61" w:rsidTr="00EB4B61">
        <w:trPr>
          <w:trHeight w:val="105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প্রদানকারী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অফিসের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নাম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দায়িত্বপ্রাপ্ত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কর্মকর্তা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কর্মচারী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প্রাপ্তির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স্থান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প্রয়োজনীয়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সময়</w:t>
            </w:r>
            <w:proofErr w:type="spellEnd"/>
          </w:p>
        </w:tc>
      </w:tr>
      <w:tr w:rsidR="00EB4B61" w:rsidRPr="00EB4B61" w:rsidTr="00EB4B61">
        <w:trPr>
          <w:trHeight w:val="225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অধিদপ্তর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মেট্টোপলিটন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থানা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সহকারী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(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অতিরিক্ত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(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অডিট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অডিট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সহকারী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(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পরিদর্শক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মেট্টোপলিটন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থানা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অধিদপ্তর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সবোর্চ্চ৬০দিন (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আইনঅনুসারে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)</w:t>
            </w:r>
          </w:p>
        </w:tc>
      </w:tr>
      <w:tr w:rsidR="00EB4B61" w:rsidRPr="00EB4B61" w:rsidTr="00EB4B61">
        <w:trPr>
          <w:trHeight w:val="120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প্রদানের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সংক্ষিপ্ত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বিবরণ</w:t>
            </w:r>
            <w:proofErr w:type="spellEnd"/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কর্মকান্ডের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প্রয়োজনে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নিবন্ধিত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কেন্দ্রীয়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প্রাথমিক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কোন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বিধান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পারে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এজন্য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নিম্নলিখিত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পদক্ষেপ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অনুসরন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হবে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: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ক)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জাতীয়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ক্ষেত্রে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: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          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ক্ষমতাপ্রাপ্ত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প্রতিনিধিগণ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আবেদনএবং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বিধিমালা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অনুযায়ী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পর্যালোচনাকরত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মন্তব্যসহ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অগ্রায়ন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নিজে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যাচাইপূর্বক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মন্তব্যসহ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অগ্রায়ন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 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নিজে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অধীনস্থ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কোন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কমর্কর্তা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যাচাইপূর্বক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মন্তব্যসহ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‌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মহাপরিচালক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অগ্রায়ন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করেন।আবেদন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প্রাপ্তির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মহাপরিচালক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বিবেচনায়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প্রয়োজনীয়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হলে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আদেশ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করেন।উপ-আইন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কোন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আপত্তি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থাকলে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তাঁর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অতিরিক্ত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সহকারী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প্রতিবেদনের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আলোকে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আদেশ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অথবা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জন্য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মঞ্জুর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খ)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কেন্দ্রীয়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ক্ষেত্রে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: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কেন্দ্রীয়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ক্ষমতাপ্রাপ্ত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প্রতিনিধিগণ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আবেদনএবং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বিধিমালা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অনুযায়ী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পর্যালোচনাকরত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মন্তব্যসহ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অগ্রায়ন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নিজে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যাচাইপূর্বক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মন্তব্যসহ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অগ্রায়ন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      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প্রাপ্তির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বিবেচনায়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প্রয়োজনীয়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হলে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আদেশ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          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কোন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আপত্তি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থাকলে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তাঁর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সহকারী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করাবেন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প্রতিবেদনের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আলোকে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আদেশ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অথবা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জন্য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মঞ্জুর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গ)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কেন্দ্রীয়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ক্ষেত্রে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: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          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প্রাথমিক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ক্ষমতাপ্রাপ্ত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প্রতিনিধিগণ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আবেদনএবং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বিধিমালা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অনুযায়ী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lastRenderedPageBreak/>
              <w:t>হবে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নিজে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সহকারী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যাচাইপূর্বক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মন্তব্যসহ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অগ্রায়ন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করবেন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প্রাপ্তির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বিবেচনায়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প্রয়োজনীয়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হলে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আদেশ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করেন।উপ-আইন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কোন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আপত্তি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থাকলে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তাঁর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করাবেন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প্রতিবেদনের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আলোকে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আদেশ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অথবা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জন্য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মঞ্জুর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</w:tc>
      </w:tr>
      <w:tr w:rsidR="00EB4B61" w:rsidRPr="00EB4B61" w:rsidTr="00EB4B61">
        <w:trPr>
          <w:trHeight w:val="150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সেবা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প্রাপ্তির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শর্তাবলি</w:t>
            </w:r>
            <w:proofErr w:type="spellEnd"/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১.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২০০১ (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সংশোধিত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২০০২ ও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সংশোধিত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২০১৩)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২.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বিধিমালা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২০০৪</w:t>
            </w:r>
          </w:p>
        </w:tc>
      </w:tr>
      <w:tr w:rsidR="00EB4B61" w:rsidRPr="00EB4B61" w:rsidTr="00EB4B61">
        <w:trPr>
          <w:trHeight w:val="90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প্রয়োজনীয়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কাগজপত্র</w:t>
            </w:r>
            <w:proofErr w:type="spellEnd"/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আবেদনপত্র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সদস্যদের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স্বাক্ষরযুক্ত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তিন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প্রস্ত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সংশোধিত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উপ-আইন,সাংগঠনিক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সভার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রেজুলেশন</w:t>
            </w:r>
            <w:proofErr w:type="spellEnd"/>
          </w:p>
        </w:tc>
      </w:tr>
      <w:tr w:rsidR="00EB4B61" w:rsidRPr="00EB4B61" w:rsidTr="00EB4B61">
        <w:trPr>
          <w:trHeight w:val="135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প্রয়োজনীয়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ফি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ট্যাক্স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আনুষঙ্গিক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খরচ</w:t>
            </w:r>
            <w:proofErr w:type="spellEnd"/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কোন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দিতে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হয়না</w:t>
            </w:r>
            <w:proofErr w:type="spellEnd"/>
          </w:p>
        </w:tc>
      </w:tr>
      <w:tr w:rsidR="00EB4B61" w:rsidRPr="00EB4B61" w:rsidTr="00EB4B61">
        <w:trPr>
          <w:trHeight w:val="75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সংশ্লিষ্টআইনকানুন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বিধি-বিধান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নীতিমালা</w:t>
            </w:r>
            <w:proofErr w:type="spellEnd"/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১.সমবায়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২০০১ (সংশোধিত,২০০২ ও সংশোধিত,২০১৩)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২.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বিধিমালা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২০০৪</w:t>
            </w:r>
          </w:p>
        </w:tc>
      </w:tr>
      <w:tr w:rsidR="00EB4B61" w:rsidRPr="00EB4B61" w:rsidTr="00EB4B61">
        <w:trPr>
          <w:trHeight w:val="180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নির্দিষ্ট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প্রদানে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ব্যর্থ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হলে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পরবর্তী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প্রতিকারকারী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কর্মকর্তা</w:t>
            </w:r>
            <w:proofErr w:type="spellEnd"/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প্রাথমিক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ক্ষেত্রে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কেন্দ্রীয়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ক্ষেত্রে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ওজাতীয়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ক্ষেত্রে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সচিব</w:t>
            </w:r>
            <w:proofErr w:type="spellEnd"/>
          </w:p>
        </w:tc>
      </w:tr>
      <w:tr w:rsidR="00EB4B61" w:rsidRPr="00EB4B61" w:rsidTr="00EB4B61">
        <w:trPr>
          <w:trHeight w:val="90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প্রদান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 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প্রাপ্তির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ক্ষেত্রে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অসুবিধাসমূহ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ক)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নাগরিক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পর্যায়</w:t>
            </w:r>
            <w:proofErr w:type="spellEnd"/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নিবন্ধিত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সর্ম্পকে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সদস্যদের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বিশেষত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ব্যবস্থাপনা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কমিটির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সদস্যদের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স্বচ্ছ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ধারনা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</w:tc>
      </w:tr>
      <w:tr w:rsidR="00EB4B61" w:rsidRPr="00EB4B61" w:rsidTr="00EB4B61">
        <w:trPr>
          <w:trHeight w:val="90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61" w:rsidRPr="00EB4B61" w:rsidRDefault="00EB4B61" w:rsidP="00EB4B61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খ)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সরকারি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পর্যায়</w:t>
            </w:r>
            <w:proofErr w:type="spellEnd"/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numPr>
                <w:ilvl w:val="0"/>
                <w:numId w:val="1"/>
              </w:numPr>
              <w:spacing w:after="180" w:line="240" w:lineRule="auto"/>
              <w:ind w:left="300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সকল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কার্যক্রম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নিবন্ধিত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উপ-আইনের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আলোকে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পরিচালিত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হচ্ছে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কি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স্বল্পসময়েযাচাইকরাঅনেককষ্টসাধ্যব্যাপারহয়েদাঁড়ায়</w:t>
            </w:r>
            <w:proofErr w:type="spellEnd"/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</w:tc>
      </w:tr>
      <w:tr w:rsidR="00EB4B61" w:rsidRPr="00EB4B61" w:rsidTr="00EB4B61">
        <w:trPr>
          <w:trHeight w:val="90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বিবিধ</w:t>
            </w:r>
            <w:proofErr w:type="spellEnd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B4B61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অন্যান্য</w:t>
            </w:r>
            <w:proofErr w:type="spellEnd"/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  <w:p w:rsidR="00EB4B61" w:rsidRPr="00EB4B61" w:rsidRDefault="00EB4B61" w:rsidP="00EB4B61">
            <w:pPr>
              <w:spacing w:after="0" w:line="24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EB4B61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</w:tr>
    </w:tbl>
    <w:p w:rsidR="00076C6D" w:rsidRPr="00EB4B61" w:rsidRDefault="00076C6D" w:rsidP="00EB4B61">
      <w:pPr>
        <w:spacing w:line="240" w:lineRule="auto"/>
        <w:rPr>
          <w:rFonts w:ascii="NikoshBAN" w:hAnsi="NikoshBAN" w:cs="NikoshBAN"/>
        </w:rPr>
      </w:pPr>
    </w:p>
    <w:sectPr w:rsidR="00076C6D" w:rsidRPr="00EB4B61" w:rsidSect="00EB4B6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B1A7F"/>
    <w:multiLevelType w:val="multilevel"/>
    <w:tmpl w:val="79E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5F"/>
    <w:rsid w:val="00076C6D"/>
    <w:rsid w:val="0068745F"/>
    <w:rsid w:val="00E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3959</Characters>
  <Application>Microsoft Office Word</Application>
  <DocSecurity>0</DocSecurity>
  <Lines>32</Lines>
  <Paragraphs>9</Paragraphs>
  <ScaleCrop>false</ScaleCrop>
  <Company>home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2019-10-29T07:24:00Z</dcterms:created>
  <dcterms:modified xsi:type="dcterms:W3CDTF">2019-10-29T07:27:00Z</dcterms:modified>
</cp:coreProperties>
</file>