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98" w:rsidRPr="00F97417" w:rsidRDefault="00602B98" w:rsidP="007C7A23">
      <w:pPr>
        <w:pStyle w:val="Heading5"/>
        <w:spacing w:before="0" w:line="360" w:lineRule="atLeast"/>
        <w:jc w:val="center"/>
        <w:textAlignment w:val="baseline"/>
        <w:rPr>
          <w:rFonts w:ascii="NikoshBAN" w:hAnsi="NikoshBAN" w:cs="NikoshBAN"/>
          <w:color w:val="181818"/>
          <w:sz w:val="44"/>
          <w:szCs w:val="26"/>
        </w:rPr>
      </w:pPr>
      <w:proofErr w:type="spellStart"/>
      <w:r w:rsidRPr="00F97417">
        <w:rPr>
          <w:rFonts w:ascii="NikoshBAN" w:hAnsi="NikoshBAN" w:cs="NikoshBAN"/>
          <w:b/>
          <w:bCs/>
          <w:color w:val="181818"/>
          <w:sz w:val="44"/>
          <w:szCs w:val="26"/>
        </w:rPr>
        <w:t>কেন্দ্রীয়</w:t>
      </w:r>
      <w:proofErr w:type="spellEnd"/>
      <w:r w:rsidRPr="00F97417">
        <w:rPr>
          <w:rFonts w:ascii="NikoshBAN" w:hAnsi="NikoshBAN" w:cs="NikoshBAN"/>
          <w:b/>
          <w:bCs/>
          <w:color w:val="181818"/>
          <w:sz w:val="44"/>
          <w:szCs w:val="26"/>
        </w:rPr>
        <w:t xml:space="preserve">/ </w:t>
      </w:r>
      <w:proofErr w:type="spellStart"/>
      <w:r w:rsidRPr="00F97417">
        <w:rPr>
          <w:rFonts w:ascii="NikoshBAN" w:hAnsi="NikoshBAN" w:cs="NikoshBAN"/>
          <w:b/>
          <w:bCs/>
          <w:color w:val="181818"/>
          <w:sz w:val="44"/>
          <w:szCs w:val="26"/>
        </w:rPr>
        <w:t>জাতীয়সমবায়</w:t>
      </w:r>
      <w:proofErr w:type="spellEnd"/>
      <w:r w:rsidRPr="00F97417">
        <w:rPr>
          <w:rFonts w:ascii="NikoshBAN" w:hAnsi="NikoshBAN" w:cs="NikoshBAN"/>
          <w:b/>
          <w:bCs/>
          <w:color w:val="181818"/>
          <w:sz w:val="44"/>
          <w:szCs w:val="26"/>
        </w:rPr>
        <w:t xml:space="preserve"> </w:t>
      </w:r>
      <w:proofErr w:type="spellStart"/>
      <w:r w:rsidRPr="00F97417">
        <w:rPr>
          <w:rFonts w:ascii="NikoshBAN" w:hAnsi="NikoshBAN" w:cs="NikoshBAN"/>
          <w:b/>
          <w:bCs/>
          <w:color w:val="181818"/>
          <w:sz w:val="44"/>
          <w:szCs w:val="26"/>
        </w:rPr>
        <w:t>সমিতি</w:t>
      </w:r>
      <w:proofErr w:type="spellEnd"/>
      <w:r w:rsidRPr="00F97417">
        <w:rPr>
          <w:rFonts w:ascii="NikoshBAN" w:hAnsi="NikoshBAN" w:cs="NikoshBAN"/>
          <w:b/>
          <w:bCs/>
          <w:color w:val="181818"/>
          <w:sz w:val="44"/>
          <w:szCs w:val="26"/>
        </w:rPr>
        <w:t xml:space="preserve"> </w:t>
      </w:r>
      <w:proofErr w:type="spellStart"/>
      <w:r w:rsidRPr="00F97417">
        <w:rPr>
          <w:rFonts w:ascii="NikoshBAN" w:hAnsi="NikoshBAN" w:cs="NikoshBAN"/>
          <w:b/>
          <w:bCs/>
          <w:color w:val="181818"/>
          <w:sz w:val="44"/>
          <w:szCs w:val="26"/>
        </w:rPr>
        <w:t>নিবন্ধ</w:t>
      </w:r>
      <w:bookmarkStart w:id="0" w:name="_GoBack"/>
      <w:bookmarkEnd w:id="0"/>
      <w:r w:rsidRPr="00F97417">
        <w:rPr>
          <w:rFonts w:ascii="NikoshBAN" w:hAnsi="NikoshBAN" w:cs="NikoshBAN"/>
          <w:b/>
          <w:bCs/>
          <w:color w:val="181818"/>
          <w:sz w:val="44"/>
          <w:szCs w:val="26"/>
        </w:rPr>
        <w:t>ন</w:t>
      </w:r>
      <w:proofErr w:type="spellEnd"/>
    </w:p>
    <w:tbl>
      <w:tblPr>
        <w:tblpPr w:leftFromText="45" w:rightFromText="45" w:vertAnchor="text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877"/>
        <w:gridCol w:w="2775"/>
        <w:gridCol w:w="1890"/>
        <w:gridCol w:w="1980"/>
      </w:tblGrid>
      <w:tr w:rsidR="00602B98" w:rsidRPr="00602B98" w:rsidTr="00602B98">
        <w:trPr>
          <w:trHeight w:val="105"/>
        </w:trPr>
        <w:tc>
          <w:tcPr>
            <w:tcW w:w="9185" w:type="dxa"/>
            <w:gridSpan w:val="5"/>
            <w:hideMark/>
          </w:tcPr>
          <w:p w:rsidR="00602B98" w:rsidRPr="00602B98" w:rsidRDefault="00602B98" w:rsidP="00602B98">
            <w:pPr>
              <w:spacing w:after="150" w:line="105" w:lineRule="atLeast"/>
              <w:textAlignment w:val="baseline"/>
              <w:outlineLvl w:val="1"/>
              <w:rPr>
                <w:rFonts w:ascii="NikoshBAN" w:eastAsia="Times New Roman" w:hAnsi="NikoshBAN" w:cs="NikoshBAN"/>
                <w:color w:val="181818"/>
                <w:sz w:val="53"/>
                <w:szCs w:val="53"/>
              </w:rPr>
            </w:pPr>
            <w:r w:rsidRPr="00602B98">
              <w:rPr>
                <w:rFonts w:ascii="NikoshBAN" w:eastAsia="Times New Roman" w:hAnsi="NikoshBAN" w:cs="NikoshBAN"/>
                <w:color w:val="181818"/>
                <w:sz w:val="53"/>
                <w:szCs w:val="53"/>
              </w:rPr>
              <w:t> </w:t>
            </w:r>
          </w:p>
        </w:tc>
      </w:tr>
      <w:tr w:rsidR="00602B98" w:rsidRPr="00602B98" w:rsidTr="00602B98">
        <w:trPr>
          <w:trHeight w:val="105"/>
        </w:trPr>
        <w:tc>
          <w:tcPr>
            <w:tcW w:w="2540" w:type="dxa"/>
            <w:gridSpan w:val="2"/>
            <w:hideMark/>
          </w:tcPr>
          <w:p w:rsidR="00602B98" w:rsidRPr="00602B98" w:rsidRDefault="00602B98" w:rsidP="00602B98">
            <w:pPr>
              <w:spacing w:after="0" w:line="10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সেবা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প্রদানকারী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অফিসের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নাম</w:t>
            </w:r>
            <w:proofErr w:type="spellEnd"/>
          </w:p>
        </w:tc>
        <w:tc>
          <w:tcPr>
            <w:tcW w:w="2775" w:type="dxa"/>
            <w:hideMark/>
          </w:tcPr>
          <w:p w:rsidR="00602B98" w:rsidRPr="00602B98" w:rsidRDefault="00602B98" w:rsidP="00602B98">
            <w:pPr>
              <w:spacing w:after="0" w:line="10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দায়িত্বপ্রাপ্ত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কর্মকর্তা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/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কর্মচারী</w:t>
            </w:r>
            <w:proofErr w:type="spellEnd"/>
          </w:p>
        </w:tc>
        <w:tc>
          <w:tcPr>
            <w:tcW w:w="1890" w:type="dxa"/>
            <w:hideMark/>
          </w:tcPr>
          <w:p w:rsidR="00602B98" w:rsidRPr="00602B98" w:rsidRDefault="00602B98" w:rsidP="00602B98">
            <w:pPr>
              <w:spacing w:after="0" w:line="10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সেবা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প্রাপ্তির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স্থান</w:t>
            </w:r>
            <w:proofErr w:type="spellEnd"/>
          </w:p>
        </w:tc>
        <w:tc>
          <w:tcPr>
            <w:tcW w:w="1980" w:type="dxa"/>
            <w:hideMark/>
          </w:tcPr>
          <w:p w:rsidR="00602B98" w:rsidRPr="00602B98" w:rsidRDefault="00602B98" w:rsidP="00602B98">
            <w:pPr>
              <w:spacing w:after="0" w:line="10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প্রয়োজনীয়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সময়</w:t>
            </w:r>
            <w:proofErr w:type="spellEnd"/>
          </w:p>
        </w:tc>
      </w:tr>
      <w:tr w:rsidR="00602B98" w:rsidRPr="00602B98" w:rsidTr="00602B98">
        <w:trPr>
          <w:trHeight w:val="645"/>
        </w:trPr>
        <w:tc>
          <w:tcPr>
            <w:tcW w:w="2540" w:type="dxa"/>
            <w:gridSpan w:val="2"/>
            <w:hideMark/>
          </w:tcPr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১.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বিভাগীয়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কার্যালয়</w:t>
            </w:r>
            <w:proofErr w:type="spellEnd"/>
          </w:p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২.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অধিদপ্তর</w:t>
            </w:r>
            <w:proofErr w:type="spellEnd"/>
          </w:p>
        </w:tc>
        <w:tc>
          <w:tcPr>
            <w:tcW w:w="2775" w:type="dxa"/>
            <w:hideMark/>
          </w:tcPr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১.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অতিরিক্ত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অডিট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)</w:t>
            </w:r>
          </w:p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২.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অডিট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)</w:t>
            </w:r>
          </w:p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৩.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পরিদর্শক</w:t>
            </w:r>
            <w:proofErr w:type="spellEnd"/>
          </w:p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৪</w:t>
            </w: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. 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/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মেট্টোপলিটন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থানাসমবায়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সহকারী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পরিদর্শক</w:t>
            </w:r>
            <w:proofErr w:type="spellEnd"/>
          </w:p>
        </w:tc>
        <w:tc>
          <w:tcPr>
            <w:tcW w:w="1890" w:type="dxa"/>
            <w:hideMark/>
          </w:tcPr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বিভাগীয়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কার্যালয়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অধিদপ্তর</w:t>
            </w:r>
            <w:proofErr w:type="spellEnd"/>
          </w:p>
        </w:tc>
        <w:tc>
          <w:tcPr>
            <w:tcW w:w="1980" w:type="dxa"/>
            <w:hideMark/>
          </w:tcPr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সবোর্চ্চ</w:t>
            </w:r>
            <w:proofErr w:type="spellEnd"/>
            <w:r w:rsidR="007C7A23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৬০দিন (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আইনঅনুসারে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)</w:t>
            </w:r>
          </w:p>
        </w:tc>
      </w:tr>
      <w:tr w:rsidR="00602B98" w:rsidRPr="00602B98" w:rsidTr="00290E83">
        <w:trPr>
          <w:trHeight w:val="6740"/>
        </w:trPr>
        <w:tc>
          <w:tcPr>
            <w:tcW w:w="2540" w:type="dxa"/>
            <w:gridSpan w:val="2"/>
            <w:hideMark/>
          </w:tcPr>
          <w:p w:rsidR="00602B98" w:rsidRPr="00602B98" w:rsidRDefault="00602B98" w:rsidP="00602B98">
            <w:pPr>
              <w:spacing w:after="0" w:line="12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সেবা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প্রদানের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সংক্ষিপ্ত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বিবরণ</w:t>
            </w:r>
            <w:proofErr w:type="spellEnd"/>
          </w:p>
        </w:tc>
        <w:tc>
          <w:tcPr>
            <w:tcW w:w="6645" w:type="dxa"/>
            <w:gridSpan w:val="3"/>
            <w:hideMark/>
          </w:tcPr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কেন্দ্রীয়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জাতীয়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নিবন্ধনের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জন্য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সাধারণ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জনগণ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সরাসরি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পারেনা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।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এক্ষেত্রে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কেন্দ্রীয়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পেতে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কমপক্ষে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১০টি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প্রাথমিক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জাতীয়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জন্য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কমপক্ষে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১০টি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কেন্দ্রীয়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একত্রিত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হয়ে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কেন্দ্রীয়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বিভাগীয়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কার্যালয়ের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বিভাগীয়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জাতীয়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অধিদপ্তরের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মহাপরিচালক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হয়ে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থাকে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 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কেন্দ্রীয়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জাতীয়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পেতে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হলে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নিম্নরূপ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পদক্ষেপ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গ্রহণ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হবে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:</w:t>
            </w:r>
          </w:p>
          <w:p w:rsidR="00602B98" w:rsidRPr="00602B98" w:rsidRDefault="00602B98" w:rsidP="00602B98">
            <w:pPr>
              <w:spacing w:after="0" w:line="480" w:lineRule="auto"/>
              <w:ind w:left="-17"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ক)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কেন্দ্রীয়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সমিতির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ক্ষেত্রে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নিবন্ধিত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কমপক্ষে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১০টি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একই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শ্রেণির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প্রাথমিক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ক্ষমতাপ্রাপ্ত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প্রতিনিধিগণ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আবেদনএবং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নীতিমালা,২০১৩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অনুযায়ী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কাগজপত্র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দাখিলকৃত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পর্যালোচনাকরত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তার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মন্তব্যসহ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বরাবর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অগ্রায়ন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নিজে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সরেজমিনে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যাচাইপূর্বক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মন্তব্যসহ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দাখিলকৃত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বিভাগীয়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বরাবর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অগ্রায়ন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 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প্রাপ্তির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বিভাগীয়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বিবেচনায়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প্রয়োজনীয়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lastRenderedPageBreak/>
              <w:t>কাগজপত্র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হলে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সংক্রান্ত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যাবতীয়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আবেদনকারী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নিকট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প্রেরণ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।</w:t>
            </w:r>
          </w:p>
          <w:p w:rsidR="00602B98" w:rsidRPr="00602B98" w:rsidRDefault="00602B98" w:rsidP="00602B98">
            <w:pPr>
              <w:spacing w:after="0" w:line="480" w:lineRule="auto"/>
              <w:ind w:left="-17"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নিবন্ধনের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আপত্তি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থাকলে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তাঁর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কার্যালয়ের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সহকারী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সরেজমিনে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তদন্ত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করিয়ে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তদন্ত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প্রতিবেদনের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আলোকে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অথবা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সংশোধনের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জন্য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মঞ্জুর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সংক্রান্ত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যাবতীয়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/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মেট্টোপলিটন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থানাসমবায়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অফিসারের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মাধ্যমে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আবেদনকারী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নিকট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প্রেরণ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হয়ে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থাকে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।</w:t>
            </w:r>
          </w:p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খ)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জাতীয়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সমিতির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ক্ষেত্রে</w:t>
            </w:r>
            <w:proofErr w:type="spellEnd"/>
          </w:p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           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নিবন্ধিত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কমপক্ষে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১০টি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একই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শ্রেণির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কেন্দ্রীয়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ক্ষমতাপ্রাপ্ত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প্রতিনিধিগণ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আবেদনএবং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নীতিমালা,২০১৩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অনুযায়ী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কাগজপত্র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দাখিলকৃত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পর্যালোচনাকরত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তার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মন্তব্যসহ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বরাবর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অগ্রায়ন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নিজে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সরেজমিনে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যাচাইপূর্বক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মন্তব্যসহ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দাখিলকৃত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বিভাগীয়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বরাবর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অগ্রায়ন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করবেন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 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নিজে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তার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অধীনস্থ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কোন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কমর্কর্তা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সরেজমিনে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যাচাইপূর্বক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মন্তব্যসহ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দাখিলকৃত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‌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মহাপরিচালক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বরাবর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অগ্রায়ন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।</w:t>
            </w:r>
          </w:p>
          <w:p w:rsidR="00602B98" w:rsidRPr="00602B98" w:rsidRDefault="00602B98" w:rsidP="00602B98">
            <w:pPr>
              <w:spacing w:after="0" w:line="480" w:lineRule="auto"/>
              <w:ind w:left="-17"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            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প্রাপ্তির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মহাপরিচালক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বিবেচনায়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প্রয়োজনীয়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কাগজপত্র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হলে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সংক্রান্ত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যাবতীয়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আবেদনকারী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নিকট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প্রেরণ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।</w:t>
            </w:r>
          </w:p>
          <w:p w:rsidR="00602B98" w:rsidRPr="00602B98" w:rsidRDefault="00602B98" w:rsidP="00602B98">
            <w:pPr>
              <w:spacing w:after="0" w:line="120" w:lineRule="atLeast"/>
              <w:ind w:left="-17"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নিবন্ধনের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আপত্তি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থাকলে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তাঁর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কার্যালয়ের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অতিরিক্ত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উপ-নিবন্ধক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সহকারী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সরেজমিনে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তদন্ত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করিয়ে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তদন্ত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প্রতিবেদনের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আলোকে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অথবা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সংশোধনের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জন্য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মঞ্জুর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সংক্রান্ত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যাবতীয়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/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মেট্টোপলিটন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থানাসমবায়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অফিসারের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মাধ্যমে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আবেদনকারী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নিকট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প্রেরণ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হয়ে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থাকে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।</w:t>
            </w:r>
          </w:p>
        </w:tc>
      </w:tr>
      <w:tr w:rsidR="00602B98" w:rsidRPr="00602B98" w:rsidTr="00602B98">
        <w:trPr>
          <w:trHeight w:val="150"/>
        </w:trPr>
        <w:tc>
          <w:tcPr>
            <w:tcW w:w="2540" w:type="dxa"/>
            <w:gridSpan w:val="2"/>
            <w:hideMark/>
          </w:tcPr>
          <w:p w:rsidR="00602B98" w:rsidRPr="00602B98" w:rsidRDefault="00602B98" w:rsidP="00602B98">
            <w:pPr>
              <w:spacing w:after="0" w:line="15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lastRenderedPageBreak/>
              <w:t>সেবা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প্রাপ্তির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শর্তাবলি</w:t>
            </w:r>
            <w:proofErr w:type="spellEnd"/>
          </w:p>
        </w:tc>
        <w:tc>
          <w:tcPr>
            <w:tcW w:w="6645" w:type="dxa"/>
            <w:gridSpan w:val="3"/>
            <w:hideMark/>
          </w:tcPr>
          <w:p w:rsidR="00602B98" w:rsidRPr="00602B98" w:rsidRDefault="00602B98" w:rsidP="00602B98">
            <w:pPr>
              <w:spacing w:after="0" w:line="15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ওবিধিমালায়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বর্ণিত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শর্তাবলি</w:t>
            </w:r>
            <w:proofErr w:type="spellEnd"/>
          </w:p>
        </w:tc>
      </w:tr>
      <w:tr w:rsidR="00602B98" w:rsidRPr="00602B98" w:rsidTr="00602B98">
        <w:trPr>
          <w:trHeight w:val="90"/>
        </w:trPr>
        <w:tc>
          <w:tcPr>
            <w:tcW w:w="2540" w:type="dxa"/>
            <w:gridSpan w:val="2"/>
            <w:hideMark/>
          </w:tcPr>
          <w:p w:rsidR="00602B98" w:rsidRPr="00602B98" w:rsidRDefault="00602B98" w:rsidP="00602B98">
            <w:pPr>
              <w:spacing w:after="0" w:line="9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প্রয়োজনীয়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কাগজপত্র</w:t>
            </w:r>
            <w:proofErr w:type="spellEnd"/>
          </w:p>
        </w:tc>
        <w:tc>
          <w:tcPr>
            <w:tcW w:w="6645" w:type="dxa"/>
            <w:gridSpan w:val="3"/>
            <w:hideMark/>
          </w:tcPr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১১৫০.০০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টাকার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ট্রেজারি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চালান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(১০০০.০০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টাকা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১৫%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ভ্যাট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১৫০.০০)</w:t>
            </w:r>
          </w:p>
          <w:p w:rsidR="00602B98" w:rsidRPr="00602B98" w:rsidRDefault="00602B98" w:rsidP="00602B98">
            <w:pPr>
              <w:spacing w:after="0" w:line="9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সদস্যদেরস্বাক্ষরযুক্ততিনপ্রস্তউপ-আইন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,,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সাগঠনিকসভাররেজুলেশন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,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-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lastRenderedPageBreak/>
              <w:t>ব্যয়েরহিসাব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,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দুইবছরেরপ্রাক্কলিত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বাজেট,জাতীয়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পরিচয়পত্র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নাগরিকত্বের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সনদ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,,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আইনানুসারে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অঙ্গীকারনামা,বাড়ি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ভাড়ার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চুক্তিপত্র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,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প্রস্তাবিত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ব্যবস্থাপনা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কমিটির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সদস্যদের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ছবিসহ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নামের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তালিকা</w:t>
            </w:r>
            <w:proofErr w:type="spellEnd"/>
          </w:p>
        </w:tc>
      </w:tr>
      <w:tr w:rsidR="00602B98" w:rsidRPr="00602B98" w:rsidTr="00602B98">
        <w:trPr>
          <w:trHeight w:val="135"/>
        </w:trPr>
        <w:tc>
          <w:tcPr>
            <w:tcW w:w="2540" w:type="dxa"/>
            <w:gridSpan w:val="2"/>
            <w:hideMark/>
          </w:tcPr>
          <w:p w:rsidR="00602B98" w:rsidRPr="00602B98" w:rsidRDefault="00602B98" w:rsidP="00602B98">
            <w:pPr>
              <w:spacing w:after="0" w:line="13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lastRenderedPageBreak/>
              <w:t>প্রয়োজনীয়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ফি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ট্যাক্স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আনুষঙ্গিক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খরচ</w:t>
            </w:r>
            <w:proofErr w:type="spellEnd"/>
          </w:p>
        </w:tc>
        <w:tc>
          <w:tcPr>
            <w:tcW w:w="6645" w:type="dxa"/>
            <w:gridSpan w:val="3"/>
            <w:hideMark/>
          </w:tcPr>
          <w:p w:rsidR="00602B98" w:rsidRPr="00602B98" w:rsidRDefault="00602B98" w:rsidP="00602B98">
            <w:pPr>
              <w:spacing w:after="0" w:line="13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৫৭.৫০ (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সাতান্ন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টাকা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পঞ্চাশ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পয়সা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টাকার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ট্রেজারি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চালান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(৫০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টাকা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১৫%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ভ্যাট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৭.৫০)</w:t>
            </w:r>
          </w:p>
        </w:tc>
      </w:tr>
      <w:tr w:rsidR="00602B98" w:rsidRPr="00602B98" w:rsidTr="00602B98">
        <w:trPr>
          <w:trHeight w:val="75"/>
        </w:trPr>
        <w:tc>
          <w:tcPr>
            <w:tcW w:w="2540" w:type="dxa"/>
            <w:gridSpan w:val="2"/>
            <w:hideMark/>
          </w:tcPr>
          <w:p w:rsidR="00602B98" w:rsidRPr="00602B98" w:rsidRDefault="00602B98" w:rsidP="00602B98">
            <w:pPr>
              <w:spacing w:after="0" w:line="7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সংশ্লিষ্ট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আইন-কানুন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বিধি-বিধান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নীতিমালা</w:t>
            </w:r>
            <w:proofErr w:type="spellEnd"/>
          </w:p>
        </w:tc>
        <w:tc>
          <w:tcPr>
            <w:tcW w:w="6645" w:type="dxa"/>
            <w:gridSpan w:val="3"/>
            <w:hideMark/>
          </w:tcPr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১.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২০০১ (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সংশোধিত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২০০২ ও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সংশোধিত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২০১৩)</w:t>
            </w:r>
          </w:p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২.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বিধিমালা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২০০৪</w:t>
            </w:r>
          </w:p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৩</w:t>
            </w: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. 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মূল্য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সংযোজন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বিধিমালা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  </w:t>
            </w: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cs/>
                <w:lang w:bidi="bn-IN"/>
              </w:rPr>
              <w:t>১৯৯১</w:t>
            </w:r>
          </w:p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৩.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নীতিমালা,২০১৩</w:t>
            </w:r>
          </w:p>
          <w:p w:rsidR="00602B98" w:rsidRPr="00602B98" w:rsidRDefault="00602B98" w:rsidP="00602B98">
            <w:pPr>
              <w:spacing w:after="0" w:line="7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</w:tc>
      </w:tr>
      <w:tr w:rsidR="00602B98" w:rsidRPr="00602B98" w:rsidTr="00602B98">
        <w:trPr>
          <w:trHeight w:val="180"/>
        </w:trPr>
        <w:tc>
          <w:tcPr>
            <w:tcW w:w="2540" w:type="dxa"/>
            <w:gridSpan w:val="2"/>
            <w:hideMark/>
          </w:tcPr>
          <w:p w:rsidR="00602B98" w:rsidRPr="00602B98" w:rsidRDefault="00602B98" w:rsidP="00602B98">
            <w:pPr>
              <w:spacing w:after="0" w:line="18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নির্দিষ্ট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সেবা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পেতে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ব্যর্থ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হলে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পরবর্তী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প্রতিকারকারী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কর্মকর্তা</w:t>
            </w:r>
            <w:proofErr w:type="spellEnd"/>
          </w:p>
        </w:tc>
        <w:tc>
          <w:tcPr>
            <w:tcW w:w="6645" w:type="dxa"/>
            <w:gridSpan w:val="3"/>
            <w:hideMark/>
          </w:tcPr>
          <w:p w:rsidR="00602B98" w:rsidRPr="00602B98" w:rsidRDefault="00602B98" w:rsidP="00602B98">
            <w:pPr>
              <w:spacing w:after="0" w:line="18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কেন্দ্রীয়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ক্ষেত্রে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নিবন্ধক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জাতীয়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ক্ষেত্রে</w:t>
            </w:r>
            <w:proofErr w:type="spellEnd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সচিব</w:t>
            </w:r>
            <w:proofErr w:type="spellEnd"/>
          </w:p>
        </w:tc>
      </w:tr>
      <w:tr w:rsidR="00602B98" w:rsidRPr="00602B98" w:rsidTr="00602B98">
        <w:trPr>
          <w:trHeight w:val="90"/>
        </w:trPr>
        <w:tc>
          <w:tcPr>
            <w:tcW w:w="1663" w:type="dxa"/>
            <w:vMerge w:val="restart"/>
            <w:hideMark/>
          </w:tcPr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সেবা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প্রদান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 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প্রাপ্তির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ক্ষেত্রে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অসুবিধাসমূহ</w:t>
            </w:r>
            <w:proofErr w:type="spellEnd"/>
          </w:p>
        </w:tc>
        <w:tc>
          <w:tcPr>
            <w:tcW w:w="877" w:type="dxa"/>
            <w:hideMark/>
          </w:tcPr>
          <w:p w:rsidR="00602B98" w:rsidRPr="00602B98" w:rsidRDefault="00602B98" w:rsidP="00602B98">
            <w:pPr>
              <w:spacing w:after="0" w:line="9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ক)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নাগরিক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পর্যায়</w:t>
            </w:r>
            <w:proofErr w:type="spellEnd"/>
          </w:p>
        </w:tc>
        <w:tc>
          <w:tcPr>
            <w:tcW w:w="6645" w:type="dxa"/>
            <w:gridSpan w:val="3"/>
            <w:hideMark/>
          </w:tcPr>
          <w:p w:rsidR="00602B98" w:rsidRPr="00602B98" w:rsidRDefault="00602B98" w:rsidP="00602B98">
            <w:pPr>
              <w:spacing w:after="0" w:line="9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সমবায়আইনওবিধিসর্ম্পকেসদস্যদেরস্বচ্ছধারণানাথাকাসমিতিররেকর্ডপত্রযথাযথভাবেলিপিবদ্ধনাকরা</w:t>
            </w:r>
          </w:p>
        </w:tc>
      </w:tr>
      <w:tr w:rsidR="00602B98" w:rsidRPr="00602B98" w:rsidTr="00602B98">
        <w:trPr>
          <w:trHeight w:val="90"/>
        </w:trPr>
        <w:tc>
          <w:tcPr>
            <w:tcW w:w="1663" w:type="dxa"/>
            <w:vMerge/>
            <w:vAlign w:val="center"/>
            <w:hideMark/>
          </w:tcPr>
          <w:p w:rsidR="00602B98" w:rsidRPr="00602B98" w:rsidRDefault="00602B98" w:rsidP="00602B98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hideMark/>
          </w:tcPr>
          <w:p w:rsidR="00602B98" w:rsidRPr="00602B98" w:rsidRDefault="00602B98" w:rsidP="00602B98">
            <w:pPr>
              <w:spacing w:after="0" w:line="9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খ)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সরকারি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পর্যায়</w:t>
            </w:r>
            <w:proofErr w:type="spellEnd"/>
          </w:p>
        </w:tc>
        <w:tc>
          <w:tcPr>
            <w:tcW w:w="6645" w:type="dxa"/>
            <w:gridSpan w:val="3"/>
            <w:hideMark/>
          </w:tcPr>
          <w:p w:rsidR="00602B98" w:rsidRPr="00602B98" w:rsidRDefault="00602B98" w:rsidP="00602B98">
            <w:pPr>
              <w:numPr>
                <w:ilvl w:val="0"/>
                <w:numId w:val="3"/>
              </w:numPr>
              <w:spacing w:after="180" w:line="90" w:lineRule="atLeast"/>
              <w:ind w:left="300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।</w:t>
            </w:r>
          </w:p>
        </w:tc>
      </w:tr>
      <w:tr w:rsidR="00602B98" w:rsidRPr="00602B98" w:rsidTr="00602B98">
        <w:trPr>
          <w:trHeight w:val="90"/>
        </w:trPr>
        <w:tc>
          <w:tcPr>
            <w:tcW w:w="2540" w:type="dxa"/>
            <w:gridSpan w:val="2"/>
            <w:hideMark/>
          </w:tcPr>
          <w:p w:rsidR="00602B98" w:rsidRPr="00602B98" w:rsidRDefault="00602B98" w:rsidP="00602B98">
            <w:pPr>
              <w:spacing w:after="0" w:line="9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বিবিধ</w:t>
            </w:r>
            <w:proofErr w:type="spellEnd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602B9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অন্যান্য</w:t>
            </w:r>
            <w:proofErr w:type="spellEnd"/>
          </w:p>
        </w:tc>
        <w:tc>
          <w:tcPr>
            <w:tcW w:w="6645" w:type="dxa"/>
            <w:gridSpan w:val="3"/>
            <w:hideMark/>
          </w:tcPr>
          <w:p w:rsidR="00602B98" w:rsidRPr="00602B98" w:rsidRDefault="00602B98" w:rsidP="00602B98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  <w:p w:rsidR="00602B98" w:rsidRPr="00602B98" w:rsidRDefault="00602B98" w:rsidP="00602B98">
            <w:pPr>
              <w:spacing w:after="0" w:line="9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602B9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</w:tc>
      </w:tr>
    </w:tbl>
    <w:p w:rsidR="005C5E94" w:rsidRPr="00602B98" w:rsidRDefault="005C5E94" w:rsidP="00602B98">
      <w:pPr>
        <w:rPr>
          <w:rFonts w:ascii="NikoshBAN" w:hAnsi="NikoshBAN" w:cs="NikoshBAN"/>
        </w:rPr>
      </w:pPr>
    </w:p>
    <w:sectPr w:rsidR="005C5E94" w:rsidRPr="00602B98" w:rsidSect="00EB4B6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36BD"/>
    <w:multiLevelType w:val="multilevel"/>
    <w:tmpl w:val="776A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95003F"/>
    <w:multiLevelType w:val="multilevel"/>
    <w:tmpl w:val="1DC4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0B1A7F"/>
    <w:multiLevelType w:val="multilevel"/>
    <w:tmpl w:val="79E4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5F"/>
    <w:rsid w:val="00034692"/>
    <w:rsid w:val="00076C6D"/>
    <w:rsid w:val="00174766"/>
    <w:rsid w:val="00290E83"/>
    <w:rsid w:val="00325FC0"/>
    <w:rsid w:val="004E12A6"/>
    <w:rsid w:val="005C5E94"/>
    <w:rsid w:val="00602B98"/>
    <w:rsid w:val="0068745F"/>
    <w:rsid w:val="0073165D"/>
    <w:rsid w:val="007C7A23"/>
    <w:rsid w:val="009B58DC"/>
    <w:rsid w:val="00C53413"/>
    <w:rsid w:val="00EB4B61"/>
    <w:rsid w:val="00F00CF1"/>
    <w:rsid w:val="00F9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4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4B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4B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B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4B6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B4B61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4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4B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4B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B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4B6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B4B6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622</Words>
  <Characters>3550</Characters>
  <Application>Microsoft Office Word</Application>
  <DocSecurity>0</DocSecurity>
  <Lines>29</Lines>
  <Paragraphs>8</Paragraphs>
  <ScaleCrop>false</ScaleCrop>
  <Company>home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17</cp:revision>
  <dcterms:created xsi:type="dcterms:W3CDTF">2019-10-29T07:24:00Z</dcterms:created>
  <dcterms:modified xsi:type="dcterms:W3CDTF">2019-10-29T10:43:00Z</dcterms:modified>
</cp:coreProperties>
</file>