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8B" w:rsidRPr="003C6C8B" w:rsidRDefault="003C6C8B" w:rsidP="00770DBE">
      <w:pPr>
        <w:pStyle w:val="NoSpacing"/>
        <w:shd w:val="clear" w:color="auto" w:fill="FBD4B4" w:themeFill="accent6" w:themeFillTint="66"/>
        <w:rPr>
          <w:rFonts w:ascii="Nikosh" w:hAnsi="Nikosh" w:cs="Nikosh"/>
          <w:sz w:val="20"/>
          <w:szCs w:val="32"/>
        </w:rPr>
      </w:pPr>
    </w:p>
    <w:p w:rsidR="00770DBE" w:rsidRDefault="00770DBE" w:rsidP="003C6C8B">
      <w:pPr>
        <w:pStyle w:val="NoSpacing"/>
        <w:shd w:val="clear" w:color="auto" w:fill="FBD4B4" w:themeFill="accent6" w:themeFillTint="66"/>
        <w:jc w:val="center"/>
        <w:rPr>
          <w:rFonts w:ascii="Nikosh" w:hAnsi="Nikosh" w:cs="Nikosh"/>
          <w:sz w:val="52"/>
          <w:szCs w:val="32"/>
        </w:rPr>
      </w:pPr>
      <w:proofErr w:type="spellStart"/>
      <w:r w:rsidRPr="00770DBE">
        <w:rPr>
          <w:rFonts w:ascii="Nikosh" w:hAnsi="Nikosh" w:cs="Nikosh"/>
          <w:sz w:val="52"/>
          <w:szCs w:val="32"/>
        </w:rPr>
        <w:t>সমবায়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 </w:t>
      </w:r>
      <w:proofErr w:type="spellStart"/>
      <w:r w:rsidRPr="00770DBE">
        <w:rPr>
          <w:rFonts w:ascii="Nikosh" w:hAnsi="Nikosh" w:cs="Nikosh"/>
          <w:sz w:val="52"/>
          <w:szCs w:val="32"/>
        </w:rPr>
        <w:t>সমিতির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 </w:t>
      </w:r>
      <w:proofErr w:type="spellStart"/>
      <w:r w:rsidRPr="00770DBE">
        <w:rPr>
          <w:rFonts w:ascii="Nikosh" w:hAnsi="Nikosh" w:cs="Nikosh"/>
          <w:sz w:val="52"/>
          <w:szCs w:val="32"/>
        </w:rPr>
        <w:t>জন্য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 </w:t>
      </w:r>
      <w:proofErr w:type="spellStart"/>
      <w:r w:rsidRPr="00770DBE">
        <w:rPr>
          <w:rFonts w:ascii="Nikosh" w:hAnsi="Nikosh" w:cs="Nikosh"/>
          <w:sz w:val="52"/>
          <w:szCs w:val="32"/>
        </w:rPr>
        <w:t>করণীয়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 </w:t>
      </w:r>
      <w:proofErr w:type="spellStart"/>
      <w:r w:rsidRPr="00770DBE">
        <w:rPr>
          <w:rFonts w:ascii="Nikosh" w:hAnsi="Nikosh" w:cs="Nikosh"/>
          <w:sz w:val="52"/>
          <w:szCs w:val="32"/>
        </w:rPr>
        <w:t>সমূহ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: </w:t>
      </w:r>
      <w:proofErr w:type="spellStart"/>
      <w:r w:rsidRPr="00770DBE">
        <w:rPr>
          <w:rFonts w:ascii="Nikosh" w:hAnsi="Nikosh" w:cs="Nikosh"/>
          <w:sz w:val="52"/>
          <w:szCs w:val="32"/>
        </w:rPr>
        <w:t>এবং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 </w:t>
      </w:r>
      <w:proofErr w:type="spellStart"/>
      <w:r w:rsidRPr="00770DBE">
        <w:rPr>
          <w:rFonts w:ascii="Nikosh" w:hAnsi="Nikosh" w:cs="Nikosh"/>
          <w:sz w:val="52"/>
          <w:szCs w:val="32"/>
        </w:rPr>
        <w:t>বর্জনীয়</w:t>
      </w:r>
      <w:proofErr w:type="spellEnd"/>
      <w:r w:rsidRPr="00770DBE">
        <w:rPr>
          <w:rFonts w:ascii="Nikosh" w:hAnsi="Nikosh" w:cs="Nikosh"/>
          <w:sz w:val="52"/>
          <w:szCs w:val="32"/>
        </w:rPr>
        <w:t xml:space="preserve"> </w:t>
      </w:r>
      <w:proofErr w:type="spellStart"/>
      <w:r w:rsidRPr="00770DBE">
        <w:rPr>
          <w:rFonts w:ascii="Nikosh" w:hAnsi="Nikosh" w:cs="Nikosh"/>
          <w:sz w:val="52"/>
          <w:szCs w:val="32"/>
        </w:rPr>
        <w:t>সমূহ</w:t>
      </w:r>
      <w:proofErr w:type="spellEnd"/>
      <w:r w:rsidRPr="00770DBE">
        <w:rPr>
          <w:rFonts w:ascii="Nikosh" w:hAnsi="Nikosh" w:cs="Nikosh"/>
          <w:sz w:val="52"/>
          <w:szCs w:val="32"/>
        </w:rPr>
        <w:t>:</w:t>
      </w:r>
    </w:p>
    <w:p w:rsidR="003C6C8B" w:rsidRPr="003C6C8B" w:rsidRDefault="003C6C8B" w:rsidP="00770DBE">
      <w:pPr>
        <w:pStyle w:val="NoSpacing"/>
        <w:shd w:val="clear" w:color="auto" w:fill="FBD4B4" w:themeFill="accent6" w:themeFillTint="66"/>
        <w:rPr>
          <w:rFonts w:ascii="Nikosh" w:hAnsi="Nikosh" w:cs="Nikosh"/>
          <w:sz w:val="20"/>
          <w:szCs w:val="32"/>
        </w:rPr>
      </w:pPr>
    </w:p>
    <w:p w:rsidR="003C6C8B" w:rsidRPr="00173446" w:rsidRDefault="00032242" w:rsidP="00412E8A">
      <w:pPr>
        <w:pStyle w:val="NoSpacing"/>
        <w:ind w:left="720"/>
        <w:jc w:val="center"/>
        <w:rPr>
          <w:rFonts w:ascii="Nikosh" w:hAnsi="Nikosh" w:cs="Nikosh"/>
          <w:color w:val="548DD4" w:themeColor="text2" w:themeTint="99"/>
          <w:sz w:val="80"/>
          <w:szCs w:val="28"/>
        </w:rPr>
      </w:pPr>
      <w:proofErr w:type="spellStart"/>
      <w:r w:rsidRPr="00173446">
        <w:rPr>
          <w:rFonts w:ascii="Nikosh" w:hAnsi="Nikosh" w:cs="Nikosh"/>
          <w:color w:val="548DD4" w:themeColor="text2" w:themeTint="99"/>
          <w:sz w:val="80"/>
          <w:szCs w:val="28"/>
        </w:rPr>
        <w:t>করণীয়</w:t>
      </w:r>
      <w:proofErr w:type="spellEnd"/>
      <w:r w:rsidRPr="00173446">
        <w:rPr>
          <w:rFonts w:ascii="Nikosh" w:hAnsi="Nikosh" w:cs="Nikosh"/>
          <w:color w:val="548DD4" w:themeColor="text2" w:themeTint="99"/>
          <w:sz w:val="80"/>
          <w:szCs w:val="28"/>
        </w:rPr>
        <w:t xml:space="preserve"> </w:t>
      </w:r>
      <w:proofErr w:type="spellStart"/>
      <w:r w:rsidRPr="00173446">
        <w:rPr>
          <w:rFonts w:ascii="Nikosh" w:hAnsi="Nikosh" w:cs="Nikosh"/>
          <w:color w:val="548DD4" w:themeColor="text2" w:themeTint="99"/>
          <w:sz w:val="80"/>
          <w:szCs w:val="28"/>
        </w:rPr>
        <w:t>সমূহঃ</w:t>
      </w:r>
      <w:proofErr w:type="spellEnd"/>
    </w:p>
    <w:p w:rsidR="003E1ACC" w:rsidRPr="00412E8A" w:rsidRDefault="00527DC5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সমবায়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আইন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, </w:t>
      </w:r>
      <w:proofErr w:type="spellStart"/>
      <w:r w:rsidRPr="00412E8A">
        <w:rPr>
          <w:rFonts w:ascii="Nikosh" w:hAnsi="Nikosh" w:cs="Nikosh"/>
          <w:sz w:val="30"/>
          <w:szCs w:val="28"/>
        </w:rPr>
        <w:t>বিধি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Pr="00412E8A">
        <w:rPr>
          <w:rFonts w:ascii="Nikosh" w:hAnsi="Nikosh" w:cs="Nikosh"/>
          <w:sz w:val="30"/>
          <w:szCs w:val="28"/>
        </w:rPr>
        <w:t>উপ-আইন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মোতাবেক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সমিতি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পরিচালনা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527DC5" w:rsidRPr="00412E8A" w:rsidRDefault="00527DC5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সমবায়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সমিতির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লক্ষ্য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Pr="00412E8A">
        <w:rPr>
          <w:rFonts w:ascii="Nikosh" w:hAnsi="Nikosh" w:cs="Nikosh"/>
          <w:sz w:val="30"/>
          <w:szCs w:val="28"/>
        </w:rPr>
        <w:t>উদ্দেশ্য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সকল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সদস্যকে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অবহিত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527DC5" w:rsidRPr="00412E8A" w:rsidRDefault="00527DC5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সদস্যদের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ক্ষুদ্র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ক্ষুদ্র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সঞ্চয়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Pr="00412E8A">
        <w:rPr>
          <w:rFonts w:ascii="Nikosh" w:hAnsi="Nikosh" w:cs="Nikosh"/>
          <w:sz w:val="30"/>
          <w:szCs w:val="28"/>
        </w:rPr>
        <w:t>শেয়ার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একত্রীত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মূলধন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গঠন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7051F4" w:rsidRPr="00412E8A" w:rsidRDefault="00286E39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ব্যবসায়িক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Pr="00412E8A">
        <w:rPr>
          <w:rFonts w:ascii="Nikosh" w:hAnsi="Nikosh" w:cs="Nikosh"/>
          <w:sz w:val="30"/>
          <w:szCs w:val="28"/>
        </w:rPr>
        <w:t>উৎপাদনমূখী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কার্যক্রম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গ্রহণ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286E39" w:rsidRPr="00412E8A" w:rsidRDefault="00286E39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প্রতি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মাসে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কমপক্ষে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একটি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ব্যব</w:t>
      </w:r>
      <w:r w:rsidR="006A022C" w:rsidRPr="00412E8A">
        <w:rPr>
          <w:rFonts w:ascii="Nikosh" w:hAnsi="Nikosh" w:cs="Nikosh"/>
          <w:sz w:val="30"/>
          <w:szCs w:val="28"/>
        </w:rPr>
        <w:t>স্থাপনা</w:t>
      </w:r>
      <w:proofErr w:type="spellEnd"/>
      <w:r w:rsidR="006A022C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6A022C" w:rsidRPr="00412E8A">
        <w:rPr>
          <w:rFonts w:ascii="Nikosh" w:hAnsi="Nikosh" w:cs="Nikosh"/>
          <w:sz w:val="30"/>
          <w:szCs w:val="28"/>
        </w:rPr>
        <w:t>কমিটির</w:t>
      </w:r>
      <w:proofErr w:type="spellEnd"/>
      <w:r w:rsidR="006A022C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6A022C" w:rsidRPr="00412E8A">
        <w:rPr>
          <w:rFonts w:ascii="Nikosh" w:hAnsi="Nikosh" w:cs="Nikosh"/>
          <w:sz w:val="30"/>
          <w:szCs w:val="28"/>
        </w:rPr>
        <w:t>সভা</w:t>
      </w:r>
      <w:proofErr w:type="spellEnd"/>
      <w:r w:rsidR="006A022C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6A022C" w:rsidRPr="00412E8A">
        <w:rPr>
          <w:rFonts w:ascii="Nikosh" w:hAnsi="Nikosh" w:cs="Nikosh"/>
          <w:sz w:val="30"/>
          <w:szCs w:val="28"/>
        </w:rPr>
        <w:t>অনুষ্ঠান</w:t>
      </w:r>
      <w:proofErr w:type="spellEnd"/>
      <w:r w:rsidR="006A022C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6A022C"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="006A022C" w:rsidRPr="00412E8A">
        <w:rPr>
          <w:rFonts w:ascii="Nikosh" w:hAnsi="Nikosh" w:cs="Nikosh"/>
          <w:sz w:val="30"/>
          <w:szCs w:val="28"/>
        </w:rPr>
        <w:t>।</w:t>
      </w:r>
    </w:p>
    <w:p w:rsidR="006A022C" w:rsidRPr="00412E8A" w:rsidRDefault="006A022C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সময়</w:t>
      </w:r>
      <w:r w:rsidR="00863B35" w:rsidRPr="00412E8A">
        <w:rPr>
          <w:rFonts w:ascii="Nikosh" w:hAnsi="Nikosh" w:cs="Nikosh"/>
          <w:sz w:val="30"/>
          <w:szCs w:val="28"/>
        </w:rPr>
        <w:t>মত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863B35" w:rsidRPr="00412E8A">
        <w:rPr>
          <w:rFonts w:ascii="Nikosh" w:hAnsi="Nikosh" w:cs="Nikosh"/>
          <w:sz w:val="30"/>
          <w:szCs w:val="28"/>
        </w:rPr>
        <w:t>বার্ষিক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863B35" w:rsidRPr="00412E8A">
        <w:rPr>
          <w:rFonts w:ascii="Nikosh" w:hAnsi="Nikosh" w:cs="Nikosh"/>
          <w:sz w:val="30"/>
          <w:szCs w:val="28"/>
        </w:rPr>
        <w:t>সাধারণ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863B35" w:rsidRPr="00412E8A">
        <w:rPr>
          <w:rFonts w:ascii="Nikosh" w:hAnsi="Nikosh" w:cs="Nikosh"/>
          <w:sz w:val="30"/>
          <w:szCs w:val="28"/>
        </w:rPr>
        <w:t>সভা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="00863B35" w:rsidRPr="00412E8A">
        <w:rPr>
          <w:rFonts w:ascii="Nikosh" w:hAnsi="Nikosh" w:cs="Nikosh"/>
          <w:sz w:val="30"/>
          <w:szCs w:val="28"/>
        </w:rPr>
        <w:t>নির্বাচন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863B35" w:rsidRPr="00412E8A">
        <w:rPr>
          <w:rFonts w:ascii="Nikosh" w:hAnsi="Nikosh" w:cs="Nikosh"/>
          <w:sz w:val="30"/>
          <w:szCs w:val="28"/>
        </w:rPr>
        <w:t>অনুষ্ঠান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="00863B35"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="00863B35" w:rsidRPr="00412E8A">
        <w:rPr>
          <w:rFonts w:ascii="Nikosh" w:hAnsi="Nikosh" w:cs="Nikosh"/>
          <w:sz w:val="30"/>
          <w:szCs w:val="28"/>
        </w:rPr>
        <w:t>।</w:t>
      </w:r>
    </w:p>
    <w:p w:rsidR="00863B35" w:rsidRPr="00412E8A" w:rsidRDefault="00B4782D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সমিতির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যাবতীয়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খাতাপত্র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হালনাগাদ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Pr="00412E8A">
        <w:rPr>
          <w:rFonts w:ascii="Nikosh" w:hAnsi="Nikosh" w:cs="Nikosh"/>
          <w:sz w:val="30"/>
          <w:szCs w:val="28"/>
        </w:rPr>
        <w:t>সঠিকভাবে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সংরক্ষণ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অডিটের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জন্য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উপস্থাপন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B4782D" w:rsidRPr="00412E8A" w:rsidRDefault="00B4782D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বার্ষিক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অডিট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শেষে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অডিটে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উপস্থাপিত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আপত্তির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উপর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সংশোধনী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প্রতিবেদন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দাখিল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B4782D" w:rsidRPr="00412E8A" w:rsidRDefault="007B795A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অডিট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অফিসারের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সুপারিশের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প্রেক্ষিতে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সদস্যদের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মধ্যে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লভ্যাংশ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বন্টন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7B795A" w:rsidRPr="00412E8A" w:rsidRDefault="007B795A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ধার্যকৃত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অডিট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ফি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ও </w:t>
      </w:r>
      <w:proofErr w:type="spellStart"/>
      <w:r w:rsidRPr="00412E8A">
        <w:rPr>
          <w:rFonts w:ascii="Nikosh" w:hAnsi="Nikosh" w:cs="Nikosh"/>
          <w:sz w:val="30"/>
          <w:szCs w:val="28"/>
        </w:rPr>
        <w:t>সিডিএফ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নির্ধারিত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সময়ের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মধ্যে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পরিশোধ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7B795A" w:rsidRPr="00412E8A" w:rsidRDefault="007B795A" w:rsidP="00412E8A">
      <w:pPr>
        <w:pStyle w:val="NoSpacing"/>
        <w:numPr>
          <w:ilvl w:val="0"/>
          <w:numId w:val="1"/>
        </w:numPr>
        <w:shd w:val="clear" w:color="auto" w:fill="DBE5F1" w:themeFill="accent1" w:themeFillTint="33"/>
        <w:rPr>
          <w:rFonts w:ascii="Nikosh" w:hAnsi="Nikosh" w:cs="Nikosh"/>
          <w:sz w:val="30"/>
          <w:szCs w:val="28"/>
        </w:rPr>
      </w:pPr>
      <w:proofErr w:type="spellStart"/>
      <w:r w:rsidRPr="00412E8A">
        <w:rPr>
          <w:rFonts w:ascii="Nikosh" w:hAnsi="Nikosh" w:cs="Nikosh"/>
          <w:sz w:val="30"/>
          <w:szCs w:val="28"/>
        </w:rPr>
        <w:t>সমিতির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যাবতীয়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আর্থিক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লেনদেন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ব্যাংকের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মাধ্যমে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সম্পাদন</w:t>
      </w:r>
      <w:proofErr w:type="spellEnd"/>
      <w:r w:rsidRPr="00412E8A">
        <w:rPr>
          <w:rFonts w:ascii="Nikosh" w:hAnsi="Nikosh" w:cs="Nikosh"/>
          <w:sz w:val="30"/>
          <w:szCs w:val="28"/>
        </w:rPr>
        <w:t xml:space="preserve"> </w:t>
      </w:r>
      <w:proofErr w:type="spellStart"/>
      <w:r w:rsidRPr="00412E8A">
        <w:rPr>
          <w:rFonts w:ascii="Nikosh" w:hAnsi="Nikosh" w:cs="Nikosh"/>
          <w:sz w:val="30"/>
          <w:szCs w:val="28"/>
        </w:rPr>
        <w:t>করা</w:t>
      </w:r>
      <w:proofErr w:type="spellEnd"/>
      <w:r w:rsidRPr="00412E8A">
        <w:rPr>
          <w:rFonts w:ascii="Nikosh" w:hAnsi="Nikosh" w:cs="Nikosh"/>
          <w:sz w:val="30"/>
          <w:szCs w:val="28"/>
        </w:rPr>
        <w:t>।</w:t>
      </w:r>
    </w:p>
    <w:p w:rsidR="004F486B" w:rsidRDefault="004F486B" w:rsidP="004F486B">
      <w:pPr>
        <w:pStyle w:val="NoSpacing"/>
        <w:rPr>
          <w:rFonts w:ascii="Nikosh" w:hAnsi="Nikosh" w:cs="Nikosh"/>
          <w:sz w:val="28"/>
          <w:szCs w:val="28"/>
        </w:rPr>
      </w:pPr>
    </w:p>
    <w:p w:rsidR="004F486B" w:rsidRDefault="004F486B" w:rsidP="00412E8A">
      <w:pPr>
        <w:pStyle w:val="NoSpacing"/>
        <w:jc w:val="center"/>
        <w:rPr>
          <w:rFonts w:ascii="Nikosh" w:hAnsi="Nikosh" w:cs="Nikosh"/>
          <w:color w:val="548DD4" w:themeColor="text2" w:themeTint="99"/>
          <w:sz w:val="40"/>
          <w:szCs w:val="28"/>
        </w:rPr>
      </w:pPr>
      <w:proofErr w:type="spellStart"/>
      <w:r w:rsidRPr="00173446">
        <w:rPr>
          <w:rFonts w:ascii="Nikosh" w:hAnsi="Nikosh" w:cs="Nikosh"/>
          <w:color w:val="548DD4" w:themeColor="text2" w:themeTint="99"/>
          <w:sz w:val="80"/>
          <w:szCs w:val="28"/>
        </w:rPr>
        <w:t>বর্জনীয়</w:t>
      </w:r>
      <w:proofErr w:type="spellEnd"/>
      <w:r w:rsidRPr="00173446">
        <w:rPr>
          <w:rFonts w:ascii="Nikosh" w:hAnsi="Nikosh" w:cs="Nikosh"/>
          <w:color w:val="548DD4" w:themeColor="text2" w:themeTint="99"/>
          <w:sz w:val="80"/>
          <w:szCs w:val="28"/>
        </w:rPr>
        <w:t xml:space="preserve"> </w:t>
      </w:r>
      <w:proofErr w:type="spellStart"/>
      <w:r w:rsidRPr="00173446">
        <w:rPr>
          <w:rFonts w:ascii="Nikosh" w:hAnsi="Nikosh" w:cs="Nikosh"/>
          <w:color w:val="548DD4" w:themeColor="text2" w:themeTint="99"/>
          <w:sz w:val="80"/>
          <w:szCs w:val="28"/>
        </w:rPr>
        <w:t>সমূহঃ</w:t>
      </w:r>
      <w:proofErr w:type="spellEnd"/>
    </w:p>
    <w:p w:rsidR="004F486B" w:rsidRDefault="004F486B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নিবন্ধন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ছাড়া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সমবায়ের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নামে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কোন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আর্থিক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লেনদেন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করা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4F486B" w:rsidRDefault="004F486B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বাংলাদেশ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ব্যাংকের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পূর্বানুমোদন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ব্যতিরেকে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ব্যাংকিং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ব্যবসা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পরিচালনা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করা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4F486B" w:rsidRDefault="004F486B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সমিতির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সদস্য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ছাড়া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অন্য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কারো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কাছ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থেকে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আমানত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গ্রহণ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 xml:space="preserve">ও </w:t>
      </w:r>
      <w:proofErr w:type="spellStart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>ঋণ</w:t>
      </w:r>
      <w:proofErr w:type="spellEnd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>প্রদাণ</w:t>
      </w:r>
      <w:proofErr w:type="spellEnd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>করা</w:t>
      </w:r>
      <w:proofErr w:type="spellEnd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 w:rsidR="00997707"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997707" w:rsidRDefault="00997707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অতি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মুনাফা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/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বেশি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সুদের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লোভ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দেখিয়ে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মেয়াদী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আমানত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গ্রহণ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করা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997707" w:rsidRDefault="00997707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সমবায়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সমিতির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কার্যক্রম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পরিচালনার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জন্য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কোন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শাখা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অফিস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খোলা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997707" w:rsidRDefault="00173446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সভ্য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নির্বাচনী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এলাকার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বাইরে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কোন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সদস্য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ভর্তি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করা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173446" w:rsidRDefault="00173446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সাধারণ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সদস্যদের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স্বার্থের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পরিপন্থী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কোন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কাজ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করা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p w:rsidR="00173446" w:rsidRPr="004F486B" w:rsidRDefault="00173446" w:rsidP="00412E8A">
      <w:pPr>
        <w:pStyle w:val="NoSpacing"/>
        <w:numPr>
          <w:ilvl w:val="0"/>
          <w:numId w:val="4"/>
        </w:numPr>
        <w:shd w:val="clear" w:color="auto" w:fill="DBE5F1" w:themeFill="accent1" w:themeFillTint="33"/>
        <w:rPr>
          <w:rFonts w:ascii="Nikosh" w:hAnsi="Nikosh" w:cs="Nikosh"/>
          <w:color w:val="404040" w:themeColor="text1" w:themeTint="BF"/>
          <w:sz w:val="32"/>
          <w:szCs w:val="32"/>
        </w:rPr>
      </w:pP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নেজেদের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মধ্যে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দ্বন্ধ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সংঘাতে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জড়িত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হওয়া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যাবে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color w:val="404040" w:themeColor="text1" w:themeTint="BF"/>
          <w:sz w:val="32"/>
          <w:szCs w:val="32"/>
        </w:rPr>
        <w:t>না</w:t>
      </w:r>
      <w:proofErr w:type="spellEnd"/>
      <w:r>
        <w:rPr>
          <w:rFonts w:ascii="Nikosh" w:hAnsi="Nikosh" w:cs="Nikosh"/>
          <w:color w:val="404040" w:themeColor="text1" w:themeTint="BF"/>
          <w:sz w:val="32"/>
          <w:szCs w:val="32"/>
        </w:rPr>
        <w:t>।</w:t>
      </w:r>
    </w:p>
    <w:sectPr w:rsidR="00173446" w:rsidRPr="004F486B" w:rsidSect="003E1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3F89"/>
    <w:multiLevelType w:val="hybridMultilevel"/>
    <w:tmpl w:val="71ECF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90919"/>
    <w:multiLevelType w:val="hybridMultilevel"/>
    <w:tmpl w:val="7CCE6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F1492"/>
    <w:multiLevelType w:val="hybridMultilevel"/>
    <w:tmpl w:val="B036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C75F2"/>
    <w:multiLevelType w:val="hybridMultilevel"/>
    <w:tmpl w:val="344A69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0DBE"/>
    <w:rsid w:val="00032242"/>
    <w:rsid w:val="00173446"/>
    <w:rsid w:val="00286E39"/>
    <w:rsid w:val="0035636B"/>
    <w:rsid w:val="003C6C8B"/>
    <w:rsid w:val="003E1ACC"/>
    <w:rsid w:val="00412E8A"/>
    <w:rsid w:val="004F486B"/>
    <w:rsid w:val="00527DC5"/>
    <w:rsid w:val="006A022C"/>
    <w:rsid w:val="007051F4"/>
    <w:rsid w:val="00770DBE"/>
    <w:rsid w:val="007B795A"/>
    <w:rsid w:val="00863B35"/>
    <w:rsid w:val="00997707"/>
    <w:rsid w:val="00B06F47"/>
    <w:rsid w:val="00B4782D"/>
    <w:rsid w:val="00D902D0"/>
    <w:rsid w:val="00D9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 computer</dc:creator>
  <cp:keywords/>
  <dc:description/>
  <cp:lastModifiedBy>spark computer</cp:lastModifiedBy>
  <cp:revision>23</cp:revision>
  <dcterms:created xsi:type="dcterms:W3CDTF">2021-03-07T10:21:00Z</dcterms:created>
  <dcterms:modified xsi:type="dcterms:W3CDTF">2021-03-08T06:08:00Z</dcterms:modified>
</cp:coreProperties>
</file>