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188"/>
        <w:gridCol w:w="1260"/>
        <w:gridCol w:w="1170"/>
        <w:gridCol w:w="1170"/>
        <w:gridCol w:w="2070"/>
        <w:gridCol w:w="1440"/>
        <w:gridCol w:w="900"/>
        <w:gridCol w:w="1710"/>
        <w:gridCol w:w="990"/>
        <w:gridCol w:w="1710"/>
        <w:gridCol w:w="1260"/>
        <w:gridCol w:w="747"/>
      </w:tblGrid>
      <w:tr w:rsidR="00D80145" w:rsidRPr="00F04B97" w:rsidTr="00E825D2">
        <w:trPr>
          <w:tblHeader/>
        </w:trPr>
        <w:tc>
          <w:tcPr>
            <w:tcW w:w="1188" w:type="dxa"/>
            <w:vMerge w:val="restart"/>
            <w:vAlign w:val="center"/>
          </w:tcPr>
          <w:p w:rsidR="005916FD" w:rsidRPr="00290F62" w:rsidRDefault="005916FD" w:rsidP="005916FD">
            <w:pPr>
              <w:jc w:val="center"/>
              <w:rPr>
                <w:b/>
                <w:sz w:val="18"/>
                <w:szCs w:val="18"/>
              </w:rPr>
            </w:pPr>
            <w:r w:rsidRPr="00290F62">
              <w:rPr>
                <w:b/>
                <w:sz w:val="18"/>
                <w:szCs w:val="18"/>
              </w:rPr>
              <w:t>SDG targets</w:t>
            </w:r>
          </w:p>
        </w:tc>
        <w:tc>
          <w:tcPr>
            <w:tcW w:w="1260" w:type="dxa"/>
            <w:vMerge w:val="restart"/>
            <w:vAlign w:val="center"/>
          </w:tcPr>
          <w:p w:rsidR="005916FD" w:rsidRPr="00290F62" w:rsidRDefault="005916FD" w:rsidP="005916FD">
            <w:pPr>
              <w:jc w:val="center"/>
              <w:rPr>
                <w:b/>
                <w:sz w:val="18"/>
                <w:szCs w:val="18"/>
              </w:rPr>
            </w:pPr>
            <w:r w:rsidRPr="00290F62">
              <w:rPr>
                <w:b/>
                <w:sz w:val="18"/>
                <w:szCs w:val="18"/>
              </w:rPr>
              <w:t>Global Indicators for SDG Targets</w:t>
            </w:r>
          </w:p>
        </w:tc>
        <w:tc>
          <w:tcPr>
            <w:tcW w:w="1170" w:type="dxa"/>
            <w:vMerge w:val="restart"/>
            <w:vAlign w:val="center"/>
          </w:tcPr>
          <w:p w:rsidR="005916FD" w:rsidRPr="00290F62" w:rsidRDefault="005916FD" w:rsidP="005916FD">
            <w:pPr>
              <w:jc w:val="center"/>
              <w:rPr>
                <w:b/>
                <w:sz w:val="18"/>
                <w:szCs w:val="18"/>
              </w:rPr>
            </w:pPr>
            <w:r w:rsidRPr="00290F62">
              <w:rPr>
                <w:b/>
                <w:sz w:val="18"/>
                <w:szCs w:val="18"/>
              </w:rPr>
              <w:t>Lead/Co-lead Ministries/ Divisions</w:t>
            </w:r>
          </w:p>
        </w:tc>
        <w:tc>
          <w:tcPr>
            <w:tcW w:w="1170" w:type="dxa"/>
            <w:vMerge w:val="restart"/>
            <w:vAlign w:val="center"/>
          </w:tcPr>
          <w:p w:rsidR="005916FD" w:rsidRPr="00290F62" w:rsidRDefault="005916FD" w:rsidP="005916FD">
            <w:pPr>
              <w:jc w:val="center"/>
              <w:rPr>
                <w:b/>
                <w:sz w:val="18"/>
                <w:szCs w:val="18"/>
              </w:rPr>
            </w:pPr>
            <w:r w:rsidRPr="00290F62">
              <w:rPr>
                <w:b/>
                <w:sz w:val="18"/>
                <w:szCs w:val="18"/>
              </w:rPr>
              <w:t>Associate Ministries/ Divisions</w:t>
            </w:r>
          </w:p>
        </w:tc>
        <w:tc>
          <w:tcPr>
            <w:tcW w:w="2070" w:type="dxa"/>
            <w:vMerge w:val="restart"/>
            <w:vAlign w:val="center"/>
          </w:tcPr>
          <w:p w:rsidR="005916FD" w:rsidRPr="00290F62" w:rsidRDefault="005916FD" w:rsidP="005916FD">
            <w:pPr>
              <w:jc w:val="center"/>
              <w:rPr>
                <w:b/>
                <w:sz w:val="18"/>
                <w:szCs w:val="18"/>
              </w:rPr>
            </w:pPr>
            <w:r w:rsidRPr="00290F62">
              <w:rPr>
                <w:b/>
                <w:sz w:val="18"/>
                <w:szCs w:val="18"/>
              </w:rPr>
              <w:t>7th FYP Goals/Targets related to SDG Targets and Indicators</w:t>
            </w:r>
          </w:p>
        </w:tc>
        <w:tc>
          <w:tcPr>
            <w:tcW w:w="2340" w:type="dxa"/>
            <w:gridSpan w:val="2"/>
          </w:tcPr>
          <w:p w:rsidR="005916FD" w:rsidRPr="00290F62" w:rsidRDefault="005916FD" w:rsidP="00070F4F">
            <w:pPr>
              <w:jc w:val="center"/>
              <w:rPr>
                <w:b/>
                <w:sz w:val="18"/>
                <w:szCs w:val="18"/>
              </w:rPr>
            </w:pPr>
            <w:r w:rsidRPr="00290F62">
              <w:rPr>
                <w:b/>
                <w:sz w:val="18"/>
                <w:szCs w:val="18"/>
              </w:rPr>
              <w:t>On-going Project/Programme to achieve 7th FYP Goals/ Targets</w:t>
            </w:r>
          </w:p>
        </w:tc>
        <w:tc>
          <w:tcPr>
            <w:tcW w:w="2700" w:type="dxa"/>
            <w:gridSpan w:val="2"/>
          </w:tcPr>
          <w:p w:rsidR="005916FD" w:rsidRPr="00290F62" w:rsidRDefault="005916FD" w:rsidP="00070F4F">
            <w:pPr>
              <w:jc w:val="center"/>
              <w:rPr>
                <w:b/>
                <w:sz w:val="18"/>
                <w:szCs w:val="18"/>
              </w:rPr>
            </w:pPr>
            <w:r w:rsidRPr="00290F62">
              <w:rPr>
                <w:b/>
                <w:sz w:val="18"/>
                <w:szCs w:val="18"/>
              </w:rPr>
              <w:t>Requirements of New Project/ Programme up to 2020</w:t>
            </w:r>
          </w:p>
        </w:tc>
        <w:tc>
          <w:tcPr>
            <w:tcW w:w="1710" w:type="dxa"/>
            <w:vMerge w:val="restart"/>
            <w:vAlign w:val="center"/>
          </w:tcPr>
          <w:p w:rsidR="005916FD" w:rsidRPr="00290F62" w:rsidRDefault="005916FD" w:rsidP="005916FD">
            <w:pPr>
              <w:jc w:val="center"/>
              <w:rPr>
                <w:b/>
                <w:sz w:val="18"/>
                <w:szCs w:val="18"/>
              </w:rPr>
            </w:pPr>
            <w:r w:rsidRPr="00290F62">
              <w:rPr>
                <w:b/>
                <w:sz w:val="18"/>
                <w:szCs w:val="18"/>
              </w:rPr>
              <w:t>Actions/ Projects beyond 7th FYP Period (2021-2030)</w:t>
            </w:r>
          </w:p>
        </w:tc>
        <w:tc>
          <w:tcPr>
            <w:tcW w:w="1260" w:type="dxa"/>
            <w:vMerge w:val="restart"/>
          </w:tcPr>
          <w:p w:rsidR="005916FD" w:rsidRPr="00290F62" w:rsidRDefault="005916FD" w:rsidP="00070F4F">
            <w:pPr>
              <w:jc w:val="center"/>
              <w:rPr>
                <w:b/>
                <w:sz w:val="18"/>
                <w:szCs w:val="18"/>
              </w:rPr>
            </w:pPr>
            <w:r w:rsidRPr="00290F62">
              <w:rPr>
                <w:b/>
                <w:sz w:val="18"/>
                <w:szCs w:val="18"/>
              </w:rPr>
              <w:t>Policy/ Strategy if needed (in relation with Column 8)</w:t>
            </w:r>
          </w:p>
        </w:tc>
        <w:tc>
          <w:tcPr>
            <w:tcW w:w="747" w:type="dxa"/>
            <w:vMerge w:val="restart"/>
            <w:textDirection w:val="btLr"/>
            <w:vAlign w:val="center"/>
          </w:tcPr>
          <w:p w:rsidR="005916FD" w:rsidRPr="00290F62" w:rsidRDefault="005916FD" w:rsidP="00F14FFC">
            <w:pPr>
              <w:ind w:left="113" w:right="113"/>
              <w:jc w:val="center"/>
              <w:rPr>
                <w:b/>
                <w:sz w:val="18"/>
                <w:szCs w:val="18"/>
              </w:rPr>
            </w:pPr>
            <w:r w:rsidRPr="00290F62">
              <w:rPr>
                <w:b/>
                <w:sz w:val="18"/>
                <w:szCs w:val="18"/>
              </w:rPr>
              <w:t>Comments</w:t>
            </w:r>
          </w:p>
        </w:tc>
      </w:tr>
      <w:tr w:rsidR="00A13373" w:rsidRPr="00F04B97" w:rsidTr="00E825D2">
        <w:trPr>
          <w:tblHeader/>
        </w:trPr>
        <w:tc>
          <w:tcPr>
            <w:tcW w:w="1188" w:type="dxa"/>
            <w:vMerge/>
          </w:tcPr>
          <w:p w:rsidR="005916FD" w:rsidRPr="00F04B97" w:rsidRDefault="005916FD" w:rsidP="00070F4F">
            <w:pPr>
              <w:jc w:val="center"/>
              <w:rPr>
                <w:b/>
                <w:sz w:val="20"/>
                <w:szCs w:val="20"/>
              </w:rPr>
            </w:pPr>
          </w:p>
        </w:tc>
        <w:tc>
          <w:tcPr>
            <w:tcW w:w="1260" w:type="dxa"/>
            <w:vMerge/>
          </w:tcPr>
          <w:p w:rsidR="005916FD" w:rsidRPr="00F04B97" w:rsidRDefault="005916FD" w:rsidP="00070F4F">
            <w:pPr>
              <w:jc w:val="center"/>
              <w:rPr>
                <w:b/>
                <w:sz w:val="20"/>
                <w:szCs w:val="20"/>
              </w:rPr>
            </w:pPr>
          </w:p>
        </w:tc>
        <w:tc>
          <w:tcPr>
            <w:tcW w:w="1170" w:type="dxa"/>
            <w:vMerge/>
          </w:tcPr>
          <w:p w:rsidR="005916FD" w:rsidRPr="00F04B97" w:rsidRDefault="005916FD" w:rsidP="00070F4F">
            <w:pPr>
              <w:jc w:val="center"/>
              <w:rPr>
                <w:b/>
                <w:sz w:val="20"/>
                <w:szCs w:val="20"/>
              </w:rPr>
            </w:pPr>
          </w:p>
        </w:tc>
        <w:tc>
          <w:tcPr>
            <w:tcW w:w="1170" w:type="dxa"/>
            <w:vMerge/>
          </w:tcPr>
          <w:p w:rsidR="005916FD" w:rsidRPr="00F04B97" w:rsidRDefault="005916FD" w:rsidP="00070F4F">
            <w:pPr>
              <w:jc w:val="center"/>
              <w:rPr>
                <w:b/>
                <w:sz w:val="20"/>
                <w:szCs w:val="20"/>
              </w:rPr>
            </w:pPr>
          </w:p>
        </w:tc>
        <w:tc>
          <w:tcPr>
            <w:tcW w:w="2070" w:type="dxa"/>
            <w:vMerge/>
          </w:tcPr>
          <w:p w:rsidR="005916FD" w:rsidRPr="00F04B97" w:rsidRDefault="005916FD" w:rsidP="00070F4F">
            <w:pPr>
              <w:jc w:val="center"/>
              <w:rPr>
                <w:b/>
                <w:sz w:val="20"/>
                <w:szCs w:val="20"/>
              </w:rPr>
            </w:pPr>
          </w:p>
        </w:tc>
        <w:tc>
          <w:tcPr>
            <w:tcW w:w="1440" w:type="dxa"/>
          </w:tcPr>
          <w:p w:rsidR="005916FD" w:rsidRPr="00290F62" w:rsidRDefault="005916FD" w:rsidP="00070F4F">
            <w:pPr>
              <w:jc w:val="center"/>
              <w:rPr>
                <w:b/>
                <w:bCs/>
                <w:iCs/>
                <w:sz w:val="18"/>
                <w:szCs w:val="18"/>
              </w:rPr>
            </w:pPr>
            <w:r w:rsidRPr="00290F62">
              <w:rPr>
                <w:b/>
                <w:bCs/>
                <w:iCs/>
                <w:sz w:val="18"/>
                <w:szCs w:val="18"/>
              </w:rPr>
              <w:t>Project title and period</w:t>
            </w:r>
          </w:p>
        </w:tc>
        <w:tc>
          <w:tcPr>
            <w:tcW w:w="900" w:type="dxa"/>
          </w:tcPr>
          <w:p w:rsidR="005916FD" w:rsidRPr="00290F62" w:rsidRDefault="005916FD" w:rsidP="00070F4F">
            <w:pPr>
              <w:jc w:val="center"/>
              <w:rPr>
                <w:b/>
                <w:bCs/>
                <w:iCs/>
                <w:sz w:val="18"/>
                <w:szCs w:val="18"/>
              </w:rPr>
            </w:pPr>
            <w:r w:rsidRPr="00290F62">
              <w:rPr>
                <w:b/>
                <w:bCs/>
                <w:iCs/>
                <w:sz w:val="18"/>
                <w:szCs w:val="18"/>
              </w:rPr>
              <w:t>Cost in BDT (million)</w:t>
            </w:r>
          </w:p>
        </w:tc>
        <w:tc>
          <w:tcPr>
            <w:tcW w:w="1710" w:type="dxa"/>
          </w:tcPr>
          <w:p w:rsidR="005916FD" w:rsidRPr="00290F62" w:rsidRDefault="005916FD" w:rsidP="00070F4F">
            <w:pPr>
              <w:jc w:val="center"/>
              <w:rPr>
                <w:b/>
                <w:bCs/>
                <w:iCs/>
                <w:sz w:val="18"/>
                <w:szCs w:val="18"/>
              </w:rPr>
            </w:pPr>
            <w:r w:rsidRPr="00290F62">
              <w:rPr>
                <w:b/>
                <w:bCs/>
                <w:iCs/>
                <w:sz w:val="18"/>
                <w:szCs w:val="18"/>
              </w:rPr>
              <w:t>Project title and period</w:t>
            </w:r>
          </w:p>
        </w:tc>
        <w:tc>
          <w:tcPr>
            <w:tcW w:w="990" w:type="dxa"/>
          </w:tcPr>
          <w:p w:rsidR="005916FD" w:rsidRPr="00290F62" w:rsidRDefault="005916FD" w:rsidP="00070F4F">
            <w:pPr>
              <w:jc w:val="center"/>
              <w:rPr>
                <w:b/>
                <w:bCs/>
                <w:iCs/>
                <w:sz w:val="18"/>
                <w:szCs w:val="18"/>
              </w:rPr>
            </w:pPr>
            <w:r w:rsidRPr="00290F62">
              <w:rPr>
                <w:b/>
                <w:bCs/>
                <w:iCs/>
                <w:sz w:val="18"/>
                <w:szCs w:val="18"/>
              </w:rPr>
              <w:t>Cost in BDT (million)</w:t>
            </w:r>
          </w:p>
        </w:tc>
        <w:tc>
          <w:tcPr>
            <w:tcW w:w="1710" w:type="dxa"/>
            <w:vMerge/>
          </w:tcPr>
          <w:p w:rsidR="005916FD" w:rsidRPr="00F04B97" w:rsidRDefault="005916FD" w:rsidP="00070F4F">
            <w:pPr>
              <w:jc w:val="center"/>
              <w:rPr>
                <w:b/>
                <w:sz w:val="20"/>
                <w:szCs w:val="20"/>
              </w:rPr>
            </w:pPr>
          </w:p>
        </w:tc>
        <w:tc>
          <w:tcPr>
            <w:tcW w:w="1260" w:type="dxa"/>
            <w:vMerge/>
          </w:tcPr>
          <w:p w:rsidR="005916FD" w:rsidRPr="00F04B97" w:rsidRDefault="005916FD" w:rsidP="00070F4F">
            <w:pPr>
              <w:jc w:val="center"/>
              <w:rPr>
                <w:b/>
                <w:sz w:val="20"/>
                <w:szCs w:val="20"/>
              </w:rPr>
            </w:pPr>
          </w:p>
        </w:tc>
        <w:tc>
          <w:tcPr>
            <w:tcW w:w="747" w:type="dxa"/>
            <w:vMerge/>
          </w:tcPr>
          <w:p w:rsidR="005916FD" w:rsidRPr="00F04B97" w:rsidRDefault="005916FD" w:rsidP="00070F4F">
            <w:pPr>
              <w:jc w:val="center"/>
              <w:rPr>
                <w:b/>
                <w:sz w:val="20"/>
                <w:szCs w:val="20"/>
              </w:rPr>
            </w:pPr>
          </w:p>
        </w:tc>
      </w:tr>
      <w:tr w:rsidR="00A13373" w:rsidRPr="00F04B97" w:rsidTr="00E825D2">
        <w:trPr>
          <w:tblHeader/>
        </w:trPr>
        <w:tc>
          <w:tcPr>
            <w:tcW w:w="1188" w:type="dxa"/>
          </w:tcPr>
          <w:p w:rsidR="005916FD" w:rsidRPr="00F04B97" w:rsidRDefault="005916FD" w:rsidP="00070F4F">
            <w:pPr>
              <w:jc w:val="center"/>
              <w:rPr>
                <w:b/>
                <w:sz w:val="20"/>
                <w:szCs w:val="20"/>
              </w:rPr>
            </w:pPr>
            <w:r w:rsidRPr="00F04B97">
              <w:rPr>
                <w:b/>
                <w:sz w:val="20"/>
                <w:szCs w:val="20"/>
              </w:rPr>
              <w:t>1</w:t>
            </w:r>
          </w:p>
        </w:tc>
        <w:tc>
          <w:tcPr>
            <w:tcW w:w="1260" w:type="dxa"/>
          </w:tcPr>
          <w:p w:rsidR="005916FD" w:rsidRPr="00F04B97" w:rsidRDefault="005916FD" w:rsidP="00070F4F">
            <w:pPr>
              <w:jc w:val="center"/>
              <w:rPr>
                <w:b/>
                <w:sz w:val="20"/>
                <w:szCs w:val="20"/>
              </w:rPr>
            </w:pPr>
            <w:r w:rsidRPr="00F04B97">
              <w:rPr>
                <w:b/>
                <w:sz w:val="20"/>
                <w:szCs w:val="20"/>
              </w:rPr>
              <w:t>2</w:t>
            </w:r>
          </w:p>
        </w:tc>
        <w:tc>
          <w:tcPr>
            <w:tcW w:w="1170" w:type="dxa"/>
          </w:tcPr>
          <w:p w:rsidR="005916FD" w:rsidRPr="00F04B97" w:rsidRDefault="005916FD" w:rsidP="00070F4F">
            <w:pPr>
              <w:jc w:val="center"/>
              <w:rPr>
                <w:b/>
                <w:sz w:val="20"/>
                <w:szCs w:val="20"/>
              </w:rPr>
            </w:pPr>
            <w:r w:rsidRPr="00F04B97">
              <w:rPr>
                <w:b/>
                <w:sz w:val="20"/>
                <w:szCs w:val="20"/>
              </w:rPr>
              <w:t>3</w:t>
            </w:r>
          </w:p>
        </w:tc>
        <w:tc>
          <w:tcPr>
            <w:tcW w:w="1170" w:type="dxa"/>
          </w:tcPr>
          <w:p w:rsidR="005916FD" w:rsidRPr="00F04B97" w:rsidRDefault="005916FD" w:rsidP="00070F4F">
            <w:pPr>
              <w:jc w:val="center"/>
              <w:rPr>
                <w:b/>
                <w:sz w:val="20"/>
                <w:szCs w:val="20"/>
              </w:rPr>
            </w:pPr>
            <w:r w:rsidRPr="00F04B97">
              <w:rPr>
                <w:b/>
                <w:sz w:val="20"/>
                <w:szCs w:val="20"/>
              </w:rPr>
              <w:t>4</w:t>
            </w:r>
          </w:p>
        </w:tc>
        <w:tc>
          <w:tcPr>
            <w:tcW w:w="2070" w:type="dxa"/>
          </w:tcPr>
          <w:p w:rsidR="005916FD" w:rsidRPr="00F04B97" w:rsidRDefault="005916FD" w:rsidP="00070F4F">
            <w:pPr>
              <w:jc w:val="center"/>
              <w:rPr>
                <w:b/>
                <w:sz w:val="20"/>
                <w:szCs w:val="20"/>
              </w:rPr>
            </w:pPr>
            <w:r w:rsidRPr="00F04B97">
              <w:rPr>
                <w:b/>
                <w:sz w:val="20"/>
                <w:szCs w:val="20"/>
              </w:rPr>
              <w:t>5</w:t>
            </w:r>
          </w:p>
        </w:tc>
        <w:tc>
          <w:tcPr>
            <w:tcW w:w="1440" w:type="dxa"/>
          </w:tcPr>
          <w:p w:rsidR="005916FD" w:rsidRPr="00F04B97" w:rsidRDefault="005916FD" w:rsidP="00070F4F">
            <w:pPr>
              <w:jc w:val="center"/>
              <w:rPr>
                <w:b/>
                <w:sz w:val="20"/>
                <w:szCs w:val="20"/>
              </w:rPr>
            </w:pPr>
            <w:r w:rsidRPr="00F04B97">
              <w:rPr>
                <w:b/>
                <w:sz w:val="20"/>
                <w:szCs w:val="20"/>
              </w:rPr>
              <w:t>6.1</w:t>
            </w:r>
          </w:p>
        </w:tc>
        <w:tc>
          <w:tcPr>
            <w:tcW w:w="900" w:type="dxa"/>
          </w:tcPr>
          <w:p w:rsidR="005916FD" w:rsidRPr="00F04B97" w:rsidRDefault="005916FD" w:rsidP="00070F4F">
            <w:pPr>
              <w:jc w:val="center"/>
              <w:rPr>
                <w:b/>
                <w:sz w:val="20"/>
                <w:szCs w:val="20"/>
              </w:rPr>
            </w:pPr>
            <w:r w:rsidRPr="00F04B97">
              <w:rPr>
                <w:b/>
                <w:sz w:val="20"/>
                <w:szCs w:val="20"/>
              </w:rPr>
              <w:t>6.2</w:t>
            </w:r>
          </w:p>
        </w:tc>
        <w:tc>
          <w:tcPr>
            <w:tcW w:w="1710" w:type="dxa"/>
          </w:tcPr>
          <w:p w:rsidR="005916FD" w:rsidRPr="00F04B97" w:rsidRDefault="005916FD" w:rsidP="00070F4F">
            <w:pPr>
              <w:jc w:val="center"/>
              <w:rPr>
                <w:b/>
                <w:sz w:val="20"/>
                <w:szCs w:val="20"/>
              </w:rPr>
            </w:pPr>
            <w:r w:rsidRPr="00F04B97">
              <w:rPr>
                <w:b/>
                <w:sz w:val="20"/>
                <w:szCs w:val="20"/>
              </w:rPr>
              <w:t>7.1</w:t>
            </w:r>
          </w:p>
        </w:tc>
        <w:tc>
          <w:tcPr>
            <w:tcW w:w="990" w:type="dxa"/>
          </w:tcPr>
          <w:p w:rsidR="005916FD" w:rsidRPr="00F04B97" w:rsidRDefault="005916FD" w:rsidP="00070F4F">
            <w:pPr>
              <w:jc w:val="center"/>
              <w:rPr>
                <w:b/>
                <w:sz w:val="20"/>
                <w:szCs w:val="20"/>
              </w:rPr>
            </w:pPr>
            <w:r w:rsidRPr="00F04B97">
              <w:rPr>
                <w:b/>
                <w:sz w:val="20"/>
                <w:szCs w:val="20"/>
              </w:rPr>
              <w:t>7.2</w:t>
            </w:r>
          </w:p>
        </w:tc>
        <w:tc>
          <w:tcPr>
            <w:tcW w:w="1710" w:type="dxa"/>
          </w:tcPr>
          <w:p w:rsidR="005916FD" w:rsidRPr="00F04B97" w:rsidRDefault="005916FD" w:rsidP="00070F4F">
            <w:pPr>
              <w:jc w:val="center"/>
              <w:rPr>
                <w:b/>
                <w:sz w:val="20"/>
                <w:szCs w:val="20"/>
              </w:rPr>
            </w:pPr>
            <w:r w:rsidRPr="00F04B97">
              <w:rPr>
                <w:b/>
                <w:sz w:val="20"/>
                <w:szCs w:val="20"/>
              </w:rPr>
              <w:t>8</w:t>
            </w:r>
          </w:p>
        </w:tc>
        <w:tc>
          <w:tcPr>
            <w:tcW w:w="1260" w:type="dxa"/>
          </w:tcPr>
          <w:p w:rsidR="005916FD" w:rsidRPr="00F04B97" w:rsidRDefault="005916FD" w:rsidP="00070F4F">
            <w:pPr>
              <w:jc w:val="center"/>
              <w:rPr>
                <w:b/>
                <w:sz w:val="20"/>
                <w:szCs w:val="20"/>
              </w:rPr>
            </w:pPr>
            <w:r w:rsidRPr="00F04B97">
              <w:rPr>
                <w:b/>
                <w:sz w:val="20"/>
                <w:szCs w:val="20"/>
              </w:rPr>
              <w:t>9</w:t>
            </w:r>
          </w:p>
        </w:tc>
        <w:tc>
          <w:tcPr>
            <w:tcW w:w="747" w:type="dxa"/>
          </w:tcPr>
          <w:p w:rsidR="005916FD" w:rsidRPr="00F04B97" w:rsidRDefault="005916FD" w:rsidP="00070F4F">
            <w:pPr>
              <w:jc w:val="center"/>
              <w:rPr>
                <w:b/>
                <w:sz w:val="20"/>
                <w:szCs w:val="20"/>
              </w:rPr>
            </w:pPr>
            <w:r w:rsidRPr="00F04B97">
              <w:rPr>
                <w:b/>
                <w:sz w:val="20"/>
                <w:szCs w:val="20"/>
              </w:rPr>
              <w:t>10</w:t>
            </w:r>
          </w:p>
        </w:tc>
      </w:tr>
      <w:tr w:rsidR="00E825D2" w:rsidRPr="002447F6" w:rsidTr="00E825D2">
        <w:trPr>
          <w:trHeight w:val="4895"/>
          <w:tblHeader/>
        </w:trPr>
        <w:tc>
          <w:tcPr>
            <w:tcW w:w="1188" w:type="dxa"/>
            <w:vAlign w:val="center"/>
          </w:tcPr>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Target 1.1 By 2030, eradicate</w:t>
            </w:r>
          </w:p>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extreme p</w:t>
            </w:r>
            <w:r>
              <w:rPr>
                <w:rFonts w:cstheme="minorHAnsi"/>
                <w:color w:val="231F20"/>
                <w:sz w:val="18"/>
                <w:szCs w:val="18"/>
              </w:rPr>
              <w:t>overty for all people everywhere</w:t>
            </w:r>
            <w:r w:rsidRPr="00290F62">
              <w:rPr>
                <w:rFonts w:cstheme="minorHAnsi"/>
                <w:color w:val="231F20"/>
                <w:sz w:val="18"/>
                <w:szCs w:val="18"/>
              </w:rPr>
              <w:t>, currently</w:t>
            </w:r>
          </w:p>
          <w:p w:rsidR="00E825D2" w:rsidRPr="002447F6" w:rsidRDefault="00E825D2" w:rsidP="00E825D2">
            <w:pPr>
              <w:autoSpaceDE w:val="0"/>
              <w:autoSpaceDN w:val="0"/>
              <w:adjustRightInd w:val="0"/>
              <w:rPr>
                <w:b/>
                <w:sz w:val="18"/>
                <w:szCs w:val="18"/>
              </w:rPr>
            </w:pPr>
            <w:r w:rsidRPr="00290F62">
              <w:rPr>
                <w:rFonts w:cstheme="minorHAnsi"/>
                <w:color w:val="231F20"/>
                <w:sz w:val="18"/>
                <w:szCs w:val="18"/>
              </w:rPr>
              <w:t>measured as people living on less than $1.25 a day</w:t>
            </w:r>
          </w:p>
        </w:tc>
        <w:tc>
          <w:tcPr>
            <w:tcW w:w="1260" w:type="dxa"/>
            <w:vAlign w:val="center"/>
          </w:tcPr>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1.1.1 Proportion of  population</w:t>
            </w:r>
          </w:p>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below the international poverty line, by sex, age, employment</w:t>
            </w:r>
          </w:p>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status and  geographical location</w:t>
            </w:r>
          </w:p>
          <w:p w:rsidR="00E825D2" w:rsidRPr="002447F6" w:rsidRDefault="00E825D2" w:rsidP="00E825D2">
            <w:pPr>
              <w:rPr>
                <w:b/>
                <w:sz w:val="18"/>
                <w:szCs w:val="18"/>
              </w:rPr>
            </w:pPr>
            <w:r w:rsidRPr="00290F62">
              <w:rPr>
                <w:rFonts w:cstheme="minorHAnsi"/>
                <w:color w:val="231F20"/>
                <w:sz w:val="18"/>
                <w:szCs w:val="18"/>
              </w:rPr>
              <w:t>(urban/rural)</w:t>
            </w:r>
          </w:p>
        </w:tc>
        <w:tc>
          <w:tcPr>
            <w:tcW w:w="1170" w:type="dxa"/>
            <w:vAlign w:val="center"/>
          </w:tcPr>
          <w:p w:rsidR="00E825D2" w:rsidRPr="00290F62" w:rsidRDefault="00E825D2" w:rsidP="00E825D2">
            <w:pPr>
              <w:autoSpaceDE w:val="0"/>
              <w:autoSpaceDN w:val="0"/>
              <w:adjustRightInd w:val="0"/>
              <w:rPr>
                <w:rFonts w:cstheme="minorHAnsi"/>
                <w:color w:val="231F20"/>
                <w:sz w:val="18"/>
                <w:szCs w:val="18"/>
              </w:rPr>
            </w:pPr>
            <w:r w:rsidRPr="00290F62">
              <w:rPr>
                <w:rFonts w:cstheme="minorHAnsi"/>
                <w:b/>
                <w:color w:val="231F20"/>
                <w:sz w:val="18"/>
                <w:szCs w:val="18"/>
              </w:rPr>
              <w:t>Lead:</w:t>
            </w:r>
            <w:r w:rsidRPr="00290F62">
              <w:rPr>
                <w:rFonts w:cstheme="minorHAnsi"/>
                <w:color w:val="231F20"/>
                <w:sz w:val="18"/>
                <w:szCs w:val="18"/>
              </w:rPr>
              <w:t xml:space="preserve"> CD (leading the</w:t>
            </w:r>
          </w:p>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NSSS);</w:t>
            </w:r>
          </w:p>
          <w:p w:rsidR="00E825D2" w:rsidRPr="00290F62" w:rsidRDefault="00E825D2" w:rsidP="00E825D2">
            <w:pPr>
              <w:autoSpaceDE w:val="0"/>
              <w:autoSpaceDN w:val="0"/>
              <w:adjustRightInd w:val="0"/>
              <w:rPr>
                <w:rFonts w:cstheme="minorHAnsi"/>
                <w:b/>
                <w:color w:val="231F20"/>
                <w:sz w:val="18"/>
                <w:szCs w:val="18"/>
              </w:rPr>
            </w:pPr>
            <w:r w:rsidRPr="00290F62">
              <w:rPr>
                <w:rFonts w:cstheme="minorHAnsi"/>
                <w:b/>
                <w:color w:val="231F20"/>
                <w:sz w:val="18"/>
                <w:szCs w:val="18"/>
              </w:rPr>
              <w:t>Co-Lead:</w:t>
            </w:r>
          </w:p>
          <w:p w:rsidR="00E825D2" w:rsidRPr="002447F6" w:rsidRDefault="00E825D2" w:rsidP="00E825D2">
            <w:pPr>
              <w:autoSpaceDE w:val="0"/>
              <w:autoSpaceDN w:val="0"/>
              <w:adjustRightInd w:val="0"/>
              <w:rPr>
                <w:b/>
                <w:sz w:val="18"/>
                <w:szCs w:val="18"/>
              </w:rPr>
            </w:pPr>
            <w:r w:rsidRPr="00290F62">
              <w:rPr>
                <w:rFonts w:cstheme="minorHAnsi"/>
                <w:color w:val="231F20"/>
                <w:sz w:val="18"/>
                <w:szCs w:val="18"/>
              </w:rPr>
              <w:t>GED (as  NPFP)</w:t>
            </w:r>
          </w:p>
        </w:tc>
        <w:tc>
          <w:tcPr>
            <w:tcW w:w="1170" w:type="dxa"/>
            <w:vAlign w:val="center"/>
          </w:tcPr>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BFID (BB); ERD; FD; LGD; MoA;</w:t>
            </w:r>
          </w:p>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MoCHTA; MoDMR; MoEWOE; MoF; SID MoFL; PMO;</w:t>
            </w:r>
          </w:p>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MoInd; MoLE; RDCD; MoLWA;</w:t>
            </w:r>
          </w:p>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MoSW;</w:t>
            </w:r>
          </w:p>
          <w:p w:rsidR="00E825D2" w:rsidRPr="00290F62" w:rsidRDefault="00E825D2" w:rsidP="00E825D2">
            <w:pPr>
              <w:autoSpaceDE w:val="0"/>
              <w:autoSpaceDN w:val="0"/>
              <w:adjustRightInd w:val="0"/>
              <w:rPr>
                <w:rFonts w:cstheme="minorHAnsi"/>
                <w:color w:val="231F20"/>
                <w:sz w:val="18"/>
                <w:szCs w:val="18"/>
              </w:rPr>
            </w:pPr>
            <w:r w:rsidRPr="00290F62">
              <w:rPr>
                <w:rFonts w:cstheme="minorHAnsi"/>
                <w:color w:val="231F20"/>
                <w:sz w:val="18"/>
                <w:szCs w:val="18"/>
              </w:rPr>
              <w:t>MoWCA;</w:t>
            </w:r>
          </w:p>
          <w:p w:rsidR="00E825D2" w:rsidRPr="002447F6" w:rsidRDefault="00E825D2" w:rsidP="00E825D2">
            <w:pPr>
              <w:autoSpaceDE w:val="0"/>
              <w:autoSpaceDN w:val="0"/>
              <w:adjustRightInd w:val="0"/>
              <w:rPr>
                <w:b/>
                <w:sz w:val="18"/>
                <w:szCs w:val="18"/>
              </w:rPr>
            </w:pPr>
            <w:r w:rsidRPr="00290F62">
              <w:rPr>
                <w:rFonts w:cstheme="minorHAnsi"/>
                <w:color w:val="231F20"/>
                <w:sz w:val="18"/>
                <w:szCs w:val="18"/>
              </w:rPr>
              <w:t>MoYS;</w:t>
            </w:r>
          </w:p>
        </w:tc>
        <w:tc>
          <w:tcPr>
            <w:tcW w:w="2070" w:type="dxa"/>
            <w:vAlign w:val="center"/>
          </w:tcPr>
          <w:p w:rsidR="00E825D2" w:rsidRPr="00290F62" w:rsidRDefault="00E825D2" w:rsidP="00E825D2">
            <w:pPr>
              <w:rPr>
                <w:rFonts w:cstheme="minorHAnsi"/>
                <w:color w:val="231F20"/>
                <w:sz w:val="18"/>
                <w:szCs w:val="18"/>
              </w:rPr>
            </w:pPr>
            <w:r w:rsidRPr="00290F62">
              <w:rPr>
                <w:rFonts w:cstheme="minorHAnsi"/>
                <w:color w:val="231F20"/>
                <w:sz w:val="18"/>
                <w:szCs w:val="18"/>
              </w:rPr>
              <w:t>• The 7th FYP aims to reduce extreme poverty by about 4.0 percentage points to around 8.9% by FY20.</w:t>
            </w:r>
          </w:p>
          <w:p w:rsidR="00E825D2" w:rsidRPr="00290F62" w:rsidRDefault="00E825D2" w:rsidP="00E825D2">
            <w:pPr>
              <w:rPr>
                <w:rFonts w:cstheme="minorHAnsi"/>
                <w:color w:val="231F20"/>
                <w:sz w:val="18"/>
                <w:szCs w:val="18"/>
              </w:rPr>
            </w:pPr>
            <w:r w:rsidRPr="00290F62">
              <w:rPr>
                <w:rFonts w:cstheme="minorHAnsi"/>
                <w:color w:val="231F20"/>
                <w:sz w:val="18"/>
                <w:szCs w:val="18"/>
              </w:rPr>
              <w:t>• Replication of successful targeted livelihood programmes.</w:t>
            </w:r>
          </w:p>
          <w:p w:rsidR="00E825D2" w:rsidRPr="00290F62" w:rsidRDefault="00E825D2" w:rsidP="00E825D2">
            <w:pPr>
              <w:rPr>
                <w:rFonts w:cstheme="minorHAnsi"/>
                <w:color w:val="231F20"/>
                <w:sz w:val="18"/>
                <w:szCs w:val="18"/>
              </w:rPr>
            </w:pPr>
            <w:r w:rsidRPr="00290F62">
              <w:rPr>
                <w:rFonts w:cstheme="minorHAnsi"/>
                <w:color w:val="231F20"/>
                <w:sz w:val="18"/>
                <w:szCs w:val="18"/>
              </w:rPr>
              <w:t>• Support for human capital development for the extreme poor.</w:t>
            </w:r>
          </w:p>
          <w:p w:rsidR="00E825D2" w:rsidRPr="00290F62" w:rsidRDefault="00E825D2" w:rsidP="00E825D2">
            <w:pPr>
              <w:pStyle w:val="NormalWeb"/>
              <w:shd w:val="clear" w:color="auto" w:fill="FFFFFF"/>
              <w:spacing w:before="0" w:beforeAutospacing="0" w:after="0" w:afterAutospacing="0"/>
              <w:rPr>
                <w:rFonts w:asciiTheme="minorHAnsi" w:eastAsiaTheme="minorHAnsi" w:hAnsiTheme="minorHAnsi" w:cstheme="minorHAnsi"/>
                <w:color w:val="231F20"/>
                <w:sz w:val="18"/>
                <w:szCs w:val="18"/>
                <w:lang w:bidi="ar-SA"/>
              </w:rPr>
            </w:pPr>
            <w:r w:rsidRPr="00290F62">
              <w:rPr>
                <w:rFonts w:asciiTheme="minorHAnsi" w:eastAsiaTheme="minorHAnsi" w:hAnsiTheme="minorHAnsi" w:cstheme="minorHAnsi"/>
                <w:color w:val="231F20"/>
                <w:sz w:val="18"/>
                <w:szCs w:val="18"/>
                <w:lang w:bidi="ar-SA"/>
              </w:rPr>
              <w:t>Undertaking measures for</w:t>
            </w:r>
          </w:p>
          <w:p w:rsidR="00E825D2" w:rsidRPr="00290F62" w:rsidRDefault="00E825D2" w:rsidP="00E825D2">
            <w:pPr>
              <w:pStyle w:val="NormalWeb"/>
              <w:shd w:val="clear" w:color="auto" w:fill="FFFFFF"/>
              <w:spacing w:before="0" w:beforeAutospacing="0" w:after="0" w:afterAutospacing="0"/>
              <w:rPr>
                <w:rFonts w:asciiTheme="minorHAnsi" w:eastAsiaTheme="minorHAnsi" w:hAnsiTheme="minorHAnsi" w:cstheme="minorHAnsi"/>
                <w:color w:val="231F20"/>
                <w:sz w:val="18"/>
                <w:szCs w:val="18"/>
                <w:lang w:bidi="ar-SA"/>
              </w:rPr>
            </w:pPr>
            <w:r w:rsidRPr="00290F62">
              <w:rPr>
                <w:rFonts w:asciiTheme="minorHAnsi" w:eastAsiaTheme="minorHAnsi" w:hAnsiTheme="minorHAnsi" w:cstheme="minorHAnsi"/>
                <w:color w:val="231F20"/>
                <w:sz w:val="18"/>
                <w:szCs w:val="18"/>
                <w:lang w:bidi="ar-SA"/>
              </w:rPr>
              <w:t>preventing and mitigating shocks</w:t>
            </w:r>
          </w:p>
          <w:p w:rsidR="00E825D2" w:rsidRPr="00290F62" w:rsidRDefault="00E825D2" w:rsidP="00E825D2">
            <w:pPr>
              <w:pStyle w:val="NormalWeb"/>
              <w:shd w:val="clear" w:color="auto" w:fill="FFFFFF"/>
              <w:spacing w:before="0" w:beforeAutospacing="0" w:after="0" w:afterAutospacing="0"/>
              <w:rPr>
                <w:rFonts w:asciiTheme="minorHAnsi" w:eastAsiaTheme="minorHAnsi" w:hAnsiTheme="minorHAnsi" w:cstheme="minorHAnsi"/>
                <w:color w:val="231F20"/>
                <w:sz w:val="18"/>
                <w:szCs w:val="18"/>
                <w:lang w:bidi="ar-SA"/>
              </w:rPr>
            </w:pPr>
            <w:r w:rsidRPr="00290F62">
              <w:rPr>
                <w:rFonts w:asciiTheme="minorHAnsi" w:eastAsiaTheme="minorHAnsi" w:hAnsiTheme="minorHAnsi" w:cstheme="minorHAnsi"/>
                <w:color w:val="231F20"/>
                <w:sz w:val="18"/>
                <w:szCs w:val="18"/>
                <w:lang w:bidi="ar-SA"/>
              </w:rPr>
              <w:t>• Further expansion of microcredit</w:t>
            </w:r>
          </w:p>
          <w:p w:rsidR="00E825D2" w:rsidRPr="00290F62" w:rsidRDefault="00E825D2" w:rsidP="00E825D2">
            <w:pPr>
              <w:pStyle w:val="NormalWeb"/>
              <w:shd w:val="clear" w:color="auto" w:fill="FFFFFF"/>
              <w:spacing w:before="0" w:beforeAutospacing="0" w:after="0" w:afterAutospacing="0"/>
              <w:rPr>
                <w:rFonts w:asciiTheme="minorHAnsi" w:eastAsiaTheme="minorHAnsi" w:hAnsiTheme="minorHAnsi" w:cstheme="minorHAnsi"/>
                <w:color w:val="231F20"/>
                <w:sz w:val="18"/>
                <w:szCs w:val="18"/>
                <w:lang w:bidi="ar-SA"/>
              </w:rPr>
            </w:pPr>
            <w:r w:rsidRPr="00290F62">
              <w:rPr>
                <w:rFonts w:asciiTheme="minorHAnsi" w:eastAsiaTheme="minorHAnsi" w:hAnsiTheme="minorHAnsi" w:cstheme="minorHAnsi"/>
                <w:color w:val="231F20"/>
                <w:sz w:val="18"/>
                <w:szCs w:val="18"/>
                <w:lang w:bidi="ar-SA"/>
              </w:rPr>
              <w:t>&amp; micro savings</w:t>
            </w:r>
          </w:p>
          <w:p w:rsidR="00E825D2" w:rsidRPr="00290F62" w:rsidRDefault="00E825D2" w:rsidP="00E825D2">
            <w:pPr>
              <w:pStyle w:val="NormalWeb"/>
              <w:shd w:val="clear" w:color="auto" w:fill="FFFFFF"/>
              <w:spacing w:before="0" w:beforeAutospacing="0" w:after="0" w:afterAutospacing="0"/>
              <w:rPr>
                <w:rFonts w:asciiTheme="minorHAnsi" w:eastAsiaTheme="minorHAnsi" w:hAnsiTheme="minorHAnsi" w:cstheme="minorHAnsi"/>
                <w:color w:val="231F20"/>
                <w:sz w:val="18"/>
                <w:szCs w:val="18"/>
                <w:lang w:bidi="ar-SA"/>
              </w:rPr>
            </w:pPr>
            <w:r w:rsidRPr="00290F62">
              <w:rPr>
                <w:rFonts w:asciiTheme="minorHAnsi" w:eastAsiaTheme="minorHAnsi" w:hAnsiTheme="minorHAnsi" w:cstheme="minorHAnsi"/>
                <w:color w:val="231F20"/>
                <w:sz w:val="18"/>
                <w:szCs w:val="18"/>
                <w:lang w:bidi="ar-SA"/>
              </w:rPr>
              <w:t>• Expanded and inclusive social</w:t>
            </w:r>
          </w:p>
          <w:p w:rsidR="00E825D2" w:rsidRPr="002447F6" w:rsidRDefault="00E825D2" w:rsidP="00E825D2">
            <w:pPr>
              <w:pStyle w:val="NormalWeb"/>
              <w:shd w:val="clear" w:color="auto" w:fill="FFFFFF"/>
              <w:spacing w:before="0" w:beforeAutospacing="0" w:after="0" w:afterAutospacing="0"/>
              <w:rPr>
                <w:b/>
                <w:sz w:val="18"/>
                <w:szCs w:val="18"/>
              </w:rPr>
            </w:pPr>
            <w:r w:rsidRPr="00290F62">
              <w:rPr>
                <w:rFonts w:asciiTheme="minorHAnsi" w:eastAsiaTheme="minorHAnsi" w:hAnsiTheme="minorHAnsi" w:cstheme="minorHAnsi"/>
                <w:color w:val="231F20"/>
                <w:sz w:val="18"/>
                <w:szCs w:val="18"/>
                <w:lang w:bidi="ar-SA"/>
              </w:rPr>
              <w:t>protection programmes for the</w:t>
            </w:r>
            <w:r w:rsidR="00CD2AE9">
              <w:rPr>
                <w:rFonts w:asciiTheme="minorHAnsi" w:eastAsiaTheme="minorHAnsi" w:hAnsiTheme="minorHAnsi" w:cstheme="minorHAnsi"/>
                <w:color w:val="231F20"/>
                <w:sz w:val="18"/>
                <w:szCs w:val="18"/>
                <w:lang w:bidi="ar-SA"/>
              </w:rPr>
              <w:t xml:space="preserve"> </w:t>
            </w:r>
            <w:r w:rsidRPr="00290F62">
              <w:rPr>
                <w:rFonts w:asciiTheme="minorHAnsi" w:eastAsiaTheme="minorHAnsi" w:hAnsiTheme="minorHAnsi" w:cstheme="minorHAnsi"/>
                <w:color w:val="231F20"/>
                <w:sz w:val="18"/>
                <w:szCs w:val="18"/>
                <w:lang w:bidi="ar-SA"/>
              </w:rPr>
              <w:t>extreme poor</w:t>
            </w:r>
          </w:p>
        </w:tc>
        <w:tc>
          <w:tcPr>
            <w:tcW w:w="1440" w:type="dxa"/>
            <w:vAlign w:val="center"/>
          </w:tcPr>
          <w:p w:rsidR="00E825D2" w:rsidRPr="002447F6" w:rsidRDefault="00E825D2" w:rsidP="00E825D2">
            <w:pPr>
              <w:rPr>
                <w:b/>
                <w:sz w:val="18"/>
                <w:szCs w:val="18"/>
              </w:rPr>
            </w:pPr>
            <w:r w:rsidRPr="00290F62">
              <w:rPr>
                <w:rFonts w:cstheme="minorHAnsi"/>
                <w:sz w:val="18"/>
                <w:szCs w:val="18"/>
              </w:rPr>
              <w:t>Social Security Policy Support (SSPS) Programme</w:t>
            </w:r>
          </w:p>
        </w:tc>
        <w:tc>
          <w:tcPr>
            <w:tcW w:w="900" w:type="dxa"/>
            <w:vAlign w:val="center"/>
          </w:tcPr>
          <w:p w:rsidR="00E825D2" w:rsidRPr="002447F6" w:rsidRDefault="00E825D2" w:rsidP="00E825D2">
            <w:pPr>
              <w:rPr>
                <w:b/>
                <w:sz w:val="18"/>
                <w:szCs w:val="18"/>
              </w:rPr>
            </w:pPr>
            <w:r w:rsidRPr="00290F62">
              <w:rPr>
                <w:rFonts w:cstheme="minorHAnsi"/>
                <w:sz w:val="18"/>
                <w:szCs w:val="18"/>
              </w:rPr>
              <w:t>453.49</w:t>
            </w:r>
          </w:p>
        </w:tc>
        <w:tc>
          <w:tcPr>
            <w:tcW w:w="1710" w:type="dxa"/>
            <w:vAlign w:val="center"/>
          </w:tcPr>
          <w:p w:rsidR="00E825D2" w:rsidRPr="00290F62" w:rsidRDefault="00E825D2" w:rsidP="00E825D2">
            <w:pPr>
              <w:pStyle w:val="ListParagraph"/>
              <w:ind w:left="0"/>
              <w:rPr>
                <w:rFonts w:cstheme="minorHAnsi"/>
                <w:sz w:val="18"/>
                <w:szCs w:val="18"/>
              </w:rPr>
            </w:pPr>
            <w:r w:rsidRPr="00290F62">
              <w:rPr>
                <w:rFonts w:cstheme="minorHAnsi"/>
                <w:sz w:val="18"/>
                <w:szCs w:val="18"/>
              </w:rPr>
              <w:t xml:space="preserve">1. Social Security Policy Support (SSPS) Programme-2nd phase. </w:t>
            </w:r>
          </w:p>
          <w:p w:rsidR="00E825D2" w:rsidRPr="00290F62" w:rsidRDefault="00E825D2" w:rsidP="00E825D2">
            <w:pPr>
              <w:pStyle w:val="ListParagraph"/>
              <w:ind w:left="0"/>
              <w:rPr>
                <w:rFonts w:cstheme="minorHAnsi"/>
                <w:sz w:val="18"/>
                <w:szCs w:val="18"/>
              </w:rPr>
            </w:pPr>
            <w:r w:rsidRPr="00290F62">
              <w:rPr>
                <w:rFonts w:cstheme="minorHAnsi"/>
                <w:sz w:val="18"/>
                <w:szCs w:val="18"/>
              </w:rPr>
              <w:t>2. Establishment of the integrated central GRS.</w:t>
            </w:r>
          </w:p>
          <w:p w:rsidR="00E825D2" w:rsidRPr="002447F6" w:rsidRDefault="00E825D2" w:rsidP="00E825D2">
            <w:pPr>
              <w:pStyle w:val="ListParagraph"/>
              <w:ind w:left="0"/>
              <w:rPr>
                <w:b/>
                <w:sz w:val="18"/>
                <w:szCs w:val="18"/>
              </w:rPr>
            </w:pPr>
            <w:r w:rsidRPr="00290F62">
              <w:rPr>
                <w:rFonts w:cstheme="minorHAnsi"/>
                <w:sz w:val="18"/>
                <w:szCs w:val="18"/>
              </w:rPr>
              <w:t>3. Establishment of an Integrated Service Development Platform (ISDP) based on unique ID for each and every citizen</w:t>
            </w:r>
          </w:p>
        </w:tc>
        <w:tc>
          <w:tcPr>
            <w:tcW w:w="990" w:type="dxa"/>
          </w:tcPr>
          <w:p w:rsidR="00E825D2" w:rsidRDefault="00E825D2" w:rsidP="00E825D2">
            <w:pPr>
              <w:rPr>
                <w:rFonts w:cstheme="minorHAnsi"/>
                <w:sz w:val="18"/>
                <w:szCs w:val="18"/>
              </w:rPr>
            </w:pPr>
          </w:p>
          <w:p w:rsidR="00E825D2" w:rsidRDefault="00E825D2" w:rsidP="00E825D2">
            <w:pPr>
              <w:rPr>
                <w:rFonts w:cstheme="minorHAnsi"/>
                <w:sz w:val="18"/>
                <w:szCs w:val="18"/>
              </w:rPr>
            </w:pPr>
          </w:p>
          <w:p w:rsidR="00E825D2" w:rsidRDefault="00E825D2" w:rsidP="00E825D2">
            <w:pPr>
              <w:rPr>
                <w:rFonts w:cstheme="minorHAnsi"/>
                <w:sz w:val="18"/>
                <w:szCs w:val="18"/>
              </w:rPr>
            </w:pPr>
          </w:p>
          <w:p w:rsidR="00E825D2" w:rsidRDefault="00E825D2" w:rsidP="00E825D2">
            <w:pPr>
              <w:rPr>
                <w:rFonts w:cstheme="minorHAnsi"/>
                <w:sz w:val="18"/>
                <w:szCs w:val="18"/>
              </w:rPr>
            </w:pPr>
            <w:bookmarkStart w:id="0" w:name="_GoBack"/>
            <w:bookmarkEnd w:id="0"/>
          </w:p>
          <w:p w:rsidR="00E825D2" w:rsidRDefault="00E825D2" w:rsidP="00E825D2">
            <w:pPr>
              <w:rPr>
                <w:rFonts w:cstheme="minorHAnsi"/>
                <w:sz w:val="18"/>
                <w:szCs w:val="18"/>
              </w:rPr>
            </w:pPr>
          </w:p>
          <w:p w:rsidR="00E825D2" w:rsidRPr="00290F62" w:rsidRDefault="00E825D2" w:rsidP="00E825D2">
            <w:pPr>
              <w:rPr>
                <w:rFonts w:cstheme="minorHAnsi"/>
                <w:sz w:val="18"/>
                <w:szCs w:val="18"/>
              </w:rPr>
            </w:pPr>
            <w:r w:rsidRPr="00290F62">
              <w:rPr>
                <w:rFonts w:cstheme="minorHAnsi"/>
                <w:sz w:val="18"/>
                <w:szCs w:val="18"/>
              </w:rPr>
              <w:t>1,000.00</w:t>
            </w:r>
          </w:p>
          <w:p w:rsidR="00E825D2" w:rsidRPr="00290F62" w:rsidRDefault="00E825D2" w:rsidP="00E825D2">
            <w:pPr>
              <w:rPr>
                <w:rFonts w:cstheme="minorHAnsi"/>
                <w:sz w:val="18"/>
                <w:szCs w:val="18"/>
              </w:rPr>
            </w:pPr>
          </w:p>
          <w:p w:rsidR="00E825D2" w:rsidRDefault="00E825D2" w:rsidP="00E825D2">
            <w:pPr>
              <w:rPr>
                <w:rFonts w:cstheme="minorHAnsi"/>
                <w:sz w:val="18"/>
                <w:szCs w:val="18"/>
              </w:rPr>
            </w:pPr>
          </w:p>
          <w:p w:rsidR="00E825D2" w:rsidRDefault="00E825D2" w:rsidP="00E825D2">
            <w:pPr>
              <w:rPr>
                <w:rFonts w:cstheme="minorHAnsi"/>
                <w:sz w:val="18"/>
                <w:szCs w:val="18"/>
              </w:rPr>
            </w:pPr>
          </w:p>
          <w:p w:rsidR="00E825D2" w:rsidRPr="00290F62" w:rsidRDefault="00E825D2" w:rsidP="00E825D2">
            <w:pPr>
              <w:rPr>
                <w:rFonts w:cstheme="minorHAnsi"/>
                <w:sz w:val="18"/>
                <w:szCs w:val="18"/>
              </w:rPr>
            </w:pPr>
            <w:r w:rsidRPr="00290F62">
              <w:rPr>
                <w:rFonts w:cstheme="minorHAnsi"/>
                <w:sz w:val="18"/>
                <w:szCs w:val="18"/>
              </w:rPr>
              <w:t>200.00</w:t>
            </w:r>
          </w:p>
          <w:p w:rsidR="00E825D2" w:rsidRDefault="00E825D2" w:rsidP="00E825D2">
            <w:pPr>
              <w:rPr>
                <w:rFonts w:cstheme="minorHAnsi"/>
                <w:sz w:val="18"/>
                <w:szCs w:val="18"/>
              </w:rPr>
            </w:pPr>
          </w:p>
          <w:p w:rsidR="00E825D2" w:rsidRDefault="00E825D2" w:rsidP="00E825D2">
            <w:pPr>
              <w:rPr>
                <w:rFonts w:cstheme="minorHAnsi"/>
                <w:sz w:val="18"/>
                <w:szCs w:val="18"/>
              </w:rPr>
            </w:pPr>
          </w:p>
          <w:p w:rsidR="00E825D2" w:rsidRDefault="00E825D2" w:rsidP="00E825D2">
            <w:pPr>
              <w:rPr>
                <w:rFonts w:cstheme="minorHAnsi"/>
                <w:sz w:val="18"/>
                <w:szCs w:val="18"/>
              </w:rPr>
            </w:pPr>
          </w:p>
          <w:p w:rsidR="00E825D2" w:rsidRDefault="00E825D2" w:rsidP="00E825D2">
            <w:pPr>
              <w:rPr>
                <w:rFonts w:cstheme="minorHAnsi"/>
                <w:sz w:val="18"/>
                <w:szCs w:val="18"/>
              </w:rPr>
            </w:pPr>
          </w:p>
          <w:p w:rsidR="00E825D2" w:rsidRPr="002447F6" w:rsidRDefault="00E825D2" w:rsidP="00E825D2">
            <w:pPr>
              <w:rPr>
                <w:b/>
                <w:sz w:val="18"/>
                <w:szCs w:val="18"/>
              </w:rPr>
            </w:pPr>
            <w:r w:rsidRPr="00290F62">
              <w:rPr>
                <w:rFonts w:cstheme="minorHAnsi"/>
                <w:sz w:val="18"/>
                <w:szCs w:val="18"/>
              </w:rPr>
              <w:t>500.00</w:t>
            </w:r>
          </w:p>
        </w:tc>
        <w:tc>
          <w:tcPr>
            <w:tcW w:w="1710" w:type="dxa"/>
            <w:vAlign w:val="center"/>
          </w:tcPr>
          <w:p w:rsidR="00E825D2" w:rsidRPr="00290F62" w:rsidRDefault="00E825D2" w:rsidP="00E825D2">
            <w:pPr>
              <w:pStyle w:val="ListParagraph"/>
              <w:ind w:left="-18"/>
              <w:rPr>
                <w:rFonts w:cstheme="minorHAnsi"/>
                <w:sz w:val="18"/>
                <w:szCs w:val="18"/>
              </w:rPr>
            </w:pPr>
            <w:r w:rsidRPr="00290F62">
              <w:rPr>
                <w:rFonts w:cstheme="minorHAnsi"/>
                <w:sz w:val="18"/>
                <w:szCs w:val="18"/>
              </w:rPr>
              <w:t>1. Social Security Programme Consolidation Support (SSPCS).</w:t>
            </w:r>
          </w:p>
          <w:p w:rsidR="00E825D2" w:rsidRPr="00290F62" w:rsidRDefault="00E825D2" w:rsidP="00E825D2">
            <w:pPr>
              <w:pStyle w:val="ListParagraph"/>
              <w:ind w:left="-18"/>
              <w:rPr>
                <w:rFonts w:cstheme="minorHAnsi"/>
                <w:sz w:val="18"/>
                <w:szCs w:val="18"/>
              </w:rPr>
            </w:pPr>
            <w:r w:rsidRPr="00290F62">
              <w:rPr>
                <w:rFonts w:cstheme="minorHAnsi"/>
                <w:sz w:val="18"/>
                <w:szCs w:val="18"/>
              </w:rPr>
              <w:t>2. Management of the integrated central GRS.</w:t>
            </w:r>
          </w:p>
          <w:p w:rsidR="00E825D2" w:rsidRPr="002447F6" w:rsidRDefault="00E825D2" w:rsidP="00E825D2">
            <w:pPr>
              <w:pStyle w:val="ListParagraph"/>
              <w:ind w:left="-18"/>
              <w:rPr>
                <w:b/>
                <w:sz w:val="18"/>
                <w:szCs w:val="18"/>
              </w:rPr>
            </w:pPr>
            <w:r w:rsidRPr="00290F62">
              <w:rPr>
                <w:rFonts w:cstheme="minorHAnsi"/>
                <w:sz w:val="18"/>
                <w:szCs w:val="18"/>
              </w:rPr>
              <w:t>3. Management of the ISDP.</w:t>
            </w:r>
          </w:p>
        </w:tc>
        <w:tc>
          <w:tcPr>
            <w:tcW w:w="1260" w:type="dxa"/>
            <w:vAlign w:val="center"/>
          </w:tcPr>
          <w:p w:rsidR="00E825D2" w:rsidRPr="002447F6" w:rsidRDefault="00E825D2" w:rsidP="00E825D2">
            <w:pPr>
              <w:rPr>
                <w:b/>
                <w:sz w:val="18"/>
                <w:szCs w:val="18"/>
              </w:rPr>
            </w:pPr>
            <w:r w:rsidRPr="00290F62">
              <w:rPr>
                <w:rFonts w:cstheme="minorHAnsi"/>
                <w:sz w:val="18"/>
                <w:szCs w:val="18"/>
              </w:rPr>
              <w:t>1. National Strategy on GRS.</w:t>
            </w:r>
          </w:p>
        </w:tc>
        <w:tc>
          <w:tcPr>
            <w:tcW w:w="747" w:type="dxa"/>
          </w:tcPr>
          <w:p w:rsidR="00E825D2" w:rsidRPr="002447F6" w:rsidRDefault="00E825D2" w:rsidP="00070F4F">
            <w:pPr>
              <w:jc w:val="center"/>
              <w:rPr>
                <w:b/>
                <w:sz w:val="18"/>
                <w:szCs w:val="18"/>
              </w:rPr>
            </w:pPr>
          </w:p>
        </w:tc>
      </w:tr>
    </w:tbl>
    <w:p w:rsidR="00290F62" w:rsidRDefault="00290F62"/>
    <w:p w:rsidR="00E825D2" w:rsidRDefault="00E825D2"/>
    <w:p w:rsidR="00E825D2" w:rsidRDefault="00E825D2"/>
    <w:p w:rsidR="00290F62" w:rsidRDefault="00290F62"/>
    <w:tbl>
      <w:tblPr>
        <w:tblStyle w:val="TableGrid"/>
        <w:tblW w:w="0" w:type="auto"/>
        <w:tblLayout w:type="fixed"/>
        <w:tblLook w:val="04A0"/>
      </w:tblPr>
      <w:tblGrid>
        <w:gridCol w:w="1264"/>
        <w:gridCol w:w="1277"/>
        <w:gridCol w:w="1287"/>
        <w:gridCol w:w="1367"/>
        <w:gridCol w:w="1753"/>
        <w:gridCol w:w="1011"/>
        <w:gridCol w:w="969"/>
        <w:gridCol w:w="1710"/>
        <w:gridCol w:w="1170"/>
        <w:gridCol w:w="1710"/>
        <w:gridCol w:w="1350"/>
        <w:gridCol w:w="747"/>
      </w:tblGrid>
      <w:tr w:rsidR="00255EAB" w:rsidRPr="00F04B97" w:rsidTr="004B3551">
        <w:trPr>
          <w:tblHeader/>
        </w:trPr>
        <w:tc>
          <w:tcPr>
            <w:tcW w:w="1264" w:type="dxa"/>
            <w:vMerge w:val="restart"/>
            <w:vAlign w:val="center"/>
          </w:tcPr>
          <w:p w:rsidR="00857782" w:rsidRPr="00F04B97" w:rsidRDefault="00857782" w:rsidP="00A31336">
            <w:pPr>
              <w:jc w:val="center"/>
              <w:rPr>
                <w:b/>
                <w:sz w:val="20"/>
                <w:szCs w:val="20"/>
              </w:rPr>
            </w:pPr>
            <w:r w:rsidRPr="00F04B97">
              <w:rPr>
                <w:b/>
                <w:sz w:val="20"/>
                <w:szCs w:val="20"/>
              </w:rPr>
              <w:lastRenderedPageBreak/>
              <w:t>SDG targets</w:t>
            </w:r>
          </w:p>
        </w:tc>
        <w:tc>
          <w:tcPr>
            <w:tcW w:w="1277" w:type="dxa"/>
            <w:vMerge w:val="restart"/>
            <w:vAlign w:val="center"/>
          </w:tcPr>
          <w:p w:rsidR="00857782" w:rsidRPr="00F04B97" w:rsidRDefault="00857782" w:rsidP="00A31336">
            <w:pPr>
              <w:jc w:val="center"/>
              <w:rPr>
                <w:b/>
                <w:sz w:val="20"/>
                <w:szCs w:val="20"/>
              </w:rPr>
            </w:pPr>
            <w:r w:rsidRPr="00F04B97">
              <w:rPr>
                <w:b/>
                <w:sz w:val="20"/>
                <w:szCs w:val="20"/>
              </w:rPr>
              <w:t>Global Indicators for SDG Targets</w:t>
            </w:r>
          </w:p>
        </w:tc>
        <w:tc>
          <w:tcPr>
            <w:tcW w:w="1287" w:type="dxa"/>
            <w:vMerge w:val="restart"/>
            <w:vAlign w:val="center"/>
          </w:tcPr>
          <w:p w:rsidR="00857782" w:rsidRPr="00F04B97" w:rsidRDefault="00857782" w:rsidP="00A31336">
            <w:pPr>
              <w:jc w:val="center"/>
              <w:rPr>
                <w:b/>
                <w:sz w:val="20"/>
                <w:szCs w:val="20"/>
              </w:rPr>
            </w:pPr>
            <w:r w:rsidRPr="00F04B97">
              <w:rPr>
                <w:b/>
                <w:sz w:val="20"/>
                <w:szCs w:val="20"/>
              </w:rPr>
              <w:t>Lead/Co-lead Ministries/ Divisions</w:t>
            </w:r>
          </w:p>
        </w:tc>
        <w:tc>
          <w:tcPr>
            <w:tcW w:w="1367" w:type="dxa"/>
            <w:vMerge w:val="restart"/>
            <w:vAlign w:val="center"/>
          </w:tcPr>
          <w:p w:rsidR="00857782" w:rsidRPr="00F04B97" w:rsidRDefault="00857782" w:rsidP="00A31336">
            <w:pPr>
              <w:jc w:val="center"/>
              <w:rPr>
                <w:b/>
                <w:sz w:val="20"/>
                <w:szCs w:val="20"/>
              </w:rPr>
            </w:pPr>
            <w:r w:rsidRPr="00F04B97">
              <w:rPr>
                <w:b/>
                <w:sz w:val="20"/>
                <w:szCs w:val="20"/>
              </w:rPr>
              <w:t>Associate Ministries/ Divisions</w:t>
            </w:r>
          </w:p>
        </w:tc>
        <w:tc>
          <w:tcPr>
            <w:tcW w:w="1753" w:type="dxa"/>
            <w:vMerge w:val="restart"/>
            <w:vAlign w:val="center"/>
          </w:tcPr>
          <w:p w:rsidR="00857782" w:rsidRPr="00F04B97" w:rsidRDefault="00857782" w:rsidP="00A31336">
            <w:pPr>
              <w:jc w:val="center"/>
              <w:rPr>
                <w:b/>
                <w:sz w:val="20"/>
                <w:szCs w:val="20"/>
              </w:rPr>
            </w:pPr>
            <w:r w:rsidRPr="00F04B97">
              <w:rPr>
                <w:b/>
                <w:sz w:val="20"/>
                <w:szCs w:val="20"/>
              </w:rPr>
              <w:t>7th FYP Goals/Targets related to SDG Targets and Indicators</w:t>
            </w:r>
          </w:p>
        </w:tc>
        <w:tc>
          <w:tcPr>
            <w:tcW w:w="1980" w:type="dxa"/>
            <w:gridSpan w:val="2"/>
          </w:tcPr>
          <w:p w:rsidR="00857782" w:rsidRPr="00F04B97" w:rsidRDefault="00857782" w:rsidP="00A31336">
            <w:pPr>
              <w:jc w:val="center"/>
              <w:rPr>
                <w:b/>
                <w:sz w:val="20"/>
                <w:szCs w:val="20"/>
              </w:rPr>
            </w:pPr>
            <w:r w:rsidRPr="00F04B97">
              <w:rPr>
                <w:b/>
                <w:sz w:val="20"/>
                <w:szCs w:val="20"/>
              </w:rPr>
              <w:t>On-going Project/Programme to achieve 7th FYP Goals/ Targets</w:t>
            </w:r>
          </w:p>
        </w:tc>
        <w:tc>
          <w:tcPr>
            <w:tcW w:w="2880" w:type="dxa"/>
            <w:gridSpan w:val="2"/>
          </w:tcPr>
          <w:p w:rsidR="00857782" w:rsidRPr="00F04B97" w:rsidRDefault="00857782" w:rsidP="00A31336">
            <w:pPr>
              <w:jc w:val="center"/>
              <w:rPr>
                <w:b/>
                <w:sz w:val="20"/>
                <w:szCs w:val="20"/>
              </w:rPr>
            </w:pPr>
            <w:r w:rsidRPr="00F04B97">
              <w:rPr>
                <w:b/>
                <w:sz w:val="20"/>
                <w:szCs w:val="20"/>
              </w:rPr>
              <w:t>Requirements of New Project/ Programme up to 2020</w:t>
            </w:r>
          </w:p>
        </w:tc>
        <w:tc>
          <w:tcPr>
            <w:tcW w:w="1710" w:type="dxa"/>
            <w:vMerge w:val="restart"/>
            <w:vAlign w:val="center"/>
          </w:tcPr>
          <w:p w:rsidR="00857782" w:rsidRPr="00F04B97" w:rsidRDefault="00857782" w:rsidP="00A31336">
            <w:pPr>
              <w:jc w:val="center"/>
              <w:rPr>
                <w:b/>
                <w:sz w:val="20"/>
                <w:szCs w:val="20"/>
              </w:rPr>
            </w:pPr>
            <w:r w:rsidRPr="00F04B97">
              <w:rPr>
                <w:b/>
                <w:sz w:val="20"/>
                <w:szCs w:val="20"/>
              </w:rPr>
              <w:t>Actions/ Projects beyond 7th FYP Period (2021-2030)</w:t>
            </w:r>
          </w:p>
        </w:tc>
        <w:tc>
          <w:tcPr>
            <w:tcW w:w="1350" w:type="dxa"/>
            <w:vMerge w:val="restart"/>
          </w:tcPr>
          <w:p w:rsidR="00857782" w:rsidRPr="00F04B97" w:rsidRDefault="00857782" w:rsidP="00A31336">
            <w:pPr>
              <w:jc w:val="center"/>
              <w:rPr>
                <w:b/>
                <w:sz w:val="20"/>
                <w:szCs w:val="20"/>
              </w:rPr>
            </w:pPr>
            <w:r w:rsidRPr="00F04B97">
              <w:rPr>
                <w:b/>
                <w:sz w:val="20"/>
                <w:szCs w:val="20"/>
              </w:rPr>
              <w:t>Policy/ Strategy if needed (in relation with Column 8)</w:t>
            </w:r>
          </w:p>
        </w:tc>
        <w:tc>
          <w:tcPr>
            <w:tcW w:w="747" w:type="dxa"/>
            <w:vMerge w:val="restart"/>
            <w:textDirection w:val="btLr"/>
            <w:vAlign w:val="center"/>
          </w:tcPr>
          <w:p w:rsidR="00857782" w:rsidRPr="00F04B97" w:rsidRDefault="00857782" w:rsidP="00255EAB">
            <w:pPr>
              <w:ind w:left="113" w:right="113"/>
              <w:jc w:val="center"/>
              <w:rPr>
                <w:b/>
                <w:sz w:val="20"/>
                <w:szCs w:val="20"/>
              </w:rPr>
            </w:pPr>
            <w:r w:rsidRPr="00F04B97">
              <w:rPr>
                <w:b/>
                <w:sz w:val="20"/>
                <w:szCs w:val="20"/>
              </w:rPr>
              <w:t>Comments</w:t>
            </w:r>
          </w:p>
        </w:tc>
      </w:tr>
      <w:tr w:rsidR="00255EAB" w:rsidRPr="00F04B97" w:rsidTr="004B3551">
        <w:trPr>
          <w:tblHeader/>
        </w:trPr>
        <w:tc>
          <w:tcPr>
            <w:tcW w:w="1264" w:type="dxa"/>
            <w:vMerge/>
          </w:tcPr>
          <w:p w:rsidR="00857782" w:rsidRPr="00F04B97" w:rsidRDefault="00857782" w:rsidP="00A31336">
            <w:pPr>
              <w:jc w:val="center"/>
              <w:rPr>
                <w:b/>
                <w:sz w:val="20"/>
                <w:szCs w:val="20"/>
              </w:rPr>
            </w:pPr>
          </w:p>
        </w:tc>
        <w:tc>
          <w:tcPr>
            <w:tcW w:w="1277" w:type="dxa"/>
            <w:vMerge/>
          </w:tcPr>
          <w:p w:rsidR="00857782" w:rsidRPr="00F04B97" w:rsidRDefault="00857782" w:rsidP="00A31336">
            <w:pPr>
              <w:jc w:val="center"/>
              <w:rPr>
                <w:b/>
                <w:sz w:val="20"/>
                <w:szCs w:val="20"/>
              </w:rPr>
            </w:pPr>
          </w:p>
        </w:tc>
        <w:tc>
          <w:tcPr>
            <w:tcW w:w="1287" w:type="dxa"/>
            <w:vMerge/>
          </w:tcPr>
          <w:p w:rsidR="00857782" w:rsidRPr="00F04B97" w:rsidRDefault="00857782" w:rsidP="00A31336">
            <w:pPr>
              <w:jc w:val="center"/>
              <w:rPr>
                <w:b/>
                <w:sz w:val="20"/>
                <w:szCs w:val="20"/>
              </w:rPr>
            </w:pPr>
          </w:p>
        </w:tc>
        <w:tc>
          <w:tcPr>
            <w:tcW w:w="1367" w:type="dxa"/>
            <w:vMerge/>
          </w:tcPr>
          <w:p w:rsidR="00857782" w:rsidRPr="00F04B97" w:rsidRDefault="00857782" w:rsidP="00A31336">
            <w:pPr>
              <w:jc w:val="center"/>
              <w:rPr>
                <w:b/>
                <w:sz w:val="20"/>
                <w:szCs w:val="20"/>
              </w:rPr>
            </w:pPr>
          </w:p>
        </w:tc>
        <w:tc>
          <w:tcPr>
            <w:tcW w:w="1753" w:type="dxa"/>
            <w:vMerge/>
          </w:tcPr>
          <w:p w:rsidR="00857782" w:rsidRPr="00F04B97" w:rsidRDefault="00857782" w:rsidP="00A31336">
            <w:pPr>
              <w:jc w:val="center"/>
              <w:rPr>
                <w:b/>
                <w:sz w:val="20"/>
                <w:szCs w:val="20"/>
              </w:rPr>
            </w:pPr>
          </w:p>
        </w:tc>
        <w:tc>
          <w:tcPr>
            <w:tcW w:w="1011" w:type="dxa"/>
          </w:tcPr>
          <w:p w:rsidR="00857782" w:rsidRPr="00F04B97" w:rsidRDefault="00857782" w:rsidP="00A31336">
            <w:pPr>
              <w:jc w:val="center"/>
              <w:rPr>
                <w:i/>
                <w:sz w:val="20"/>
                <w:szCs w:val="20"/>
              </w:rPr>
            </w:pPr>
            <w:r w:rsidRPr="00F04B97">
              <w:rPr>
                <w:i/>
                <w:sz w:val="20"/>
                <w:szCs w:val="20"/>
              </w:rPr>
              <w:t>Project title and period</w:t>
            </w:r>
          </w:p>
        </w:tc>
        <w:tc>
          <w:tcPr>
            <w:tcW w:w="969" w:type="dxa"/>
          </w:tcPr>
          <w:p w:rsidR="00857782" w:rsidRPr="00F04B97" w:rsidRDefault="00857782" w:rsidP="00A31336">
            <w:pPr>
              <w:jc w:val="center"/>
              <w:rPr>
                <w:i/>
                <w:sz w:val="20"/>
                <w:szCs w:val="20"/>
              </w:rPr>
            </w:pPr>
            <w:r w:rsidRPr="00F04B97">
              <w:rPr>
                <w:i/>
                <w:sz w:val="20"/>
                <w:szCs w:val="20"/>
              </w:rPr>
              <w:t>Cost in BDT (million)</w:t>
            </w:r>
          </w:p>
        </w:tc>
        <w:tc>
          <w:tcPr>
            <w:tcW w:w="1710" w:type="dxa"/>
          </w:tcPr>
          <w:p w:rsidR="00857782" w:rsidRPr="00F04B97" w:rsidRDefault="00857782" w:rsidP="00A31336">
            <w:pPr>
              <w:jc w:val="center"/>
              <w:rPr>
                <w:i/>
                <w:sz w:val="20"/>
                <w:szCs w:val="20"/>
              </w:rPr>
            </w:pPr>
            <w:r w:rsidRPr="00F04B97">
              <w:rPr>
                <w:i/>
                <w:sz w:val="20"/>
                <w:szCs w:val="20"/>
              </w:rPr>
              <w:t>Project title and period</w:t>
            </w:r>
          </w:p>
        </w:tc>
        <w:tc>
          <w:tcPr>
            <w:tcW w:w="1170" w:type="dxa"/>
          </w:tcPr>
          <w:p w:rsidR="00857782" w:rsidRPr="00F04B97" w:rsidRDefault="00857782" w:rsidP="00A31336">
            <w:pPr>
              <w:jc w:val="center"/>
              <w:rPr>
                <w:i/>
                <w:sz w:val="20"/>
                <w:szCs w:val="20"/>
              </w:rPr>
            </w:pPr>
            <w:r w:rsidRPr="00F04B97">
              <w:rPr>
                <w:i/>
                <w:sz w:val="20"/>
                <w:szCs w:val="20"/>
              </w:rPr>
              <w:t>Cost in BDT (million)</w:t>
            </w:r>
          </w:p>
        </w:tc>
        <w:tc>
          <w:tcPr>
            <w:tcW w:w="1710" w:type="dxa"/>
            <w:vMerge/>
          </w:tcPr>
          <w:p w:rsidR="00857782" w:rsidRPr="00F04B97" w:rsidRDefault="00857782" w:rsidP="00A31336">
            <w:pPr>
              <w:jc w:val="center"/>
              <w:rPr>
                <w:b/>
                <w:sz w:val="20"/>
                <w:szCs w:val="20"/>
              </w:rPr>
            </w:pPr>
          </w:p>
        </w:tc>
        <w:tc>
          <w:tcPr>
            <w:tcW w:w="1350" w:type="dxa"/>
            <w:vMerge/>
          </w:tcPr>
          <w:p w:rsidR="00857782" w:rsidRPr="00F04B97" w:rsidRDefault="00857782" w:rsidP="00A31336">
            <w:pPr>
              <w:jc w:val="center"/>
              <w:rPr>
                <w:b/>
                <w:sz w:val="20"/>
                <w:szCs w:val="20"/>
              </w:rPr>
            </w:pPr>
          </w:p>
        </w:tc>
        <w:tc>
          <w:tcPr>
            <w:tcW w:w="747" w:type="dxa"/>
            <w:vMerge/>
          </w:tcPr>
          <w:p w:rsidR="00857782" w:rsidRPr="00F04B97" w:rsidRDefault="00857782" w:rsidP="00A31336">
            <w:pPr>
              <w:jc w:val="center"/>
              <w:rPr>
                <w:b/>
                <w:sz w:val="20"/>
                <w:szCs w:val="20"/>
              </w:rPr>
            </w:pPr>
          </w:p>
        </w:tc>
      </w:tr>
      <w:tr w:rsidR="00255EAB" w:rsidRPr="00F04B97" w:rsidTr="004B3551">
        <w:trPr>
          <w:tblHeader/>
        </w:trPr>
        <w:tc>
          <w:tcPr>
            <w:tcW w:w="1264" w:type="dxa"/>
          </w:tcPr>
          <w:p w:rsidR="00857782" w:rsidRPr="00F04B97" w:rsidRDefault="00857782" w:rsidP="00A31336">
            <w:pPr>
              <w:jc w:val="center"/>
              <w:rPr>
                <w:b/>
                <w:sz w:val="20"/>
                <w:szCs w:val="20"/>
              </w:rPr>
            </w:pPr>
            <w:r w:rsidRPr="00F04B97">
              <w:rPr>
                <w:b/>
                <w:sz w:val="20"/>
                <w:szCs w:val="20"/>
              </w:rPr>
              <w:t>1</w:t>
            </w:r>
          </w:p>
        </w:tc>
        <w:tc>
          <w:tcPr>
            <w:tcW w:w="1277" w:type="dxa"/>
          </w:tcPr>
          <w:p w:rsidR="00857782" w:rsidRPr="00F04B97" w:rsidRDefault="00857782" w:rsidP="00A31336">
            <w:pPr>
              <w:jc w:val="center"/>
              <w:rPr>
                <w:b/>
                <w:sz w:val="20"/>
                <w:szCs w:val="20"/>
              </w:rPr>
            </w:pPr>
            <w:r w:rsidRPr="00F04B97">
              <w:rPr>
                <w:b/>
                <w:sz w:val="20"/>
                <w:szCs w:val="20"/>
              </w:rPr>
              <w:t>2</w:t>
            </w:r>
          </w:p>
        </w:tc>
        <w:tc>
          <w:tcPr>
            <w:tcW w:w="1287" w:type="dxa"/>
          </w:tcPr>
          <w:p w:rsidR="00857782" w:rsidRPr="00F04B97" w:rsidRDefault="00857782" w:rsidP="00A31336">
            <w:pPr>
              <w:jc w:val="center"/>
              <w:rPr>
                <w:b/>
                <w:sz w:val="20"/>
                <w:szCs w:val="20"/>
              </w:rPr>
            </w:pPr>
            <w:r w:rsidRPr="00F04B97">
              <w:rPr>
                <w:b/>
                <w:sz w:val="20"/>
                <w:szCs w:val="20"/>
              </w:rPr>
              <w:t>3</w:t>
            </w:r>
          </w:p>
        </w:tc>
        <w:tc>
          <w:tcPr>
            <w:tcW w:w="1367" w:type="dxa"/>
          </w:tcPr>
          <w:p w:rsidR="00857782" w:rsidRPr="00F04B97" w:rsidRDefault="00857782" w:rsidP="00A31336">
            <w:pPr>
              <w:jc w:val="center"/>
              <w:rPr>
                <w:b/>
                <w:sz w:val="20"/>
                <w:szCs w:val="20"/>
              </w:rPr>
            </w:pPr>
            <w:r w:rsidRPr="00F04B97">
              <w:rPr>
                <w:b/>
                <w:sz w:val="20"/>
                <w:szCs w:val="20"/>
              </w:rPr>
              <w:t>4</w:t>
            </w:r>
          </w:p>
        </w:tc>
        <w:tc>
          <w:tcPr>
            <w:tcW w:w="1753" w:type="dxa"/>
          </w:tcPr>
          <w:p w:rsidR="00857782" w:rsidRPr="00F04B97" w:rsidRDefault="00857782" w:rsidP="00A31336">
            <w:pPr>
              <w:jc w:val="center"/>
              <w:rPr>
                <w:b/>
                <w:sz w:val="20"/>
                <w:szCs w:val="20"/>
              </w:rPr>
            </w:pPr>
            <w:r w:rsidRPr="00F04B97">
              <w:rPr>
                <w:b/>
                <w:sz w:val="20"/>
                <w:szCs w:val="20"/>
              </w:rPr>
              <w:t>5</w:t>
            </w:r>
          </w:p>
        </w:tc>
        <w:tc>
          <w:tcPr>
            <w:tcW w:w="1011" w:type="dxa"/>
          </w:tcPr>
          <w:p w:rsidR="00857782" w:rsidRPr="00F04B97" w:rsidRDefault="00857782" w:rsidP="00A31336">
            <w:pPr>
              <w:jc w:val="center"/>
              <w:rPr>
                <w:b/>
                <w:sz w:val="20"/>
                <w:szCs w:val="20"/>
              </w:rPr>
            </w:pPr>
            <w:r w:rsidRPr="00F04B97">
              <w:rPr>
                <w:b/>
                <w:sz w:val="20"/>
                <w:szCs w:val="20"/>
              </w:rPr>
              <w:t>6.1</w:t>
            </w:r>
          </w:p>
        </w:tc>
        <w:tc>
          <w:tcPr>
            <w:tcW w:w="969" w:type="dxa"/>
          </w:tcPr>
          <w:p w:rsidR="00857782" w:rsidRPr="00F04B97" w:rsidRDefault="00857782" w:rsidP="00A31336">
            <w:pPr>
              <w:jc w:val="center"/>
              <w:rPr>
                <w:b/>
                <w:sz w:val="20"/>
                <w:szCs w:val="20"/>
              </w:rPr>
            </w:pPr>
            <w:r w:rsidRPr="00F04B97">
              <w:rPr>
                <w:b/>
                <w:sz w:val="20"/>
                <w:szCs w:val="20"/>
              </w:rPr>
              <w:t>6.2</w:t>
            </w:r>
          </w:p>
        </w:tc>
        <w:tc>
          <w:tcPr>
            <w:tcW w:w="1710" w:type="dxa"/>
          </w:tcPr>
          <w:p w:rsidR="00857782" w:rsidRPr="00F04B97" w:rsidRDefault="00857782" w:rsidP="00A31336">
            <w:pPr>
              <w:jc w:val="center"/>
              <w:rPr>
                <w:b/>
                <w:sz w:val="20"/>
                <w:szCs w:val="20"/>
              </w:rPr>
            </w:pPr>
            <w:r w:rsidRPr="00F04B97">
              <w:rPr>
                <w:b/>
                <w:sz w:val="20"/>
                <w:szCs w:val="20"/>
              </w:rPr>
              <w:t>7.1</w:t>
            </w:r>
          </w:p>
        </w:tc>
        <w:tc>
          <w:tcPr>
            <w:tcW w:w="1170" w:type="dxa"/>
          </w:tcPr>
          <w:p w:rsidR="00857782" w:rsidRPr="00F04B97" w:rsidRDefault="00857782" w:rsidP="00A31336">
            <w:pPr>
              <w:jc w:val="center"/>
              <w:rPr>
                <w:b/>
                <w:sz w:val="20"/>
                <w:szCs w:val="20"/>
              </w:rPr>
            </w:pPr>
            <w:r w:rsidRPr="00F04B97">
              <w:rPr>
                <w:b/>
                <w:sz w:val="20"/>
                <w:szCs w:val="20"/>
              </w:rPr>
              <w:t>7.2</w:t>
            </w:r>
          </w:p>
        </w:tc>
        <w:tc>
          <w:tcPr>
            <w:tcW w:w="1710" w:type="dxa"/>
          </w:tcPr>
          <w:p w:rsidR="00857782" w:rsidRPr="00F04B97" w:rsidRDefault="00857782" w:rsidP="00A31336">
            <w:pPr>
              <w:jc w:val="center"/>
              <w:rPr>
                <w:b/>
                <w:sz w:val="20"/>
                <w:szCs w:val="20"/>
              </w:rPr>
            </w:pPr>
            <w:r w:rsidRPr="00F04B97">
              <w:rPr>
                <w:b/>
                <w:sz w:val="20"/>
                <w:szCs w:val="20"/>
              </w:rPr>
              <w:t>8</w:t>
            </w:r>
          </w:p>
        </w:tc>
        <w:tc>
          <w:tcPr>
            <w:tcW w:w="1350" w:type="dxa"/>
          </w:tcPr>
          <w:p w:rsidR="00857782" w:rsidRPr="00F04B97" w:rsidRDefault="00857782" w:rsidP="00A31336">
            <w:pPr>
              <w:jc w:val="center"/>
              <w:rPr>
                <w:b/>
                <w:sz w:val="20"/>
                <w:szCs w:val="20"/>
              </w:rPr>
            </w:pPr>
            <w:r w:rsidRPr="00F04B97">
              <w:rPr>
                <w:b/>
                <w:sz w:val="20"/>
                <w:szCs w:val="20"/>
              </w:rPr>
              <w:t>9</w:t>
            </w:r>
          </w:p>
        </w:tc>
        <w:tc>
          <w:tcPr>
            <w:tcW w:w="747" w:type="dxa"/>
          </w:tcPr>
          <w:p w:rsidR="00857782" w:rsidRPr="00F04B97" w:rsidRDefault="00857782" w:rsidP="00A31336">
            <w:pPr>
              <w:jc w:val="center"/>
              <w:rPr>
                <w:b/>
                <w:sz w:val="20"/>
                <w:szCs w:val="20"/>
              </w:rPr>
            </w:pPr>
            <w:r w:rsidRPr="00F04B97">
              <w:rPr>
                <w:b/>
                <w:sz w:val="20"/>
                <w:szCs w:val="20"/>
              </w:rPr>
              <w:t>10</w:t>
            </w:r>
          </w:p>
        </w:tc>
      </w:tr>
      <w:tr w:rsidR="00862CB7" w:rsidRPr="00F04B97" w:rsidTr="004B3551">
        <w:trPr>
          <w:trHeight w:val="3392"/>
        </w:trPr>
        <w:tc>
          <w:tcPr>
            <w:tcW w:w="1264" w:type="dxa"/>
            <w:vMerge w:val="restart"/>
            <w:vAlign w:val="center"/>
          </w:tcPr>
          <w:p w:rsidR="00862CB7" w:rsidRPr="00F04B97" w:rsidRDefault="00862CB7" w:rsidP="00105D93">
            <w:pPr>
              <w:autoSpaceDE w:val="0"/>
              <w:autoSpaceDN w:val="0"/>
              <w:adjustRightInd w:val="0"/>
              <w:rPr>
                <w:rFonts w:cs="TimesNewRomanPSMT"/>
                <w:color w:val="231F20"/>
                <w:sz w:val="20"/>
                <w:szCs w:val="20"/>
              </w:rPr>
            </w:pPr>
            <w:r w:rsidRPr="00F04B97">
              <w:rPr>
                <w:rFonts w:cs="TimesNewRomanPSMT"/>
                <w:color w:val="231F20"/>
                <w:sz w:val="20"/>
                <w:szCs w:val="20"/>
              </w:rPr>
              <w:t>1.2 By 2030, reduce at least by  half the proportion of men,</w:t>
            </w:r>
          </w:p>
          <w:p w:rsidR="00862CB7" w:rsidRPr="00F04B97" w:rsidRDefault="00862CB7" w:rsidP="00105D93">
            <w:pPr>
              <w:autoSpaceDE w:val="0"/>
              <w:autoSpaceDN w:val="0"/>
              <w:adjustRightInd w:val="0"/>
              <w:rPr>
                <w:rFonts w:cs="TimesNewRomanPSMT"/>
                <w:color w:val="231F20"/>
                <w:sz w:val="20"/>
                <w:szCs w:val="20"/>
              </w:rPr>
            </w:pPr>
            <w:r w:rsidRPr="00F04B97">
              <w:rPr>
                <w:rFonts w:cs="TimesNewRomanPSMT"/>
                <w:color w:val="231F20"/>
                <w:sz w:val="20"/>
                <w:szCs w:val="20"/>
              </w:rPr>
              <w:t>women and children of all ages living in poverty in all its dimensions according to national definitions</w:t>
            </w:r>
          </w:p>
        </w:tc>
        <w:tc>
          <w:tcPr>
            <w:tcW w:w="1277" w:type="dxa"/>
            <w:vAlign w:val="center"/>
          </w:tcPr>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1.2.1 Proportion of population</w:t>
            </w:r>
          </w:p>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living below the national poverty line, by sex and age</w:t>
            </w:r>
          </w:p>
        </w:tc>
        <w:tc>
          <w:tcPr>
            <w:tcW w:w="1287" w:type="dxa"/>
            <w:vAlign w:val="center"/>
          </w:tcPr>
          <w:p w:rsidR="00862CB7" w:rsidRPr="00F04B97" w:rsidRDefault="00862CB7" w:rsidP="00992C8D">
            <w:pPr>
              <w:autoSpaceDE w:val="0"/>
              <w:autoSpaceDN w:val="0"/>
              <w:adjustRightInd w:val="0"/>
              <w:rPr>
                <w:rFonts w:cs="TimesNewRomanPSMT"/>
                <w:color w:val="231F20"/>
                <w:sz w:val="20"/>
                <w:szCs w:val="20"/>
              </w:rPr>
            </w:pPr>
            <w:r w:rsidRPr="00F04B97">
              <w:rPr>
                <w:rFonts w:cs="TimesNewRomanPSMT"/>
                <w:b/>
                <w:color w:val="231F20"/>
                <w:sz w:val="20"/>
                <w:szCs w:val="20"/>
              </w:rPr>
              <w:t>Lead:</w:t>
            </w:r>
            <w:r w:rsidRPr="00F04B97">
              <w:rPr>
                <w:rFonts w:cs="TimesNewRomanPSMT"/>
                <w:color w:val="231F20"/>
                <w:sz w:val="20"/>
                <w:szCs w:val="20"/>
              </w:rPr>
              <w:t xml:space="preserve"> CD (leading the</w:t>
            </w:r>
          </w:p>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 xml:space="preserve">NSSS); </w:t>
            </w:r>
          </w:p>
          <w:p w:rsidR="00862CB7" w:rsidRPr="00F04B97" w:rsidRDefault="00862CB7" w:rsidP="00992C8D">
            <w:pPr>
              <w:autoSpaceDE w:val="0"/>
              <w:autoSpaceDN w:val="0"/>
              <w:adjustRightInd w:val="0"/>
              <w:rPr>
                <w:rFonts w:cs="TimesNewRomanPSMT"/>
                <w:b/>
                <w:color w:val="231F20"/>
                <w:sz w:val="20"/>
                <w:szCs w:val="20"/>
              </w:rPr>
            </w:pPr>
            <w:r w:rsidRPr="00F04B97">
              <w:rPr>
                <w:rFonts w:cs="TimesNewRomanPSMT"/>
                <w:b/>
                <w:color w:val="231F20"/>
                <w:sz w:val="20"/>
                <w:szCs w:val="20"/>
              </w:rPr>
              <w:t>Co-Lead:</w:t>
            </w:r>
          </w:p>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GED (as  NPFP)</w:t>
            </w:r>
          </w:p>
        </w:tc>
        <w:tc>
          <w:tcPr>
            <w:tcW w:w="1367" w:type="dxa"/>
            <w:vAlign w:val="center"/>
          </w:tcPr>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ERD; FD; LGD; MoA;</w:t>
            </w:r>
          </w:p>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MoCHTA; MoDMR;</w:t>
            </w:r>
          </w:p>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MoEWOE;</w:t>
            </w:r>
          </w:p>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MoF; MoFL; MoHFW;</w:t>
            </w:r>
          </w:p>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MoInd;  SID MoLE; PMO; MoRA; MoSW;</w:t>
            </w:r>
          </w:p>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MoWCA;</w:t>
            </w:r>
          </w:p>
          <w:p w:rsidR="00862CB7" w:rsidRPr="00F04B97" w:rsidRDefault="00862CB7" w:rsidP="00992C8D">
            <w:pPr>
              <w:autoSpaceDE w:val="0"/>
              <w:autoSpaceDN w:val="0"/>
              <w:adjustRightInd w:val="0"/>
              <w:rPr>
                <w:rFonts w:cs="TimesNewRomanPSMT"/>
                <w:color w:val="231F20"/>
                <w:sz w:val="20"/>
                <w:szCs w:val="20"/>
              </w:rPr>
            </w:pPr>
            <w:r w:rsidRPr="00F04B97">
              <w:rPr>
                <w:rFonts w:cs="TimesNewRomanPSMT"/>
                <w:color w:val="231F20"/>
                <w:sz w:val="20"/>
                <w:szCs w:val="20"/>
              </w:rPr>
              <w:t>MoYS; RDCD</w:t>
            </w:r>
          </w:p>
        </w:tc>
        <w:tc>
          <w:tcPr>
            <w:tcW w:w="1753" w:type="dxa"/>
            <w:vMerge w:val="restart"/>
          </w:tcPr>
          <w:p w:rsidR="00862CB7" w:rsidRPr="00BE6B66" w:rsidRDefault="00862CB7" w:rsidP="00BE6B66">
            <w:pPr>
              <w:autoSpaceDE w:val="0"/>
              <w:autoSpaceDN w:val="0"/>
              <w:adjustRightInd w:val="0"/>
              <w:rPr>
                <w:rFonts w:cs="TimesNewRomanPSMT"/>
                <w:color w:val="231F20"/>
                <w:sz w:val="20"/>
                <w:szCs w:val="20"/>
              </w:rPr>
            </w:pPr>
            <w:r w:rsidRPr="00347054">
              <w:rPr>
                <w:rFonts w:cs="TimesNewRomanPSMT"/>
                <w:color w:val="231F20"/>
                <w:sz w:val="20"/>
                <w:szCs w:val="20"/>
              </w:rPr>
              <w:t>•</w:t>
            </w:r>
            <w:r w:rsidRPr="00BE6B66">
              <w:rPr>
                <w:rFonts w:cs="TimesNewRomanPSMT"/>
                <w:color w:val="231F20"/>
                <w:sz w:val="20"/>
                <w:szCs w:val="20"/>
              </w:rPr>
              <w:t>The 7th Plan seeks to reduce</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poverty rate to 18.6% by FY20</w:t>
            </w:r>
          </w:p>
          <w:p w:rsidR="00862CB7" w:rsidRPr="00BE6B66" w:rsidRDefault="00862CB7" w:rsidP="00BE6B66">
            <w:pPr>
              <w:autoSpaceDE w:val="0"/>
              <w:autoSpaceDN w:val="0"/>
              <w:adjustRightInd w:val="0"/>
              <w:rPr>
                <w:rFonts w:cs="TimesNewRomanPSMT"/>
                <w:color w:val="231F20"/>
                <w:sz w:val="20"/>
                <w:szCs w:val="20"/>
              </w:rPr>
            </w:pPr>
            <w:r w:rsidRPr="00347054">
              <w:rPr>
                <w:rFonts w:cs="TimesNewRomanPSMT"/>
                <w:color w:val="231F20"/>
                <w:sz w:val="20"/>
                <w:szCs w:val="20"/>
              </w:rPr>
              <w:t>•</w:t>
            </w:r>
            <w:r w:rsidRPr="00BE6B66">
              <w:rPr>
                <w:rFonts w:cs="TimesNewRomanPSMT"/>
                <w:color w:val="231F20"/>
                <w:sz w:val="20"/>
                <w:szCs w:val="20"/>
              </w:rPr>
              <w:t>Creating good jobs for the large</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poo</w:t>
            </w:r>
            <w:r>
              <w:rPr>
                <w:rFonts w:cs="TimesNewRomanPSMT"/>
                <w:color w:val="231F20"/>
                <w:sz w:val="20"/>
                <w:szCs w:val="20"/>
              </w:rPr>
              <w:t>l</w:t>
            </w:r>
            <w:r w:rsidRPr="00BE6B66">
              <w:rPr>
                <w:rFonts w:cs="TimesNewRomanPSMT"/>
                <w:color w:val="231F20"/>
                <w:sz w:val="20"/>
                <w:szCs w:val="20"/>
              </w:rPr>
              <w:t xml:space="preserve"> of under-employed and new</w:t>
            </w:r>
            <w:r w:rsidR="00CD2AE9">
              <w:rPr>
                <w:rFonts w:cs="TimesNewRomanPSMT"/>
                <w:color w:val="231F20"/>
                <w:sz w:val="20"/>
                <w:szCs w:val="20"/>
              </w:rPr>
              <w:t xml:space="preserve"> </w:t>
            </w:r>
            <w:r w:rsidRPr="00BE6B66">
              <w:rPr>
                <w:rFonts w:cs="TimesNewRomanPSMT"/>
                <w:color w:val="231F20"/>
                <w:sz w:val="20"/>
                <w:szCs w:val="20"/>
              </w:rPr>
              <w:t>labour force entrants by</w:t>
            </w:r>
            <w:r w:rsidR="00CD2AE9">
              <w:rPr>
                <w:rFonts w:cs="TimesNewRomanPSMT"/>
                <w:color w:val="231F20"/>
                <w:sz w:val="20"/>
                <w:szCs w:val="20"/>
              </w:rPr>
              <w:t xml:space="preserve"> </w:t>
            </w:r>
            <w:r w:rsidRPr="00BE6B66">
              <w:rPr>
                <w:rFonts w:cs="TimesNewRomanPSMT"/>
                <w:color w:val="231F20"/>
                <w:sz w:val="20"/>
                <w:szCs w:val="20"/>
              </w:rPr>
              <w:t>increasing the share of</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employment in the</w:t>
            </w:r>
            <w:r w:rsidR="00CD2AE9">
              <w:rPr>
                <w:rFonts w:cs="TimesNewRomanPSMT"/>
                <w:color w:val="231F20"/>
                <w:sz w:val="20"/>
                <w:szCs w:val="20"/>
              </w:rPr>
              <w:t xml:space="preserve"> </w:t>
            </w:r>
            <w:r w:rsidRPr="00BE6B66">
              <w:rPr>
                <w:rFonts w:cs="TimesNewRomanPSMT"/>
                <w:color w:val="231F20"/>
                <w:sz w:val="20"/>
                <w:szCs w:val="20"/>
              </w:rPr>
              <w:t>manufacturing sector from 1 5</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percent to 20 percent</w:t>
            </w:r>
          </w:p>
          <w:p w:rsidR="00862CB7" w:rsidRPr="00BE6B66" w:rsidRDefault="00862CB7" w:rsidP="00BE6B66">
            <w:pPr>
              <w:autoSpaceDE w:val="0"/>
              <w:autoSpaceDN w:val="0"/>
              <w:adjustRightInd w:val="0"/>
              <w:rPr>
                <w:rFonts w:cs="TimesNewRomanPSMT"/>
                <w:color w:val="231F20"/>
                <w:sz w:val="20"/>
                <w:szCs w:val="20"/>
              </w:rPr>
            </w:pPr>
            <w:r w:rsidRPr="00347054">
              <w:rPr>
                <w:rFonts w:cs="TimesNewRomanPSMT"/>
                <w:color w:val="231F20"/>
                <w:sz w:val="20"/>
                <w:szCs w:val="20"/>
              </w:rPr>
              <w:t>•</w:t>
            </w:r>
            <w:r w:rsidRPr="00BE6B66">
              <w:rPr>
                <w:rFonts w:cs="TimesNewRomanPSMT"/>
                <w:color w:val="231F20"/>
                <w:sz w:val="20"/>
                <w:szCs w:val="20"/>
              </w:rPr>
              <w:t>Enhanced focus on food</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productivity and food security</w:t>
            </w:r>
          </w:p>
          <w:p w:rsidR="00862CB7" w:rsidRPr="00BE6B66" w:rsidRDefault="00862CB7" w:rsidP="00BE6B66">
            <w:pPr>
              <w:autoSpaceDE w:val="0"/>
              <w:autoSpaceDN w:val="0"/>
              <w:adjustRightInd w:val="0"/>
              <w:rPr>
                <w:rFonts w:cs="TimesNewRomanPSMT"/>
                <w:color w:val="231F20"/>
                <w:sz w:val="20"/>
                <w:szCs w:val="20"/>
              </w:rPr>
            </w:pPr>
            <w:r w:rsidRPr="00347054">
              <w:rPr>
                <w:rFonts w:cs="TimesNewRomanPSMT"/>
                <w:color w:val="231F20"/>
                <w:sz w:val="20"/>
                <w:szCs w:val="20"/>
              </w:rPr>
              <w:t>•</w:t>
            </w:r>
            <w:r w:rsidRPr="00BE6B66">
              <w:rPr>
                <w:rFonts w:cs="TimesNewRomanPSMT"/>
                <w:color w:val="231F20"/>
                <w:sz w:val="20"/>
                <w:szCs w:val="20"/>
              </w:rPr>
              <w:t>Emphasis on agricultural</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diversification</w:t>
            </w:r>
          </w:p>
          <w:p w:rsidR="00862CB7" w:rsidRPr="00BE6B66" w:rsidRDefault="00862CB7" w:rsidP="00BE6B66">
            <w:pPr>
              <w:autoSpaceDE w:val="0"/>
              <w:autoSpaceDN w:val="0"/>
              <w:adjustRightInd w:val="0"/>
              <w:rPr>
                <w:rFonts w:cs="TimesNewRomanPSMT"/>
                <w:color w:val="231F20"/>
                <w:sz w:val="20"/>
                <w:szCs w:val="20"/>
              </w:rPr>
            </w:pPr>
            <w:r w:rsidRPr="00347054">
              <w:rPr>
                <w:rFonts w:cs="TimesNewRomanPSMT"/>
                <w:color w:val="231F20"/>
                <w:sz w:val="20"/>
                <w:szCs w:val="20"/>
              </w:rPr>
              <w:t>•</w:t>
            </w:r>
            <w:r w:rsidRPr="00BE6B66">
              <w:rPr>
                <w:rFonts w:cs="TimesNewRomanPSMT"/>
                <w:color w:val="231F20"/>
                <w:sz w:val="20"/>
                <w:szCs w:val="20"/>
              </w:rPr>
              <w:t xml:space="preserve"> Efforts concentrating on labour</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intensive manufacturing with</w:t>
            </w:r>
            <w:r w:rsidR="00CD2AE9">
              <w:rPr>
                <w:rFonts w:cs="TimesNewRomanPSMT"/>
                <w:color w:val="231F20"/>
                <w:sz w:val="20"/>
                <w:szCs w:val="20"/>
              </w:rPr>
              <w:t xml:space="preserve"> </w:t>
            </w:r>
            <w:r w:rsidRPr="00BE6B66">
              <w:rPr>
                <w:rFonts w:cs="TimesNewRomanPSMT"/>
                <w:color w:val="231F20"/>
                <w:sz w:val="20"/>
                <w:szCs w:val="20"/>
              </w:rPr>
              <w:t xml:space="preserve">focus on export </w:t>
            </w:r>
            <w:r w:rsidRPr="00BE6B66">
              <w:rPr>
                <w:rFonts w:cs="TimesNewRomanPSMT"/>
                <w:color w:val="231F20"/>
                <w:sz w:val="20"/>
                <w:szCs w:val="20"/>
              </w:rPr>
              <w:lastRenderedPageBreak/>
              <w:t>diversification</w:t>
            </w:r>
          </w:p>
          <w:p w:rsidR="00862CB7" w:rsidRPr="00BE6B66" w:rsidRDefault="00862CB7" w:rsidP="00BE6B66">
            <w:pPr>
              <w:autoSpaceDE w:val="0"/>
              <w:autoSpaceDN w:val="0"/>
              <w:adjustRightInd w:val="0"/>
              <w:rPr>
                <w:rFonts w:cs="TimesNewRomanPSMT"/>
                <w:color w:val="231F20"/>
                <w:sz w:val="20"/>
                <w:szCs w:val="20"/>
              </w:rPr>
            </w:pPr>
            <w:r w:rsidRPr="00347054">
              <w:rPr>
                <w:rFonts w:cs="TimesNewRomanPSMT"/>
                <w:color w:val="231F20"/>
                <w:sz w:val="20"/>
                <w:szCs w:val="20"/>
              </w:rPr>
              <w:t>•</w:t>
            </w:r>
            <w:r w:rsidRPr="00BE6B66">
              <w:rPr>
                <w:rFonts w:cs="TimesNewRomanPSMT"/>
                <w:color w:val="231F20"/>
                <w:sz w:val="20"/>
                <w:szCs w:val="20"/>
              </w:rPr>
              <w:t>Emphasis to formal services</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including exports of non-factor</w:t>
            </w:r>
            <w:r w:rsidR="00B13A9A">
              <w:rPr>
                <w:rFonts w:cs="TimesNewRomanPSMT"/>
                <w:color w:val="231F20"/>
                <w:sz w:val="20"/>
                <w:szCs w:val="20"/>
              </w:rPr>
              <w:t xml:space="preserve"> </w:t>
            </w:r>
            <w:r w:rsidRPr="00BE6B66">
              <w:rPr>
                <w:rFonts w:cs="TimesNewRomanPSMT"/>
                <w:color w:val="231F20"/>
                <w:sz w:val="20"/>
                <w:szCs w:val="20"/>
              </w:rPr>
              <w:t>services (tourism,shipping andICT)</w:t>
            </w:r>
          </w:p>
          <w:p w:rsidR="00862CB7" w:rsidRPr="00BE6B66" w:rsidRDefault="00862CB7" w:rsidP="00BE6B66">
            <w:pPr>
              <w:autoSpaceDE w:val="0"/>
              <w:autoSpaceDN w:val="0"/>
              <w:adjustRightInd w:val="0"/>
              <w:rPr>
                <w:rFonts w:cs="TimesNewRomanPSMT"/>
                <w:color w:val="231F20"/>
                <w:sz w:val="20"/>
                <w:szCs w:val="20"/>
              </w:rPr>
            </w:pPr>
            <w:r w:rsidRPr="00347054">
              <w:rPr>
                <w:rFonts w:cs="TimesNewRomanPSMT"/>
                <w:color w:val="231F20"/>
                <w:sz w:val="20"/>
                <w:szCs w:val="20"/>
              </w:rPr>
              <w:t>•</w:t>
            </w:r>
            <w:r w:rsidRPr="00BE6B66">
              <w:rPr>
                <w:rFonts w:cs="TimesNewRomanPSMT"/>
                <w:color w:val="231F20"/>
                <w:sz w:val="20"/>
                <w:szCs w:val="20"/>
              </w:rPr>
              <w:t xml:space="preserve"> Emphasis on worker service</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exports in order toincrease the</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inflow of remittances withefforts to expand the</w:t>
            </w:r>
          </w:p>
          <w:p w:rsidR="00862CB7" w:rsidRPr="00BE6B66" w:rsidRDefault="00862CB7" w:rsidP="00BE6B66">
            <w:pPr>
              <w:autoSpaceDE w:val="0"/>
              <w:autoSpaceDN w:val="0"/>
              <w:adjustRightInd w:val="0"/>
              <w:rPr>
                <w:rFonts w:cs="TimesNewRomanPSMT"/>
                <w:color w:val="231F20"/>
                <w:sz w:val="20"/>
                <w:szCs w:val="20"/>
              </w:rPr>
            </w:pPr>
            <w:r w:rsidRPr="00BE6B66">
              <w:rPr>
                <w:rFonts w:cs="TimesNewRomanPSMT"/>
                <w:color w:val="231F20"/>
                <w:sz w:val="20"/>
                <w:szCs w:val="20"/>
              </w:rPr>
              <w:t>opportunities to less served areas</w:t>
            </w:r>
          </w:p>
        </w:tc>
        <w:tc>
          <w:tcPr>
            <w:tcW w:w="1011" w:type="dxa"/>
            <w:vMerge w:val="restart"/>
            <w:vAlign w:val="center"/>
          </w:tcPr>
          <w:p w:rsidR="00862CB7" w:rsidRPr="00F04B97" w:rsidRDefault="00862CB7" w:rsidP="00347054">
            <w:pPr>
              <w:rPr>
                <w:sz w:val="20"/>
                <w:szCs w:val="20"/>
              </w:rPr>
            </w:pPr>
            <w:r w:rsidRPr="00F04B97">
              <w:rPr>
                <w:sz w:val="20"/>
                <w:szCs w:val="20"/>
              </w:rPr>
              <w:lastRenderedPageBreak/>
              <w:t>Social Security Policy Support (SSPS) Program</w:t>
            </w:r>
          </w:p>
        </w:tc>
        <w:tc>
          <w:tcPr>
            <w:tcW w:w="969" w:type="dxa"/>
            <w:vMerge w:val="restart"/>
            <w:vAlign w:val="center"/>
          </w:tcPr>
          <w:p w:rsidR="00862CB7" w:rsidRPr="00F04B97" w:rsidRDefault="00862CB7" w:rsidP="00347054">
            <w:pPr>
              <w:rPr>
                <w:sz w:val="20"/>
                <w:szCs w:val="20"/>
              </w:rPr>
            </w:pPr>
            <w:r w:rsidRPr="00F04B97">
              <w:rPr>
                <w:sz w:val="20"/>
                <w:szCs w:val="20"/>
              </w:rPr>
              <w:t>453.49</w:t>
            </w:r>
          </w:p>
        </w:tc>
        <w:tc>
          <w:tcPr>
            <w:tcW w:w="1710" w:type="dxa"/>
            <w:vMerge w:val="restart"/>
            <w:vAlign w:val="center"/>
          </w:tcPr>
          <w:p w:rsidR="00862CB7" w:rsidRDefault="00862CB7" w:rsidP="00E46074">
            <w:pPr>
              <w:pStyle w:val="ListParagraph"/>
              <w:ind w:left="0"/>
              <w:rPr>
                <w:sz w:val="20"/>
                <w:szCs w:val="20"/>
              </w:rPr>
            </w:pPr>
            <w:r w:rsidRPr="00F04B97">
              <w:rPr>
                <w:sz w:val="20"/>
                <w:szCs w:val="20"/>
              </w:rPr>
              <w:t>1. Social Security Policy Support (SSPS) Programme</w:t>
            </w:r>
            <w:r>
              <w:rPr>
                <w:sz w:val="20"/>
                <w:szCs w:val="20"/>
              </w:rPr>
              <w:t>-2nd phase</w:t>
            </w:r>
            <w:r w:rsidRPr="00F04B97">
              <w:rPr>
                <w:sz w:val="20"/>
                <w:szCs w:val="20"/>
              </w:rPr>
              <w:t xml:space="preserve">. </w:t>
            </w:r>
          </w:p>
          <w:p w:rsidR="00B13A9A" w:rsidRPr="00F04B97" w:rsidRDefault="00B13A9A" w:rsidP="00E46074">
            <w:pPr>
              <w:pStyle w:val="ListParagraph"/>
              <w:ind w:left="0"/>
              <w:rPr>
                <w:sz w:val="20"/>
                <w:szCs w:val="20"/>
              </w:rPr>
            </w:pPr>
          </w:p>
          <w:p w:rsidR="00862CB7" w:rsidRDefault="00862CB7" w:rsidP="00E46074">
            <w:pPr>
              <w:pStyle w:val="ListParagraph"/>
              <w:ind w:left="0"/>
              <w:rPr>
                <w:sz w:val="20"/>
                <w:szCs w:val="20"/>
              </w:rPr>
            </w:pPr>
            <w:r w:rsidRPr="00F04B97">
              <w:rPr>
                <w:sz w:val="20"/>
                <w:szCs w:val="20"/>
              </w:rPr>
              <w:t>2. Establishment of the integrated central GRS</w:t>
            </w:r>
            <w:r>
              <w:rPr>
                <w:sz w:val="20"/>
                <w:szCs w:val="20"/>
              </w:rPr>
              <w:t>.</w:t>
            </w:r>
          </w:p>
          <w:p w:rsidR="00B13A9A" w:rsidRDefault="00B13A9A" w:rsidP="00E46074">
            <w:pPr>
              <w:pStyle w:val="ListParagraph"/>
              <w:ind w:left="0"/>
              <w:rPr>
                <w:sz w:val="20"/>
                <w:szCs w:val="20"/>
              </w:rPr>
            </w:pPr>
          </w:p>
          <w:p w:rsidR="00862CB7" w:rsidRPr="00F04B97" w:rsidRDefault="00862CB7" w:rsidP="00E46074">
            <w:pPr>
              <w:pStyle w:val="ListParagraph"/>
              <w:ind w:left="0"/>
              <w:rPr>
                <w:sz w:val="20"/>
                <w:szCs w:val="20"/>
              </w:rPr>
            </w:pPr>
            <w:r>
              <w:rPr>
                <w:sz w:val="20"/>
                <w:szCs w:val="20"/>
              </w:rPr>
              <w:t>3. Establishment of an Integrated Service Development Platform (ISDP) based on unique ID for each and every citizen</w:t>
            </w:r>
          </w:p>
        </w:tc>
        <w:tc>
          <w:tcPr>
            <w:tcW w:w="1170" w:type="dxa"/>
            <w:vMerge w:val="restart"/>
          </w:tcPr>
          <w:p w:rsidR="00862CB7" w:rsidRDefault="00862CB7" w:rsidP="00E46074">
            <w:pPr>
              <w:rPr>
                <w:sz w:val="20"/>
                <w:szCs w:val="20"/>
              </w:rPr>
            </w:pPr>
          </w:p>
          <w:p w:rsidR="00862CB7" w:rsidRDefault="00862CB7" w:rsidP="00E46074">
            <w:pPr>
              <w:rPr>
                <w:sz w:val="20"/>
                <w:szCs w:val="20"/>
              </w:rPr>
            </w:pPr>
          </w:p>
          <w:p w:rsidR="00862CB7" w:rsidRDefault="00862CB7" w:rsidP="00E46074">
            <w:pPr>
              <w:rPr>
                <w:sz w:val="20"/>
                <w:szCs w:val="20"/>
              </w:rPr>
            </w:pPr>
          </w:p>
          <w:p w:rsidR="00862CB7" w:rsidRDefault="00862CB7" w:rsidP="00E46074">
            <w:pPr>
              <w:rPr>
                <w:sz w:val="20"/>
                <w:szCs w:val="20"/>
              </w:rPr>
            </w:pPr>
          </w:p>
          <w:p w:rsidR="00862CB7" w:rsidRDefault="00862CB7" w:rsidP="00E46074">
            <w:pPr>
              <w:rPr>
                <w:sz w:val="20"/>
                <w:szCs w:val="20"/>
              </w:rPr>
            </w:pPr>
          </w:p>
          <w:p w:rsidR="00862CB7" w:rsidRDefault="00862CB7" w:rsidP="00E46074">
            <w:pPr>
              <w:rPr>
                <w:sz w:val="20"/>
                <w:szCs w:val="20"/>
              </w:rPr>
            </w:pPr>
          </w:p>
          <w:p w:rsidR="00862CB7" w:rsidRDefault="00862CB7" w:rsidP="00E46074">
            <w:pPr>
              <w:rPr>
                <w:sz w:val="20"/>
                <w:szCs w:val="20"/>
              </w:rPr>
            </w:pPr>
          </w:p>
          <w:p w:rsidR="00862CB7" w:rsidRDefault="00862CB7" w:rsidP="00E46074">
            <w:pPr>
              <w:rPr>
                <w:sz w:val="20"/>
                <w:szCs w:val="20"/>
              </w:rPr>
            </w:pPr>
          </w:p>
          <w:p w:rsidR="00862CB7" w:rsidRPr="00F04B97" w:rsidRDefault="00862CB7" w:rsidP="00E46074">
            <w:pPr>
              <w:rPr>
                <w:sz w:val="20"/>
                <w:szCs w:val="20"/>
              </w:rPr>
            </w:pPr>
            <w:r w:rsidRPr="00F04B97">
              <w:rPr>
                <w:sz w:val="20"/>
                <w:szCs w:val="20"/>
              </w:rPr>
              <w:t>1000.00</w:t>
            </w:r>
          </w:p>
          <w:p w:rsidR="00862CB7" w:rsidRPr="00F04B97" w:rsidRDefault="00862CB7" w:rsidP="00E46074">
            <w:pPr>
              <w:rPr>
                <w:sz w:val="20"/>
                <w:szCs w:val="20"/>
              </w:rPr>
            </w:pPr>
          </w:p>
          <w:p w:rsidR="00862CB7" w:rsidRPr="00F04B97" w:rsidRDefault="00862CB7" w:rsidP="00E46074">
            <w:pPr>
              <w:rPr>
                <w:sz w:val="20"/>
                <w:szCs w:val="20"/>
              </w:rPr>
            </w:pPr>
          </w:p>
          <w:p w:rsidR="00862CB7" w:rsidRPr="00F04B97" w:rsidRDefault="00862CB7" w:rsidP="00E46074">
            <w:pPr>
              <w:rPr>
                <w:sz w:val="20"/>
                <w:szCs w:val="20"/>
              </w:rPr>
            </w:pPr>
          </w:p>
          <w:p w:rsidR="00862CB7" w:rsidRPr="00F04B97" w:rsidRDefault="00862CB7" w:rsidP="00E46074">
            <w:pPr>
              <w:rPr>
                <w:sz w:val="2"/>
                <w:szCs w:val="8"/>
              </w:rPr>
            </w:pPr>
          </w:p>
          <w:p w:rsidR="00862CB7" w:rsidRPr="00F04B97" w:rsidRDefault="00862CB7" w:rsidP="00E46074">
            <w:pPr>
              <w:rPr>
                <w:sz w:val="20"/>
                <w:szCs w:val="20"/>
              </w:rPr>
            </w:pPr>
          </w:p>
          <w:p w:rsidR="00862CB7" w:rsidRDefault="00862CB7" w:rsidP="00E46074">
            <w:pPr>
              <w:rPr>
                <w:sz w:val="20"/>
                <w:szCs w:val="20"/>
              </w:rPr>
            </w:pPr>
            <w:r w:rsidRPr="00F04B97">
              <w:rPr>
                <w:sz w:val="20"/>
                <w:szCs w:val="20"/>
              </w:rPr>
              <w:t>200.00</w:t>
            </w:r>
          </w:p>
          <w:p w:rsidR="00862CB7" w:rsidRDefault="00862CB7" w:rsidP="00E46074">
            <w:pPr>
              <w:rPr>
                <w:sz w:val="20"/>
                <w:szCs w:val="20"/>
              </w:rPr>
            </w:pPr>
          </w:p>
          <w:p w:rsidR="00862CB7" w:rsidRDefault="00862CB7" w:rsidP="00E46074">
            <w:pPr>
              <w:rPr>
                <w:sz w:val="20"/>
                <w:szCs w:val="20"/>
              </w:rPr>
            </w:pPr>
          </w:p>
          <w:p w:rsidR="009571B9" w:rsidRDefault="009571B9" w:rsidP="00E46074">
            <w:pPr>
              <w:rPr>
                <w:sz w:val="20"/>
                <w:szCs w:val="20"/>
              </w:rPr>
            </w:pPr>
          </w:p>
          <w:p w:rsidR="009571B9" w:rsidRDefault="009571B9" w:rsidP="00E46074">
            <w:pPr>
              <w:rPr>
                <w:sz w:val="20"/>
                <w:szCs w:val="20"/>
              </w:rPr>
            </w:pPr>
          </w:p>
          <w:p w:rsidR="00862CB7" w:rsidRPr="00F04B97" w:rsidRDefault="00862CB7" w:rsidP="00E46074">
            <w:pPr>
              <w:rPr>
                <w:sz w:val="20"/>
                <w:szCs w:val="20"/>
              </w:rPr>
            </w:pPr>
            <w:r>
              <w:rPr>
                <w:sz w:val="20"/>
                <w:szCs w:val="20"/>
              </w:rPr>
              <w:t>500.00</w:t>
            </w:r>
          </w:p>
        </w:tc>
        <w:tc>
          <w:tcPr>
            <w:tcW w:w="1710" w:type="dxa"/>
            <w:vMerge w:val="restart"/>
            <w:vAlign w:val="center"/>
          </w:tcPr>
          <w:p w:rsidR="00862CB7" w:rsidRPr="00F04B97" w:rsidRDefault="00862CB7" w:rsidP="00E46074">
            <w:pPr>
              <w:pStyle w:val="ListParagraph"/>
              <w:ind w:left="-18"/>
              <w:rPr>
                <w:sz w:val="20"/>
                <w:szCs w:val="20"/>
              </w:rPr>
            </w:pPr>
            <w:r w:rsidRPr="00F04B97">
              <w:rPr>
                <w:sz w:val="20"/>
                <w:szCs w:val="20"/>
              </w:rPr>
              <w:t>1. Social Security Programme Consolidation Support (SSPCS).</w:t>
            </w:r>
          </w:p>
          <w:p w:rsidR="00862CB7" w:rsidRPr="00F04B97" w:rsidRDefault="00862CB7" w:rsidP="00E46074">
            <w:pPr>
              <w:pStyle w:val="ListParagraph"/>
              <w:ind w:left="-18"/>
              <w:rPr>
                <w:sz w:val="20"/>
                <w:szCs w:val="20"/>
              </w:rPr>
            </w:pPr>
            <w:r w:rsidRPr="00F04B97">
              <w:rPr>
                <w:sz w:val="20"/>
                <w:szCs w:val="20"/>
              </w:rPr>
              <w:t>2. Management of the integrated central GRS.</w:t>
            </w:r>
          </w:p>
          <w:p w:rsidR="00862CB7" w:rsidRPr="00F04B97" w:rsidRDefault="00862CB7" w:rsidP="00E46074">
            <w:pPr>
              <w:pStyle w:val="ListParagraph"/>
              <w:ind w:left="-18"/>
              <w:rPr>
                <w:sz w:val="20"/>
                <w:szCs w:val="20"/>
              </w:rPr>
            </w:pPr>
            <w:r w:rsidRPr="00F04B97">
              <w:rPr>
                <w:sz w:val="20"/>
                <w:szCs w:val="20"/>
              </w:rPr>
              <w:t xml:space="preserve">3. </w:t>
            </w:r>
            <w:r>
              <w:rPr>
                <w:sz w:val="20"/>
                <w:szCs w:val="20"/>
              </w:rPr>
              <w:t>Management of the ISDP.</w:t>
            </w:r>
          </w:p>
        </w:tc>
        <w:tc>
          <w:tcPr>
            <w:tcW w:w="1350" w:type="dxa"/>
            <w:vMerge w:val="restart"/>
            <w:vAlign w:val="center"/>
          </w:tcPr>
          <w:p w:rsidR="00862CB7" w:rsidRPr="00F04B97" w:rsidRDefault="00862CB7" w:rsidP="00E46074">
            <w:pPr>
              <w:rPr>
                <w:sz w:val="20"/>
                <w:szCs w:val="20"/>
              </w:rPr>
            </w:pPr>
            <w:r w:rsidRPr="00F04B97">
              <w:rPr>
                <w:sz w:val="20"/>
                <w:szCs w:val="20"/>
              </w:rPr>
              <w:t>1. National Strategy on GRS.</w:t>
            </w:r>
          </w:p>
        </w:tc>
        <w:tc>
          <w:tcPr>
            <w:tcW w:w="747" w:type="dxa"/>
            <w:vMerge w:val="restart"/>
          </w:tcPr>
          <w:p w:rsidR="00862CB7" w:rsidRPr="00F04B97" w:rsidRDefault="00862CB7" w:rsidP="00A31336">
            <w:pPr>
              <w:jc w:val="center"/>
              <w:rPr>
                <w:b/>
                <w:sz w:val="20"/>
                <w:szCs w:val="20"/>
              </w:rPr>
            </w:pPr>
          </w:p>
        </w:tc>
      </w:tr>
      <w:tr w:rsidR="00966E4C" w:rsidRPr="00F04B97" w:rsidTr="004B3551">
        <w:tc>
          <w:tcPr>
            <w:tcW w:w="1264" w:type="dxa"/>
            <w:vMerge/>
          </w:tcPr>
          <w:p w:rsidR="00966E4C" w:rsidRPr="00F04B97" w:rsidRDefault="00966E4C" w:rsidP="007F42A4">
            <w:pPr>
              <w:autoSpaceDE w:val="0"/>
              <w:autoSpaceDN w:val="0"/>
              <w:adjustRightInd w:val="0"/>
              <w:rPr>
                <w:rFonts w:cs="TimesNewRomanPSMT"/>
                <w:color w:val="231F20"/>
                <w:sz w:val="20"/>
                <w:szCs w:val="20"/>
              </w:rPr>
            </w:pPr>
          </w:p>
        </w:tc>
        <w:tc>
          <w:tcPr>
            <w:tcW w:w="1277" w:type="dxa"/>
            <w:vAlign w:val="center"/>
          </w:tcPr>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1.2.2 Proportion of men,</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women and children of all ages</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living in poverty in all its</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dimensions according to national definitions</w:t>
            </w:r>
          </w:p>
        </w:tc>
        <w:tc>
          <w:tcPr>
            <w:tcW w:w="1287" w:type="dxa"/>
            <w:vAlign w:val="center"/>
          </w:tcPr>
          <w:p w:rsidR="00966E4C" w:rsidRPr="00F04B97" w:rsidRDefault="00966E4C" w:rsidP="00992C8D">
            <w:pPr>
              <w:autoSpaceDE w:val="0"/>
              <w:autoSpaceDN w:val="0"/>
              <w:adjustRightInd w:val="0"/>
              <w:rPr>
                <w:rFonts w:cs="TimesNewRomanPSMT"/>
                <w:color w:val="231F20"/>
                <w:sz w:val="20"/>
                <w:szCs w:val="20"/>
              </w:rPr>
            </w:pPr>
            <w:r w:rsidRPr="00F04B97">
              <w:rPr>
                <w:rFonts w:cs="TimesNewRomanPSMT"/>
                <w:b/>
                <w:color w:val="231F20"/>
                <w:sz w:val="20"/>
                <w:szCs w:val="20"/>
              </w:rPr>
              <w:t>Lead:</w:t>
            </w:r>
            <w:r w:rsidRPr="00F04B97">
              <w:rPr>
                <w:rFonts w:cs="TimesNewRomanPSMT"/>
                <w:color w:val="231F20"/>
                <w:sz w:val="20"/>
                <w:szCs w:val="20"/>
              </w:rPr>
              <w:t xml:space="preserve"> CD (leading the</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 xml:space="preserve">NSSS); </w:t>
            </w:r>
          </w:p>
          <w:p w:rsidR="00966E4C" w:rsidRPr="00F04B97" w:rsidRDefault="00966E4C" w:rsidP="00992C8D">
            <w:pPr>
              <w:autoSpaceDE w:val="0"/>
              <w:autoSpaceDN w:val="0"/>
              <w:adjustRightInd w:val="0"/>
              <w:rPr>
                <w:rFonts w:cs="TimesNewRomanPSMT"/>
                <w:b/>
                <w:color w:val="231F20"/>
                <w:sz w:val="20"/>
                <w:szCs w:val="20"/>
              </w:rPr>
            </w:pPr>
            <w:r w:rsidRPr="00F04B97">
              <w:rPr>
                <w:rFonts w:cs="TimesNewRomanPSMT"/>
                <w:b/>
                <w:color w:val="231F20"/>
                <w:sz w:val="20"/>
                <w:szCs w:val="20"/>
              </w:rPr>
              <w:t>Co-Lead:</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GED (as  NPFP)</w:t>
            </w:r>
          </w:p>
        </w:tc>
        <w:tc>
          <w:tcPr>
            <w:tcW w:w="1367" w:type="dxa"/>
            <w:vAlign w:val="center"/>
          </w:tcPr>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ERD; LGD; MoA; PMO;</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MoCHTA;</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MoDMR;</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MoEWOE;</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MoF; MoFL;</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MoHFW;</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 xml:space="preserve">MoInd; SID MoLE; FD; MoRA; </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MoSW;</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MoWCA;</w:t>
            </w:r>
          </w:p>
          <w:p w:rsidR="00966E4C" w:rsidRPr="00F04B97" w:rsidRDefault="00966E4C" w:rsidP="00992C8D">
            <w:pPr>
              <w:autoSpaceDE w:val="0"/>
              <w:autoSpaceDN w:val="0"/>
              <w:adjustRightInd w:val="0"/>
              <w:rPr>
                <w:rFonts w:cs="TimesNewRomanPSMT"/>
                <w:color w:val="231F20"/>
                <w:sz w:val="20"/>
                <w:szCs w:val="20"/>
              </w:rPr>
            </w:pPr>
            <w:r w:rsidRPr="00F04B97">
              <w:rPr>
                <w:rFonts w:cs="TimesNewRomanPSMT"/>
                <w:color w:val="231F20"/>
                <w:sz w:val="20"/>
                <w:szCs w:val="20"/>
              </w:rPr>
              <w:t>MoYS; RDCD;</w:t>
            </w:r>
          </w:p>
        </w:tc>
        <w:tc>
          <w:tcPr>
            <w:tcW w:w="1753" w:type="dxa"/>
            <w:vMerge/>
          </w:tcPr>
          <w:p w:rsidR="00966E4C" w:rsidRPr="00F04B97" w:rsidRDefault="00966E4C" w:rsidP="00A31336">
            <w:pPr>
              <w:jc w:val="center"/>
              <w:rPr>
                <w:b/>
                <w:sz w:val="20"/>
                <w:szCs w:val="20"/>
              </w:rPr>
            </w:pPr>
          </w:p>
        </w:tc>
        <w:tc>
          <w:tcPr>
            <w:tcW w:w="1011" w:type="dxa"/>
            <w:vMerge/>
          </w:tcPr>
          <w:p w:rsidR="00966E4C" w:rsidRPr="00F04B97" w:rsidRDefault="00966E4C" w:rsidP="00A31336">
            <w:pPr>
              <w:jc w:val="both"/>
              <w:rPr>
                <w:sz w:val="20"/>
                <w:szCs w:val="20"/>
              </w:rPr>
            </w:pPr>
          </w:p>
        </w:tc>
        <w:tc>
          <w:tcPr>
            <w:tcW w:w="969" w:type="dxa"/>
            <w:vMerge/>
          </w:tcPr>
          <w:p w:rsidR="00966E4C" w:rsidRPr="00F04B97" w:rsidRDefault="00966E4C" w:rsidP="00A31336">
            <w:pPr>
              <w:jc w:val="center"/>
              <w:rPr>
                <w:sz w:val="20"/>
                <w:szCs w:val="20"/>
              </w:rPr>
            </w:pPr>
          </w:p>
        </w:tc>
        <w:tc>
          <w:tcPr>
            <w:tcW w:w="1710" w:type="dxa"/>
            <w:vMerge/>
          </w:tcPr>
          <w:p w:rsidR="00966E4C" w:rsidRPr="00F04B97" w:rsidRDefault="00966E4C" w:rsidP="00A31336">
            <w:pPr>
              <w:pStyle w:val="ListParagraph"/>
              <w:ind w:left="0"/>
              <w:rPr>
                <w:sz w:val="20"/>
                <w:szCs w:val="20"/>
              </w:rPr>
            </w:pPr>
          </w:p>
        </w:tc>
        <w:tc>
          <w:tcPr>
            <w:tcW w:w="1170" w:type="dxa"/>
            <w:vMerge/>
          </w:tcPr>
          <w:p w:rsidR="00966E4C" w:rsidRPr="00F04B97" w:rsidRDefault="00966E4C" w:rsidP="00A31336">
            <w:pPr>
              <w:jc w:val="center"/>
              <w:rPr>
                <w:sz w:val="20"/>
                <w:szCs w:val="20"/>
              </w:rPr>
            </w:pPr>
          </w:p>
        </w:tc>
        <w:tc>
          <w:tcPr>
            <w:tcW w:w="1710" w:type="dxa"/>
            <w:vMerge/>
          </w:tcPr>
          <w:p w:rsidR="00966E4C" w:rsidRPr="00F04B97" w:rsidRDefault="00966E4C" w:rsidP="00A31336">
            <w:pPr>
              <w:pStyle w:val="ListParagraph"/>
              <w:ind w:left="-18"/>
              <w:rPr>
                <w:sz w:val="20"/>
                <w:szCs w:val="20"/>
              </w:rPr>
            </w:pPr>
          </w:p>
        </w:tc>
        <w:tc>
          <w:tcPr>
            <w:tcW w:w="1350" w:type="dxa"/>
            <w:vMerge/>
          </w:tcPr>
          <w:p w:rsidR="00966E4C" w:rsidRPr="00F04B97" w:rsidRDefault="00966E4C" w:rsidP="00A31336">
            <w:pPr>
              <w:rPr>
                <w:sz w:val="20"/>
                <w:szCs w:val="20"/>
              </w:rPr>
            </w:pPr>
          </w:p>
        </w:tc>
        <w:tc>
          <w:tcPr>
            <w:tcW w:w="747" w:type="dxa"/>
            <w:vMerge/>
          </w:tcPr>
          <w:p w:rsidR="00966E4C" w:rsidRPr="00F04B97" w:rsidRDefault="00966E4C" w:rsidP="00A31336">
            <w:pPr>
              <w:jc w:val="center"/>
              <w:rPr>
                <w:b/>
                <w:sz w:val="20"/>
                <w:szCs w:val="20"/>
              </w:rPr>
            </w:pPr>
          </w:p>
        </w:tc>
      </w:tr>
    </w:tbl>
    <w:p w:rsidR="00BE6B66" w:rsidRDefault="00BE6B66" w:rsidP="00070F4F">
      <w:pPr>
        <w:jc w:val="center"/>
        <w:rPr>
          <w:b/>
          <w:sz w:val="32"/>
          <w:szCs w:val="32"/>
        </w:rPr>
      </w:pPr>
    </w:p>
    <w:p w:rsidR="00FF198A" w:rsidRDefault="00FF198A" w:rsidP="00070F4F">
      <w:pPr>
        <w:jc w:val="center"/>
        <w:rPr>
          <w:b/>
          <w:sz w:val="32"/>
          <w:szCs w:val="32"/>
        </w:rPr>
      </w:pPr>
    </w:p>
    <w:p w:rsidR="004B3551" w:rsidRDefault="004B3551" w:rsidP="00070F4F">
      <w:pPr>
        <w:jc w:val="center"/>
        <w:rPr>
          <w:b/>
          <w:sz w:val="32"/>
          <w:szCs w:val="32"/>
        </w:rPr>
      </w:pPr>
    </w:p>
    <w:p w:rsidR="004B3551" w:rsidRDefault="004B3551" w:rsidP="00070F4F">
      <w:pPr>
        <w:jc w:val="center"/>
        <w:rPr>
          <w:b/>
          <w:sz w:val="32"/>
          <w:szCs w:val="32"/>
        </w:rPr>
      </w:pPr>
    </w:p>
    <w:p w:rsidR="00255EAB" w:rsidRDefault="00255EAB" w:rsidP="00070F4F">
      <w:pPr>
        <w:jc w:val="center"/>
        <w:rPr>
          <w:b/>
          <w:sz w:val="32"/>
          <w:szCs w:val="32"/>
        </w:rPr>
      </w:pPr>
    </w:p>
    <w:tbl>
      <w:tblPr>
        <w:tblStyle w:val="TableGrid"/>
        <w:tblW w:w="16104" w:type="dxa"/>
        <w:tblLook w:val="04A0"/>
      </w:tblPr>
      <w:tblGrid>
        <w:gridCol w:w="1538"/>
        <w:gridCol w:w="1478"/>
        <w:gridCol w:w="1144"/>
        <w:gridCol w:w="1246"/>
        <w:gridCol w:w="2299"/>
        <w:gridCol w:w="1423"/>
        <w:gridCol w:w="952"/>
        <w:gridCol w:w="1528"/>
        <w:gridCol w:w="1023"/>
        <w:gridCol w:w="1569"/>
        <w:gridCol w:w="1158"/>
        <w:gridCol w:w="746"/>
      </w:tblGrid>
      <w:tr w:rsidR="00EC4CA2" w:rsidRPr="00347054" w:rsidTr="00FD7B0C">
        <w:trPr>
          <w:tblHeader/>
        </w:trPr>
        <w:tc>
          <w:tcPr>
            <w:tcW w:w="1538" w:type="dxa"/>
            <w:vMerge w:val="restart"/>
            <w:vAlign w:val="center"/>
          </w:tcPr>
          <w:p w:rsidR="00255EAB" w:rsidRPr="00347054" w:rsidRDefault="00255EAB" w:rsidP="00A31336">
            <w:pPr>
              <w:jc w:val="center"/>
              <w:rPr>
                <w:b/>
                <w:sz w:val="20"/>
                <w:szCs w:val="20"/>
              </w:rPr>
            </w:pPr>
            <w:r w:rsidRPr="00347054">
              <w:rPr>
                <w:b/>
                <w:sz w:val="20"/>
                <w:szCs w:val="20"/>
              </w:rPr>
              <w:lastRenderedPageBreak/>
              <w:t>SDG targets</w:t>
            </w:r>
          </w:p>
        </w:tc>
        <w:tc>
          <w:tcPr>
            <w:tcW w:w="1478" w:type="dxa"/>
            <w:vMerge w:val="restart"/>
            <w:vAlign w:val="center"/>
          </w:tcPr>
          <w:p w:rsidR="00255EAB" w:rsidRPr="00347054" w:rsidRDefault="00255EAB" w:rsidP="00A31336">
            <w:pPr>
              <w:jc w:val="center"/>
              <w:rPr>
                <w:b/>
                <w:sz w:val="20"/>
                <w:szCs w:val="20"/>
              </w:rPr>
            </w:pPr>
            <w:r w:rsidRPr="00347054">
              <w:rPr>
                <w:b/>
                <w:sz w:val="20"/>
                <w:szCs w:val="20"/>
              </w:rPr>
              <w:t>Global Indicators for SDG Targets</w:t>
            </w:r>
          </w:p>
        </w:tc>
        <w:tc>
          <w:tcPr>
            <w:tcW w:w="1144" w:type="dxa"/>
            <w:vMerge w:val="restart"/>
            <w:vAlign w:val="center"/>
          </w:tcPr>
          <w:p w:rsidR="00255EAB" w:rsidRPr="00347054" w:rsidRDefault="00255EAB" w:rsidP="00A31336">
            <w:pPr>
              <w:jc w:val="center"/>
              <w:rPr>
                <w:b/>
                <w:sz w:val="20"/>
                <w:szCs w:val="20"/>
              </w:rPr>
            </w:pPr>
            <w:r w:rsidRPr="00347054">
              <w:rPr>
                <w:b/>
                <w:sz w:val="20"/>
                <w:szCs w:val="20"/>
              </w:rPr>
              <w:t>Lead/Co-lead Ministries/ Divisions</w:t>
            </w:r>
          </w:p>
        </w:tc>
        <w:tc>
          <w:tcPr>
            <w:tcW w:w="1246" w:type="dxa"/>
            <w:vMerge w:val="restart"/>
            <w:vAlign w:val="center"/>
          </w:tcPr>
          <w:p w:rsidR="00255EAB" w:rsidRPr="00347054" w:rsidRDefault="00255EAB" w:rsidP="00A31336">
            <w:pPr>
              <w:jc w:val="center"/>
              <w:rPr>
                <w:b/>
                <w:sz w:val="20"/>
                <w:szCs w:val="20"/>
              </w:rPr>
            </w:pPr>
            <w:r w:rsidRPr="00347054">
              <w:rPr>
                <w:b/>
                <w:sz w:val="20"/>
                <w:szCs w:val="20"/>
              </w:rPr>
              <w:t>Associate Ministries/ Divisions</w:t>
            </w:r>
          </w:p>
        </w:tc>
        <w:tc>
          <w:tcPr>
            <w:tcW w:w="2299" w:type="dxa"/>
            <w:vMerge w:val="restart"/>
            <w:vAlign w:val="center"/>
          </w:tcPr>
          <w:p w:rsidR="00255EAB" w:rsidRPr="00347054" w:rsidRDefault="00255EAB" w:rsidP="00A31336">
            <w:pPr>
              <w:jc w:val="center"/>
              <w:rPr>
                <w:b/>
                <w:sz w:val="20"/>
                <w:szCs w:val="20"/>
              </w:rPr>
            </w:pPr>
            <w:r w:rsidRPr="00347054">
              <w:rPr>
                <w:b/>
                <w:sz w:val="20"/>
                <w:szCs w:val="20"/>
              </w:rPr>
              <w:t>7th FYP Goals/Targets related to SDG Targets and Indicators</w:t>
            </w:r>
          </w:p>
        </w:tc>
        <w:tc>
          <w:tcPr>
            <w:tcW w:w="2375" w:type="dxa"/>
            <w:gridSpan w:val="2"/>
          </w:tcPr>
          <w:p w:rsidR="00255EAB" w:rsidRPr="00347054" w:rsidRDefault="00255EAB" w:rsidP="00A31336">
            <w:pPr>
              <w:jc w:val="center"/>
              <w:rPr>
                <w:b/>
                <w:sz w:val="20"/>
                <w:szCs w:val="20"/>
              </w:rPr>
            </w:pPr>
            <w:r w:rsidRPr="00347054">
              <w:rPr>
                <w:b/>
                <w:sz w:val="20"/>
                <w:szCs w:val="20"/>
              </w:rPr>
              <w:t>On-going Project/Programme to achieve 7th FYP Goals/ Targets</w:t>
            </w:r>
          </w:p>
        </w:tc>
        <w:tc>
          <w:tcPr>
            <w:tcW w:w="2551" w:type="dxa"/>
            <w:gridSpan w:val="2"/>
          </w:tcPr>
          <w:p w:rsidR="00255EAB" w:rsidRPr="00347054" w:rsidRDefault="00255EAB" w:rsidP="00A31336">
            <w:pPr>
              <w:jc w:val="center"/>
              <w:rPr>
                <w:b/>
                <w:sz w:val="20"/>
                <w:szCs w:val="20"/>
              </w:rPr>
            </w:pPr>
            <w:r w:rsidRPr="00347054">
              <w:rPr>
                <w:b/>
                <w:sz w:val="20"/>
                <w:szCs w:val="20"/>
              </w:rPr>
              <w:t>Requirements of New Project/ Programme up to 2020</w:t>
            </w:r>
          </w:p>
        </w:tc>
        <w:tc>
          <w:tcPr>
            <w:tcW w:w="1569" w:type="dxa"/>
            <w:vMerge w:val="restart"/>
            <w:vAlign w:val="center"/>
          </w:tcPr>
          <w:p w:rsidR="00255EAB" w:rsidRPr="00347054" w:rsidRDefault="00255EAB" w:rsidP="00A31336">
            <w:pPr>
              <w:jc w:val="center"/>
              <w:rPr>
                <w:b/>
                <w:sz w:val="20"/>
                <w:szCs w:val="20"/>
              </w:rPr>
            </w:pPr>
            <w:r w:rsidRPr="00347054">
              <w:rPr>
                <w:b/>
                <w:sz w:val="20"/>
                <w:szCs w:val="20"/>
              </w:rPr>
              <w:t>Actions/ Projects beyond 7th FYP Period (2021-2030)</w:t>
            </w:r>
          </w:p>
        </w:tc>
        <w:tc>
          <w:tcPr>
            <w:tcW w:w="1158" w:type="dxa"/>
            <w:vMerge w:val="restart"/>
          </w:tcPr>
          <w:p w:rsidR="00255EAB" w:rsidRPr="00347054" w:rsidRDefault="00255EAB" w:rsidP="00A31336">
            <w:pPr>
              <w:jc w:val="center"/>
              <w:rPr>
                <w:b/>
                <w:sz w:val="20"/>
                <w:szCs w:val="20"/>
              </w:rPr>
            </w:pPr>
            <w:r w:rsidRPr="00347054">
              <w:rPr>
                <w:b/>
                <w:sz w:val="20"/>
                <w:szCs w:val="20"/>
              </w:rPr>
              <w:t>Policy/ Strategy if needed (in relation with Column 8)</w:t>
            </w:r>
          </w:p>
        </w:tc>
        <w:tc>
          <w:tcPr>
            <w:tcW w:w="746" w:type="dxa"/>
            <w:vMerge w:val="restart"/>
            <w:textDirection w:val="btLr"/>
            <w:vAlign w:val="center"/>
          </w:tcPr>
          <w:p w:rsidR="00255EAB" w:rsidRPr="00347054" w:rsidRDefault="00255EAB" w:rsidP="00A31336">
            <w:pPr>
              <w:ind w:left="113" w:right="113"/>
              <w:jc w:val="center"/>
              <w:rPr>
                <w:b/>
                <w:sz w:val="20"/>
                <w:szCs w:val="20"/>
              </w:rPr>
            </w:pPr>
            <w:r w:rsidRPr="00347054">
              <w:rPr>
                <w:b/>
                <w:sz w:val="20"/>
                <w:szCs w:val="20"/>
              </w:rPr>
              <w:t>Comments</w:t>
            </w:r>
          </w:p>
        </w:tc>
      </w:tr>
      <w:tr w:rsidR="00255EAB" w:rsidRPr="00347054" w:rsidTr="00FD7B0C">
        <w:trPr>
          <w:tblHeader/>
        </w:trPr>
        <w:tc>
          <w:tcPr>
            <w:tcW w:w="1538" w:type="dxa"/>
            <w:vMerge/>
          </w:tcPr>
          <w:p w:rsidR="00255EAB" w:rsidRPr="00347054" w:rsidRDefault="00255EAB" w:rsidP="00A31336">
            <w:pPr>
              <w:jc w:val="center"/>
              <w:rPr>
                <w:b/>
                <w:sz w:val="20"/>
                <w:szCs w:val="20"/>
              </w:rPr>
            </w:pPr>
          </w:p>
        </w:tc>
        <w:tc>
          <w:tcPr>
            <w:tcW w:w="1478" w:type="dxa"/>
            <w:vMerge/>
          </w:tcPr>
          <w:p w:rsidR="00255EAB" w:rsidRPr="00347054" w:rsidRDefault="00255EAB" w:rsidP="00A31336">
            <w:pPr>
              <w:jc w:val="center"/>
              <w:rPr>
                <w:b/>
                <w:sz w:val="20"/>
                <w:szCs w:val="20"/>
              </w:rPr>
            </w:pPr>
          </w:p>
        </w:tc>
        <w:tc>
          <w:tcPr>
            <w:tcW w:w="1144" w:type="dxa"/>
            <w:vMerge/>
          </w:tcPr>
          <w:p w:rsidR="00255EAB" w:rsidRPr="00347054" w:rsidRDefault="00255EAB" w:rsidP="00A31336">
            <w:pPr>
              <w:jc w:val="center"/>
              <w:rPr>
                <w:b/>
                <w:sz w:val="20"/>
                <w:szCs w:val="20"/>
              </w:rPr>
            </w:pPr>
          </w:p>
        </w:tc>
        <w:tc>
          <w:tcPr>
            <w:tcW w:w="1246" w:type="dxa"/>
            <w:vMerge/>
          </w:tcPr>
          <w:p w:rsidR="00255EAB" w:rsidRPr="00347054" w:rsidRDefault="00255EAB" w:rsidP="00A31336">
            <w:pPr>
              <w:jc w:val="center"/>
              <w:rPr>
                <w:b/>
                <w:sz w:val="20"/>
                <w:szCs w:val="20"/>
              </w:rPr>
            </w:pPr>
          </w:p>
        </w:tc>
        <w:tc>
          <w:tcPr>
            <w:tcW w:w="2299" w:type="dxa"/>
            <w:vMerge/>
          </w:tcPr>
          <w:p w:rsidR="00255EAB" w:rsidRPr="00347054" w:rsidRDefault="00255EAB" w:rsidP="00A31336">
            <w:pPr>
              <w:jc w:val="center"/>
              <w:rPr>
                <w:b/>
                <w:sz w:val="20"/>
                <w:szCs w:val="20"/>
              </w:rPr>
            </w:pPr>
          </w:p>
        </w:tc>
        <w:tc>
          <w:tcPr>
            <w:tcW w:w="1423" w:type="dxa"/>
          </w:tcPr>
          <w:p w:rsidR="00255EAB" w:rsidRPr="00347054" w:rsidRDefault="00255EAB" w:rsidP="00A31336">
            <w:pPr>
              <w:jc w:val="center"/>
              <w:rPr>
                <w:i/>
                <w:sz w:val="20"/>
                <w:szCs w:val="20"/>
              </w:rPr>
            </w:pPr>
            <w:r w:rsidRPr="00347054">
              <w:rPr>
                <w:i/>
                <w:sz w:val="20"/>
                <w:szCs w:val="20"/>
              </w:rPr>
              <w:t>Project title and period</w:t>
            </w:r>
          </w:p>
        </w:tc>
        <w:tc>
          <w:tcPr>
            <w:tcW w:w="952" w:type="dxa"/>
          </w:tcPr>
          <w:p w:rsidR="00255EAB" w:rsidRPr="00347054" w:rsidRDefault="00255EAB" w:rsidP="00A31336">
            <w:pPr>
              <w:jc w:val="center"/>
              <w:rPr>
                <w:i/>
                <w:sz w:val="20"/>
                <w:szCs w:val="20"/>
              </w:rPr>
            </w:pPr>
            <w:r w:rsidRPr="00347054">
              <w:rPr>
                <w:i/>
                <w:sz w:val="20"/>
                <w:szCs w:val="20"/>
              </w:rPr>
              <w:t>Cost in BDT (million)</w:t>
            </w:r>
          </w:p>
        </w:tc>
        <w:tc>
          <w:tcPr>
            <w:tcW w:w="1528" w:type="dxa"/>
          </w:tcPr>
          <w:p w:rsidR="00255EAB" w:rsidRPr="00347054" w:rsidRDefault="00255EAB" w:rsidP="00A31336">
            <w:pPr>
              <w:jc w:val="center"/>
              <w:rPr>
                <w:i/>
                <w:sz w:val="20"/>
                <w:szCs w:val="20"/>
              </w:rPr>
            </w:pPr>
            <w:r w:rsidRPr="00347054">
              <w:rPr>
                <w:i/>
                <w:sz w:val="20"/>
                <w:szCs w:val="20"/>
              </w:rPr>
              <w:t>Project title and period</w:t>
            </w:r>
          </w:p>
        </w:tc>
        <w:tc>
          <w:tcPr>
            <w:tcW w:w="1023" w:type="dxa"/>
          </w:tcPr>
          <w:p w:rsidR="00255EAB" w:rsidRPr="00347054" w:rsidRDefault="00255EAB" w:rsidP="00A31336">
            <w:pPr>
              <w:jc w:val="center"/>
              <w:rPr>
                <w:i/>
                <w:sz w:val="20"/>
                <w:szCs w:val="20"/>
              </w:rPr>
            </w:pPr>
            <w:r w:rsidRPr="00347054">
              <w:rPr>
                <w:i/>
                <w:sz w:val="20"/>
                <w:szCs w:val="20"/>
              </w:rPr>
              <w:t>Cost in BDT (million)</w:t>
            </w:r>
          </w:p>
        </w:tc>
        <w:tc>
          <w:tcPr>
            <w:tcW w:w="1569" w:type="dxa"/>
            <w:vMerge/>
          </w:tcPr>
          <w:p w:rsidR="00255EAB" w:rsidRPr="00347054" w:rsidRDefault="00255EAB" w:rsidP="00A31336">
            <w:pPr>
              <w:jc w:val="center"/>
              <w:rPr>
                <w:b/>
                <w:sz w:val="20"/>
                <w:szCs w:val="20"/>
              </w:rPr>
            </w:pPr>
          </w:p>
        </w:tc>
        <w:tc>
          <w:tcPr>
            <w:tcW w:w="1158" w:type="dxa"/>
            <w:vMerge/>
          </w:tcPr>
          <w:p w:rsidR="00255EAB" w:rsidRPr="00347054" w:rsidRDefault="00255EAB" w:rsidP="00A31336">
            <w:pPr>
              <w:jc w:val="center"/>
              <w:rPr>
                <w:b/>
                <w:sz w:val="20"/>
                <w:szCs w:val="20"/>
              </w:rPr>
            </w:pPr>
          </w:p>
        </w:tc>
        <w:tc>
          <w:tcPr>
            <w:tcW w:w="746" w:type="dxa"/>
            <w:vMerge/>
          </w:tcPr>
          <w:p w:rsidR="00255EAB" w:rsidRPr="00347054" w:rsidRDefault="00255EAB" w:rsidP="00A31336">
            <w:pPr>
              <w:jc w:val="center"/>
              <w:rPr>
                <w:b/>
                <w:sz w:val="20"/>
                <w:szCs w:val="20"/>
              </w:rPr>
            </w:pPr>
          </w:p>
        </w:tc>
      </w:tr>
      <w:tr w:rsidR="00255EAB" w:rsidRPr="00347054" w:rsidTr="00FD7B0C">
        <w:trPr>
          <w:tblHeader/>
        </w:trPr>
        <w:tc>
          <w:tcPr>
            <w:tcW w:w="1538" w:type="dxa"/>
          </w:tcPr>
          <w:p w:rsidR="00255EAB" w:rsidRPr="00347054" w:rsidRDefault="00255EAB" w:rsidP="00A31336">
            <w:pPr>
              <w:jc w:val="center"/>
              <w:rPr>
                <w:b/>
                <w:sz w:val="20"/>
                <w:szCs w:val="20"/>
              </w:rPr>
            </w:pPr>
            <w:r w:rsidRPr="00347054">
              <w:rPr>
                <w:b/>
                <w:sz w:val="20"/>
                <w:szCs w:val="20"/>
              </w:rPr>
              <w:t>1</w:t>
            </w:r>
          </w:p>
        </w:tc>
        <w:tc>
          <w:tcPr>
            <w:tcW w:w="1478" w:type="dxa"/>
          </w:tcPr>
          <w:p w:rsidR="00255EAB" w:rsidRPr="00347054" w:rsidRDefault="00255EAB" w:rsidP="00A31336">
            <w:pPr>
              <w:jc w:val="center"/>
              <w:rPr>
                <w:b/>
                <w:sz w:val="20"/>
                <w:szCs w:val="20"/>
              </w:rPr>
            </w:pPr>
            <w:r w:rsidRPr="00347054">
              <w:rPr>
                <w:b/>
                <w:sz w:val="20"/>
                <w:szCs w:val="20"/>
              </w:rPr>
              <w:t>2</w:t>
            </w:r>
          </w:p>
        </w:tc>
        <w:tc>
          <w:tcPr>
            <w:tcW w:w="1144" w:type="dxa"/>
          </w:tcPr>
          <w:p w:rsidR="00255EAB" w:rsidRPr="00347054" w:rsidRDefault="00255EAB" w:rsidP="00A31336">
            <w:pPr>
              <w:jc w:val="center"/>
              <w:rPr>
                <w:b/>
                <w:sz w:val="20"/>
                <w:szCs w:val="20"/>
              </w:rPr>
            </w:pPr>
            <w:r w:rsidRPr="00347054">
              <w:rPr>
                <w:b/>
                <w:sz w:val="20"/>
                <w:szCs w:val="20"/>
              </w:rPr>
              <w:t>3</w:t>
            </w:r>
          </w:p>
        </w:tc>
        <w:tc>
          <w:tcPr>
            <w:tcW w:w="1246" w:type="dxa"/>
          </w:tcPr>
          <w:p w:rsidR="00255EAB" w:rsidRPr="00347054" w:rsidRDefault="00255EAB" w:rsidP="00A31336">
            <w:pPr>
              <w:jc w:val="center"/>
              <w:rPr>
                <w:b/>
                <w:sz w:val="20"/>
                <w:szCs w:val="20"/>
              </w:rPr>
            </w:pPr>
            <w:r w:rsidRPr="00347054">
              <w:rPr>
                <w:b/>
                <w:sz w:val="20"/>
                <w:szCs w:val="20"/>
              </w:rPr>
              <w:t>4</w:t>
            </w:r>
          </w:p>
        </w:tc>
        <w:tc>
          <w:tcPr>
            <w:tcW w:w="2299" w:type="dxa"/>
          </w:tcPr>
          <w:p w:rsidR="00255EAB" w:rsidRPr="00347054" w:rsidRDefault="00255EAB" w:rsidP="00A31336">
            <w:pPr>
              <w:jc w:val="center"/>
              <w:rPr>
                <w:b/>
                <w:sz w:val="20"/>
                <w:szCs w:val="20"/>
              </w:rPr>
            </w:pPr>
            <w:r w:rsidRPr="00347054">
              <w:rPr>
                <w:b/>
                <w:sz w:val="20"/>
                <w:szCs w:val="20"/>
              </w:rPr>
              <w:t>5</w:t>
            </w:r>
          </w:p>
        </w:tc>
        <w:tc>
          <w:tcPr>
            <w:tcW w:w="1423" w:type="dxa"/>
          </w:tcPr>
          <w:p w:rsidR="00255EAB" w:rsidRPr="00347054" w:rsidRDefault="00255EAB" w:rsidP="00A31336">
            <w:pPr>
              <w:jc w:val="center"/>
              <w:rPr>
                <w:b/>
                <w:sz w:val="20"/>
                <w:szCs w:val="20"/>
              </w:rPr>
            </w:pPr>
            <w:r w:rsidRPr="00347054">
              <w:rPr>
                <w:b/>
                <w:sz w:val="20"/>
                <w:szCs w:val="20"/>
              </w:rPr>
              <w:t>6.1</w:t>
            </w:r>
          </w:p>
        </w:tc>
        <w:tc>
          <w:tcPr>
            <w:tcW w:w="952" w:type="dxa"/>
          </w:tcPr>
          <w:p w:rsidR="00255EAB" w:rsidRPr="00347054" w:rsidRDefault="00255EAB" w:rsidP="00A31336">
            <w:pPr>
              <w:jc w:val="center"/>
              <w:rPr>
                <w:b/>
                <w:sz w:val="20"/>
                <w:szCs w:val="20"/>
              </w:rPr>
            </w:pPr>
            <w:r w:rsidRPr="00347054">
              <w:rPr>
                <w:b/>
                <w:sz w:val="20"/>
                <w:szCs w:val="20"/>
              </w:rPr>
              <w:t>6.2</w:t>
            </w:r>
          </w:p>
        </w:tc>
        <w:tc>
          <w:tcPr>
            <w:tcW w:w="1528" w:type="dxa"/>
          </w:tcPr>
          <w:p w:rsidR="00255EAB" w:rsidRPr="00347054" w:rsidRDefault="00255EAB" w:rsidP="00A31336">
            <w:pPr>
              <w:jc w:val="center"/>
              <w:rPr>
                <w:b/>
                <w:sz w:val="20"/>
                <w:szCs w:val="20"/>
              </w:rPr>
            </w:pPr>
            <w:r w:rsidRPr="00347054">
              <w:rPr>
                <w:b/>
                <w:sz w:val="20"/>
                <w:szCs w:val="20"/>
              </w:rPr>
              <w:t>7.1</w:t>
            </w:r>
          </w:p>
        </w:tc>
        <w:tc>
          <w:tcPr>
            <w:tcW w:w="1023" w:type="dxa"/>
          </w:tcPr>
          <w:p w:rsidR="00255EAB" w:rsidRPr="00347054" w:rsidRDefault="00255EAB" w:rsidP="00A31336">
            <w:pPr>
              <w:jc w:val="center"/>
              <w:rPr>
                <w:b/>
                <w:sz w:val="20"/>
                <w:szCs w:val="20"/>
              </w:rPr>
            </w:pPr>
            <w:r w:rsidRPr="00347054">
              <w:rPr>
                <w:b/>
                <w:sz w:val="20"/>
                <w:szCs w:val="20"/>
              </w:rPr>
              <w:t>7.2</w:t>
            </w:r>
          </w:p>
        </w:tc>
        <w:tc>
          <w:tcPr>
            <w:tcW w:w="1569" w:type="dxa"/>
          </w:tcPr>
          <w:p w:rsidR="00255EAB" w:rsidRPr="00347054" w:rsidRDefault="00255EAB" w:rsidP="00A31336">
            <w:pPr>
              <w:jc w:val="center"/>
              <w:rPr>
                <w:b/>
                <w:sz w:val="20"/>
                <w:szCs w:val="20"/>
              </w:rPr>
            </w:pPr>
            <w:r w:rsidRPr="00347054">
              <w:rPr>
                <w:b/>
                <w:sz w:val="20"/>
                <w:szCs w:val="20"/>
              </w:rPr>
              <w:t>8</w:t>
            </w:r>
          </w:p>
        </w:tc>
        <w:tc>
          <w:tcPr>
            <w:tcW w:w="1158" w:type="dxa"/>
          </w:tcPr>
          <w:p w:rsidR="00255EAB" w:rsidRPr="00347054" w:rsidRDefault="00255EAB" w:rsidP="00A31336">
            <w:pPr>
              <w:jc w:val="center"/>
              <w:rPr>
                <w:b/>
                <w:sz w:val="20"/>
                <w:szCs w:val="20"/>
              </w:rPr>
            </w:pPr>
            <w:r w:rsidRPr="00347054">
              <w:rPr>
                <w:b/>
                <w:sz w:val="20"/>
                <w:szCs w:val="20"/>
              </w:rPr>
              <w:t>9</w:t>
            </w:r>
          </w:p>
        </w:tc>
        <w:tc>
          <w:tcPr>
            <w:tcW w:w="746" w:type="dxa"/>
          </w:tcPr>
          <w:p w:rsidR="00255EAB" w:rsidRPr="00347054" w:rsidRDefault="00255EAB" w:rsidP="00A31336">
            <w:pPr>
              <w:jc w:val="center"/>
              <w:rPr>
                <w:b/>
                <w:sz w:val="20"/>
                <w:szCs w:val="20"/>
              </w:rPr>
            </w:pPr>
            <w:r w:rsidRPr="00347054">
              <w:rPr>
                <w:b/>
                <w:sz w:val="20"/>
                <w:szCs w:val="20"/>
              </w:rPr>
              <w:t>10</w:t>
            </w:r>
          </w:p>
        </w:tc>
      </w:tr>
      <w:tr w:rsidR="00A5117D" w:rsidRPr="00347054" w:rsidTr="00A5117D">
        <w:trPr>
          <w:trHeight w:val="2400"/>
        </w:trPr>
        <w:tc>
          <w:tcPr>
            <w:tcW w:w="1538" w:type="dxa"/>
            <w:vMerge w:val="restart"/>
            <w:vAlign w:val="center"/>
          </w:tcPr>
          <w:p w:rsidR="00A5117D" w:rsidRPr="00FF198A" w:rsidRDefault="00A5117D" w:rsidP="00992C8D">
            <w:pPr>
              <w:autoSpaceDE w:val="0"/>
              <w:autoSpaceDN w:val="0"/>
              <w:adjustRightInd w:val="0"/>
              <w:rPr>
                <w:rFonts w:cs="TimesNewRomanPSMT"/>
                <w:color w:val="231F20"/>
                <w:sz w:val="19"/>
                <w:szCs w:val="19"/>
              </w:rPr>
            </w:pPr>
            <w:r w:rsidRPr="00FF198A">
              <w:rPr>
                <w:rFonts w:cs="TimesNewRomanPSMT"/>
                <w:color w:val="231F20"/>
                <w:sz w:val="19"/>
                <w:szCs w:val="19"/>
              </w:rPr>
              <w:t>1.4 By 2030, ensure that all men and women, in particular</w:t>
            </w:r>
          </w:p>
          <w:p w:rsidR="00A5117D" w:rsidRPr="00FF198A" w:rsidRDefault="00A5117D" w:rsidP="00992C8D">
            <w:pPr>
              <w:autoSpaceDE w:val="0"/>
              <w:autoSpaceDN w:val="0"/>
              <w:adjustRightInd w:val="0"/>
              <w:rPr>
                <w:rFonts w:cs="TimesNewRomanPSMT"/>
                <w:color w:val="231F20"/>
                <w:sz w:val="19"/>
                <w:szCs w:val="19"/>
              </w:rPr>
            </w:pPr>
            <w:r w:rsidRPr="00FF198A">
              <w:rPr>
                <w:rFonts w:cs="TimesNewRomanPSMT"/>
                <w:color w:val="231F20"/>
                <w:sz w:val="19"/>
                <w:szCs w:val="19"/>
              </w:rPr>
              <w:t>the poor and the  vulnerable,</w:t>
            </w:r>
          </w:p>
          <w:p w:rsidR="00A5117D" w:rsidRPr="00FF198A" w:rsidRDefault="00A5117D" w:rsidP="00992C8D">
            <w:pPr>
              <w:autoSpaceDE w:val="0"/>
              <w:autoSpaceDN w:val="0"/>
              <w:adjustRightInd w:val="0"/>
              <w:rPr>
                <w:rFonts w:cs="TimesNewRomanPSMT"/>
                <w:color w:val="231F20"/>
                <w:sz w:val="19"/>
                <w:szCs w:val="19"/>
              </w:rPr>
            </w:pPr>
            <w:r w:rsidRPr="00FF198A">
              <w:rPr>
                <w:rFonts w:cs="TimesNewRomanPSMT"/>
                <w:color w:val="231F20"/>
                <w:sz w:val="19"/>
                <w:szCs w:val="19"/>
              </w:rPr>
              <w:t>have equal rights to economic</w:t>
            </w:r>
          </w:p>
          <w:p w:rsidR="00A5117D" w:rsidRPr="00FF198A" w:rsidRDefault="00A5117D" w:rsidP="00992C8D">
            <w:pPr>
              <w:autoSpaceDE w:val="0"/>
              <w:autoSpaceDN w:val="0"/>
              <w:adjustRightInd w:val="0"/>
              <w:rPr>
                <w:rFonts w:cs="TimesNewRomanPSMT"/>
                <w:color w:val="231F20"/>
                <w:sz w:val="19"/>
                <w:szCs w:val="19"/>
              </w:rPr>
            </w:pPr>
            <w:r w:rsidRPr="00FF198A">
              <w:rPr>
                <w:rFonts w:cs="TimesNewRomanPSMT"/>
                <w:color w:val="231F20"/>
                <w:sz w:val="19"/>
                <w:szCs w:val="19"/>
              </w:rPr>
              <w:t>resources, as well as access to</w:t>
            </w:r>
          </w:p>
          <w:p w:rsidR="00A5117D" w:rsidRPr="00FF198A" w:rsidRDefault="00A5117D" w:rsidP="00992C8D">
            <w:pPr>
              <w:autoSpaceDE w:val="0"/>
              <w:autoSpaceDN w:val="0"/>
              <w:adjustRightInd w:val="0"/>
              <w:rPr>
                <w:rFonts w:cs="TimesNewRomanPSMT"/>
                <w:color w:val="231F20"/>
                <w:sz w:val="19"/>
                <w:szCs w:val="19"/>
              </w:rPr>
            </w:pPr>
            <w:r w:rsidRPr="00FF198A">
              <w:rPr>
                <w:rFonts w:cs="TimesNewRomanPSMT"/>
                <w:color w:val="231F20"/>
                <w:sz w:val="19"/>
                <w:szCs w:val="19"/>
              </w:rPr>
              <w:t>basic services, ownership and control over land and other</w:t>
            </w:r>
          </w:p>
          <w:p w:rsidR="00A5117D" w:rsidRPr="00FF198A" w:rsidRDefault="00A5117D" w:rsidP="00992C8D">
            <w:pPr>
              <w:autoSpaceDE w:val="0"/>
              <w:autoSpaceDN w:val="0"/>
              <w:adjustRightInd w:val="0"/>
              <w:rPr>
                <w:rFonts w:cs="TimesNewRomanPSMT"/>
                <w:color w:val="231F20"/>
                <w:sz w:val="19"/>
                <w:szCs w:val="19"/>
              </w:rPr>
            </w:pPr>
            <w:r w:rsidRPr="00FF198A">
              <w:rPr>
                <w:rFonts w:cs="TimesNewRomanPSMT"/>
                <w:color w:val="231F20"/>
                <w:sz w:val="19"/>
                <w:szCs w:val="19"/>
              </w:rPr>
              <w:t>forms of property,</w:t>
            </w:r>
          </w:p>
          <w:p w:rsidR="00A5117D" w:rsidRPr="00FF198A" w:rsidRDefault="00A5117D" w:rsidP="00992C8D">
            <w:pPr>
              <w:autoSpaceDE w:val="0"/>
              <w:autoSpaceDN w:val="0"/>
              <w:adjustRightInd w:val="0"/>
              <w:rPr>
                <w:rFonts w:cs="TimesNewRomanPSMT"/>
                <w:color w:val="231F20"/>
                <w:sz w:val="19"/>
                <w:szCs w:val="19"/>
              </w:rPr>
            </w:pPr>
            <w:r w:rsidRPr="00FF198A">
              <w:rPr>
                <w:rFonts w:cs="TimesNewRomanPSMT"/>
                <w:color w:val="231F20"/>
                <w:sz w:val="19"/>
                <w:szCs w:val="19"/>
              </w:rPr>
              <w:t>inheritance, natural resources,</w:t>
            </w:r>
          </w:p>
          <w:p w:rsidR="00A5117D" w:rsidRPr="00FF198A" w:rsidRDefault="00A5117D" w:rsidP="00992C8D">
            <w:pPr>
              <w:autoSpaceDE w:val="0"/>
              <w:autoSpaceDN w:val="0"/>
              <w:adjustRightInd w:val="0"/>
              <w:rPr>
                <w:rFonts w:cs="TimesNewRomanPSMT"/>
                <w:color w:val="231F20"/>
                <w:sz w:val="19"/>
                <w:szCs w:val="19"/>
              </w:rPr>
            </w:pPr>
            <w:r w:rsidRPr="00FF198A">
              <w:rPr>
                <w:rFonts w:cs="TimesNewRomanPSMT"/>
                <w:color w:val="231F20"/>
                <w:sz w:val="19"/>
                <w:szCs w:val="19"/>
              </w:rPr>
              <w:t>appropriate new technology</w:t>
            </w:r>
          </w:p>
          <w:p w:rsidR="00A5117D" w:rsidRPr="00FF198A" w:rsidRDefault="00A5117D" w:rsidP="00992C8D">
            <w:pPr>
              <w:autoSpaceDE w:val="0"/>
              <w:autoSpaceDN w:val="0"/>
              <w:adjustRightInd w:val="0"/>
              <w:rPr>
                <w:rFonts w:cs="TimesNewRomanPSMT"/>
                <w:color w:val="231F20"/>
                <w:sz w:val="19"/>
                <w:szCs w:val="19"/>
              </w:rPr>
            </w:pPr>
            <w:r w:rsidRPr="00FF198A">
              <w:rPr>
                <w:rFonts w:cs="TimesNewRomanPSMT"/>
                <w:color w:val="231F20"/>
                <w:sz w:val="19"/>
                <w:szCs w:val="19"/>
              </w:rPr>
              <w:t>and financial services, including microfinance</w:t>
            </w:r>
          </w:p>
        </w:tc>
        <w:tc>
          <w:tcPr>
            <w:tcW w:w="1478" w:type="dxa"/>
            <w:vAlign w:val="center"/>
          </w:tcPr>
          <w:p w:rsidR="00A5117D" w:rsidRDefault="00A5117D" w:rsidP="00992C8D">
            <w:pPr>
              <w:autoSpaceDE w:val="0"/>
              <w:autoSpaceDN w:val="0"/>
              <w:adjustRightInd w:val="0"/>
              <w:rPr>
                <w:rFonts w:cs="TimesNewRomanPSMT"/>
                <w:color w:val="231F20"/>
                <w:sz w:val="20"/>
                <w:szCs w:val="20"/>
              </w:rPr>
            </w:pPr>
            <w:r>
              <w:rPr>
                <w:rFonts w:cs="TimesNewRomanPSMT"/>
                <w:color w:val="231F20"/>
                <w:sz w:val="20"/>
                <w:szCs w:val="20"/>
              </w:rPr>
              <w:t xml:space="preserve"> </w:t>
            </w:r>
          </w:p>
          <w:p w:rsidR="00A5117D" w:rsidRDefault="00A5117D" w:rsidP="00992C8D">
            <w:pPr>
              <w:autoSpaceDE w:val="0"/>
              <w:autoSpaceDN w:val="0"/>
              <w:adjustRightInd w:val="0"/>
              <w:rPr>
                <w:rFonts w:cs="TimesNewRomanPSMT"/>
                <w:color w:val="231F20"/>
                <w:sz w:val="20"/>
                <w:szCs w:val="20"/>
              </w:rPr>
            </w:pPr>
          </w:p>
          <w:p w:rsidR="00A5117D" w:rsidRPr="00347054" w:rsidRDefault="00A5117D" w:rsidP="00992C8D">
            <w:pPr>
              <w:autoSpaceDE w:val="0"/>
              <w:autoSpaceDN w:val="0"/>
              <w:adjustRightInd w:val="0"/>
              <w:rPr>
                <w:rFonts w:cs="TimesNewRomanPSMT"/>
                <w:color w:val="231F20"/>
                <w:sz w:val="20"/>
                <w:szCs w:val="20"/>
              </w:rPr>
            </w:pPr>
            <w:r w:rsidRPr="00347054">
              <w:rPr>
                <w:rFonts w:cs="TimesNewRomanPSMT"/>
                <w:color w:val="231F20"/>
                <w:sz w:val="20"/>
                <w:szCs w:val="20"/>
              </w:rPr>
              <w:t>1.</w:t>
            </w:r>
            <w:r>
              <w:rPr>
                <w:rFonts w:cs="TimesNewRomanPSMT"/>
                <w:color w:val="231F20"/>
                <w:sz w:val="20"/>
                <w:szCs w:val="20"/>
              </w:rPr>
              <w:t>4</w:t>
            </w:r>
            <w:r w:rsidRPr="00347054">
              <w:rPr>
                <w:rFonts w:cs="TimesNewRomanPSMT"/>
                <w:color w:val="231F20"/>
                <w:sz w:val="20"/>
                <w:szCs w:val="20"/>
              </w:rPr>
              <w:t>.1 Proportion of population</w:t>
            </w:r>
          </w:p>
          <w:p w:rsidR="00A5117D" w:rsidRDefault="00A5117D" w:rsidP="00992C8D">
            <w:pPr>
              <w:autoSpaceDE w:val="0"/>
              <w:autoSpaceDN w:val="0"/>
              <w:adjustRightInd w:val="0"/>
              <w:rPr>
                <w:rFonts w:cs="TimesNewRomanPSMT"/>
                <w:color w:val="231F20"/>
                <w:sz w:val="20"/>
                <w:szCs w:val="20"/>
              </w:rPr>
            </w:pPr>
            <w:r>
              <w:rPr>
                <w:rFonts w:cs="TimesNewRomanPSMT"/>
                <w:color w:val="231F20"/>
                <w:sz w:val="20"/>
                <w:szCs w:val="20"/>
              </w:rPr>
              <w:t>Living in households with access to basic service</w:t>
            </w:r>
          </w:p>
          <w:p w:rsidR="00A5117D" w:rsidRPr="00347054" w:rsidRDefault="00A5117D" w:rsidP="00992C8D">
            <w:pPr>
              <w:autoSpaceDE w:val="0"/>
              <w:autoSpaceDN w:val="0"/>
              <w:adjustRightInd w:val="0"/>
              <w:rPr>
                <w:rFonts w:cs="TimesNewRomanPSMT"/>
                <w:color w:val="231F20"/>
                <w:sz w:val="20"/>
                <w:szCs w:val="20"/>
              </w:rPr>
            </w:pPr>
          </w:p>
        </w:tc>
        <w:tc>
          <w:tcPr>
            <w:tcW w:w="1144" w:type="dxa"/>
            <w:vMerge w:val="restart"/>
            <w:vAlign w:val="center"/>
          </w:tcPr>
          <w:p w:rsidR="00A5117D" w:rsidRPr="00347054" w:rsidRDefault="00A5117D" w:rsidP="00BE6B66">
            <w:pPr>
              <w:autoSpaceDE w:val="0"/>
              <w:autoSpaceDN w:val="0"/>
              <w:adjustRightInd w:val="0"/>
              <w:rPr>
                <w:rFonts w:cs="TimesNewRomanPSMT"/>
                <w:color w:val="231F20"/>
                <w:sz w:val="20"/>
                <w:szCs w:val="20"/>
              </w:rPr>
            </w:pPr>
            <w:r w:rsidRPr="00347054">
              <w:rPr>
                <w:rFonts w:cs="TimesNewRomanPSMT"/>
                <w:b/>
                <w:color w:val="231F20"/>
                <w:sz w:val="20"/>
                <w:szCs w:val="20"/>
              </w:rPr>
              <w:t>Lead:</w:t>
            </w:r>
            <w:r w:rsidRPr="00347054">
              <w:rPr>
                <w:rFonts w:cs="TimesNewRomanPSMT"/>
                <w:color w:val="231F20"/>
                <w:sz w:val="20"/>
                <w:szCs w:val="20"/>
              </w:rPr>
              <w:t xml:space="preserve"> CD (leading the</w:t>
            </w: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 xml:space="preserve">NSSS); </w:t>
            </w:r>
          </w:p>
          <w:p w:rsidR="00A5117D" w:rsidRPr="00347054" w:rsidRDefault="00A5117D" w:rsidP="00BE6B66">
            <w:pPr>
              <w:autoSpaceDE w:val="0"/>
              <w:autoSpaceDN w:val="0"/>
              <w:adjustRightInd w:val="0"/>
              <w:rPr>
                <w:rFonts w:cs="TimesNewRomanPSMT"/>
                <w:b/>
                <w:color w:val="231F20"/>
                <w:sz w:val="20"/>
                <w:szCs w:val="20"/>
              </w:rPr>
            </w:pPr>
            <w:r w:rsidRPr="00347054">
              <w:rPr>
                <w:rFonts w:cs="TimesNewRomanPSMT"/>
                <w:b/>
                <w:color w:val="231F20"/>
                <w:sz w:val="20"/>
                <w:szCs w:val="20"/>
              </w:rPr>
              <w:t>Co-Lead:</w:t>
            </w: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RDCD</w:t>
            </w:r>
          </w:p>
        </w:tc>
        <w:tc>
          <w:tcPr>
            <w:tcW w:w="1246" w:type="dxa"/>
            <w:vMerge w:val="restart"/>
            <w:vAlign w:val="center"/>
          </w:tcPr>
          <w:p w:rsidR="0002712E" w:rsidRDefault="0002712E" w:rsidP="00BE6B66">
            <w:pPr>
              <w:autoSpaceDE w:val="0"/>
              <w:autoSpaceDN w:val="0"/>
              <w:adjustRightInd w:val="0"/>
              <w:rPr>
                <w:rFonts w:cs="TimesNewRomanPSMT"/>
                <w:color w:val="231F20"/>
                <w:sz w:val="20"/>
                <w:szCs w:val="20"/>
              </w:rPr>
            </w:pPr>
          </w:p>
          <w:p w:rsidR="0002712E" w:rsidRDefault="0002712E" w:rsidP="00BE6B66">
            <w:pPr>
              <w:autoSpaceDE w:val="0"/>
              <w:autoSpaceDN w:val="0"/>
              <w:adjustRightInd w:val="0"/>
              <w:rPr>
                <w:rFonts w:cs="TimesNewRomanPSMT"/>
                <w:color w:val="231F20"/>
                <w:sz w:val="20"/>
                <w:szCs w:val="20"/>
              </w:rPr>
            </w:pP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BFID (BB); FD; ICTD; LGD; LJD; LPAD; MoA;</w:t>
            </w: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MoCHTA;</w:t>
            </w: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MoEF; MoL;</w:t>
            </w: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MoEWOE;</w:t>
            </w: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MoFL; SID MoInd;</w:t>
            </w: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MoLWA;</w:t>
            </w: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MoWCA;</w:t>
            </w: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MoWR; MoYS;</w:t>
            </w: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Default="00A5117D" w:rsidP="00BE6B66">
            <w:pPr>
              <w:autoSpaceDE w:val="0"/>
              <w:autoSpaceDN w:val="0"/>
              <w:adjustRightInd w:val="0"/>
              <w:rPr>
                <w:rFonts w:cs="TimesNewRomanPSMT"/>
                <w:color w:val="231F20"/>
                <w:sz w:val="20"/>
                <w:szCs w:val="20"/>
              </w:rPr>
            </w:pPr>
          </w:p>
          <w:p w:rsidR="00A5117D" w:rsidRPr="00347054" w:rsidRDefault="00A5117D" w:rsidP="00BE6B66">
            <w:pPr>
              <w:autoSpaceDE w:val="0"/>
              <w:autoSpaceDN w:val="0"/>
              <w:adjustRightInd w:val="0"/>
              <w:rPr>
                <w:rFonts w:cs="TimesNewRomanPSMT"/>
                <w:color w:val="231F20"/>
                <w:sz w:val="20"/>
                <w:szCs w:val="20"/>
              </w:rPr>
            </w:pPr>
          </w:p>
        </w:tc>
        <w:tc>
          <w:tcPr>
            <w:tcW w:w="2299" w:type="dxa"/>
            <w:vMerge w:val="restart"/>
            <w:vAlign w:val="center"/>
          </w:tcPr>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lastRenderedPageBreak/>
              <w:t>Special attention to further closing the gap between the rich and the poor in accessing basic</w:t>
            </w:r>
          </w:p>
          <w:p w:rsidR="00A5117D" w:rsidRPr="00347054" w:rsidRDefault="00A5117D" w:rsidP="00BE6B66">
            <w:pPr>
              <w:autoSpaceDE w:val="0"/>
              <w:autoSpaceDN w:val="0"/>
              <w:adjustRightInd w:val="0"/>
              <w:rPr>
                <w:rFonts w:cs="TimesNewRomanPSMT"/>
                <w:color w:val="231F20"/>
                <w:sz w:val="20"/>
                <w:szCs w:val="20"/>
              </w:rPr>
            </w:pPr>
            <w:r w:rsidRPr="00347054">
              <w:rPr>
                <w:rFonts w:cs="TimesNewRomanPSMT"/>
                <w:color w:val="231F20"/>
                <w:sz w:val="20"/>
                <w:szCs w:val="20"/>
              </w:rPr>
              <w:t>services with special focus on the bottom 20 percent where the gap is the highest</w:t>
            </w:r>
          </w:p>
        </w:tc>
        <w:tc>
          <w:tcPr>
            <w:tcW w:w="1423" w:type="dxa"/>
            <w:vMerge w:val="restart"/>
            <w:vAlign w:val="center"/>
          </w:tcPr>
          <w:p w:rsidR="00A5117D" w:rsidRPr="00347054" w:rsidRDefault="00A5117D" w:rsidP="00BE6B66">
            <w:pPr>
              <w:rPr>
                <w:sz w:val="20"/>
                <w:szCs w:val="20"/>
              </w:rPr>
            </w:pPr>
            <w:r w:rsidRPr="00347054">
              <w:rPr>
                <w:sz w:val="20"/>
                <w:szCs w:val="20"/>
              </w:rPr>
              <w:t>Social Security Policy Support (SSPS) Programme</w:t>
            </w:r>
          </w:p>
        </w:tc>
        <w:tc>
          <w:tcPr>
            <w:tcW w:w="952" w:type="dxa"/>
            <w:vMerge w:val="restart"/>
            <w:vAlign w:val="center"/>
          </w:tcPr>
          <w:p w:rsidR="00A5117D" w:rsidRPr="00347054" w:rsidRDefault="00A5117D" w:rsidP="00BE6B66">
            <w:pPr>
              <w:rPr>
                <w:sz w:val="20"/>
                <w:szCs w:val="20"/>
              </w:rPr>
            </w:pPr>
            <w:r w:rsidRPr="00347054">
              <w:rPr>
                <w:sz w:val="20"/>
                <w:szCs w:val="20"/>
              </w:rPr>
              <w:t>453.49</w:t>
            </w:r>
          </w:p>
        </w:tc>
        <w:tc>
          <w:tcPr>
            <w:tcW w:w="1528" w:type="dxa"/>
            <w:vMerge w:val="restart"/>
            <w:vAlign w:val="center"/>
          </w:tcPr>
          <w:p w:rsidR="00A5117D" w:rsidRPr="00F04B97" w:rsidRDefault="00A5117D" w:rsidP="00E46074">
            <w:pPr>
              <w:pStyle w:val="ListParagraph"/>
              <w:ind w:left="0"/>
              <w:rPr>
                <w:sz w:val="20"/>
                <w:szCs w:val="20"/>
              </w:rPr>
            </w:pPr>
            <w:r w:rsidRPr="00F04B97">
              <w:rPr>
                <w:sz w:val="20"/>
                <w:szCs w:val="20"/>
              </w:rPr>
              <w:t>1. Social Security Policy Support (SSPS) Programme</w:t>
            </w:r>
            <w:r>
              <w:rPr>
                <w:sz w:val="20"/>
                <w:szCs w:val="20"/>
              </w:rPr>
              <w:t>-2nd phase</w:t>
            </w:r>
            <w:r w:rsidRPr="00F04B97">
              <w:rPr>
                <w:sz w:val="20"/>
                <w:szCs w:val="20"/>
              </w:rPr>
              <w:t xml:space="preserve">. </w:t>
            </w:r>
          </w:p>
          <w:p w:rsidR="00A5117D" w:rsidRDefault="00A5117D" w:rsidP="00E46074">
            <w:pPr>
              <w:pStyle w:val="ListParagraph"/>
              <w:ind w:left="0"/>
              <w:rPr>
                <w:sz w:val="20"/>
                <w:szCs w:val="20"/>
              </w:rPr>
            </w:pPr>
            <w:r w:rsidRPr="00F04B97">
              <w:rPr>
                <w:sz w:val="20"/>
                <w:szCs w:val="20"/>
              </w:rPr>
              <w:t>2. Establishment of the integrated central GRS</w:t>
            </w:r>
            <w:r>
              <w:rPr>
                <w:sz w:val="20"/>
                <w:szCs w:val="20"/>
              </w:rPr>
              <w:t>.</w:t>
            </w:r>
          </w:p>
          <w:p w:rsidR="00A5117D" w:rsidRPr="00F04B97" w:rsidRDefault="00A5117D" w:rsidP="00E46074">
            <w:pPr>
              <w:pStyle w:val="ListParagraph"/>
              <w:ind w:left="0"/>
              <w:rPr>
                <w:sz w:val="20"/>
                <w:szCs w:val="20"/>
              </w:rPr>
            </w:pPr>
            <w:r>
              <w:rPr>
                <w:sz w:val="20"/>
                <w:szCs w:val="20"/>
              </w:rPr>
              <w:t>3. Establishment of an Integrated Service Development Platform (ISDP) based on unique ID for each and every citizen</w:t>
            </w:r>
          </w:p>
        </w:tc>
        <w:tc>
          <w:tcPr>
            <w:tcW w:w="1023" w:type="dxa"/>
            <w:vMerge w:val="restart"/>
          </w:tcPr>
          <w:p w:rsidR="00A5117D" w:rsidRDefault="00A5117D" w:rsidP="00E46074">
            <w:pPr>
              <w:rPr>
                <w:sz w:val="20"/>
                <w:szCs w:val="20"/>
              </w:rPr>
            </w:pPr>
          </w:p>
          <w:p w:rsidR="00A5117D" w:rsidRDefault="00A5117D" w:rsidP="00E46074">
            <w:pPr>
              <w:rPr>
                <w:sz w:val="20"/>
                <w:szCs w:val="20"/>
              </w:rPr>
            </w:pPr>
          </w:p>
          <w:p w:rsidR="00A5117D" w:rsidRDefault="00A5117D" w:rsidP="00E46074">
            <w:pPr>
              <w:rPr>
                <w:sz w:val="20"/>
                <w:szCs w:val="20"/>
              </w:rPr>
            </w:pPr>
          </w:p>
          <w:p w:rsidR="00A5117D" w:rsidRDefault="00A5117D" w:rsidP="00E46074">
            <w:pPr>
              <w:rPr>
                <w:sz w:val="20"/>
                <w:szCs w:val="20"/>
              </w:rPr>
            </w:pPr>
          </w:p>
          <w:p w:rsidR="00A5117D" w:rsidRDefault="00A5117D" w:rsidP="00E46074">
            <w:pPr>
              <w:rPr>
                <w:sz w:val="20"/>
                <w:szCs w:val="20"/>
              </w:rPr>
            </w:pPr>
          </w:p>
          <w:p w:rsidR="00A5117D" w:rsidRDefault="00A5117D" w:rsidP="00E46074">
            <w:pPr>
              <w:rPr>
                <w:sz w:val="20"/>
                <w:szCs w:val="20"/>
              </w:rPr>
            </w:pPr>
          </w:p>
          <w:p w:rsidR="00A5117D" w:rsidRDefault="00A5117D" w:rsidP="00E46074">
            <w:pPr>
              <w:rPr>
                <w:sz w:val="20"/>
                <w:szCs w:val="20"/>
              </w:rPr>
            </w:pPr>
          </w:p>
          <w:p w:rsidR="00A5117D" w:rsidRDefault="00A5117D" w:rsidP="00E46074">
            <w:pPr>
              <w:rPr>
                <w:sz w:val="20"/>
                <w:szCs w:val="20"/>
              </w:rPr>
            </w:pPr>
          </w:p>
          <w:p w:rsidR="00A5117D" w:rsidRPr="00F04B97" w:rsidRDefault="00A5117D" w:rsidP="00E46074">
            <w:pPr>
              <w:rPr>
                <w:sz w:val="20"/>
                <w:szCs w:val="20"/>
              </w:rPr>
            </w:pPr>
            <w:r w:rsidRPr="00F04B97">
              <w:rPr>
                <w:sz w:val="20"/>
                <w:szCs w:val="20"/>
              </w:rPr>
              <w:t>1000.00</w:t>
            </w:r>
          </w:p>
          <w:p w:rsidR="00A5117D" w:rsidRPr="00F04B97" w:rsidRDefault="00A5117D" w:rsidP="00E46074">
            <w:pPr>
              <w:rPr>
                <w:sz w:val="20"/>
                <w:szCs w:val="20"/>
              </w:rPr>
            </w:pPr>
          </w:p>
          <w:p w:rsidR="00A5117D" w:rsidRPr="00F04B97" w:rsidRDefault="00A5117D" w:rsidP="00E46074">
            <w:pPr>
              <w:rPr>
                <w:sz w:val="20"/>
                <w:szCs w:val="20"/>
              </w:rPr>
            </w:pPr>
          </w:p>
          <w:p w:rsidR="00A5117D" w:rsidRPr="00F04B97" w:rsidRDefault="00A5117D" w:rsidP="00E46074">
            <w:pPr>
              <w:rPr>
                <w:sz w:val="20"/>
                <w:szCs w:val="20"/>
              </w:rPr>
            </w:pPr>
          </w:p>
          <w:p w:rsidR="00A5117D" w:rsidRPr="00F04B97" w:rsidRDefault="00A5117D" w:rsidP="00E46074">
            <w:pPr>
              <w:rPr>
                <w:sz w:val="2"/>
                <w:szCs w:val="8"/>
              </w:rPr>
            </w:pPr>
          </w:p>
          <w:p w:rsidR="00A5117D" w:rsidRPr="00F04B97" w:rsidRDefault="00A5117D" w:rsidP="00E46074">
            <w:pPr>
              <w:rPr>
                <w:sz w:val="20"/>
                <w:szCs w:val="20"/>
              </w:rPr>
            </w:pPr>
          </w:p>
          <w:p w:rsidR="00A5117D" w:rsidRDefault="00A5117D" w:rsidP="00E46074">
            <w:pPr>
              <w:rPr>
                <w:sz w:val="20"/>
                <w:szCs w:val="20"/>
              </w:rPr>
            </w:pPr>
            <w:r w:rsidRPr="00F04B97">
              <w:rPr>
                <w:sz w:val="20"/>
                <w:szCs w:val="20"/>
              </w:rPr>
              <w:t>200.00</w:t>
            </w:r>
          </w:p>
          <w:p w:rsidR="00A5117D" w:rsidRDefault="00A5117D" w:rsidP="00E46074">
            <w:pPr>
              <w:rPr>
                <w:sz w:val="20"/>
                <w:szCs w:val="20"/>
              </w:rPr>
            </w:pPr>
          </w:p>
          <w:p w:rsidR="00A5117D" w:rsidRDefault="00A5117D" w:rsidP="00E46074">
            <w:pPr>
              <w:rPr>
                <w:sz w:val="20"/>
                <w:szCs w:val="20"/>
              </w:rPr>
            </w:pPr>
          </w:p>
          <w:p w:rsidR="00A5117D" w:rsidRDefault="00A5117D" w:rsidP="00E46074">
            <w:pPr>
              <w:rPr>
                <w:sz w:val="20"/>
                <w:szCs w:val="20"/>
              </w:rPr>
            </w:pPr>
          </w:p>
          <w:p w:rsidR="00A5117D" w:rsidRPr="00F04B97" w:rsidRDefault="00A5117D" w:rsidP="00E46074">
            <w:pPr>
              <w:rPr>
                <w:sz w:val="20"/>
                <w:szCs w:val="20"/>
              </w:rPr>
            </w:pPr>
            <w:r>
              <w:rPr>
                <w:sz w:val="20"/>
                <w:szCs w:val="20"/>
              </w:rPr>
              <w:t>500.00</w:t>
            </w:r>
          </w:p>
        </w:tc>
        <w:tc>
          <w:tcPr>
            <w:tcW w:w="1569" w:type="dxa"/>
            <w:vMerge w:val="restart"/>
            <w:vAlign w:val="center"/>
          </w:tcPr>
          <w:p w:rsidR="00A5117D" w:rsidRPr="00F04B97" w:rsidRDefault="00A5117D" w:rsidP="00E46074">
            <w:pPr>
              <w:pStyle w:val="ListParagraph"/>
              <w:ind w:left="-18"/>
              <w:rPr>
                <w:sz w:val="20"/>
                <w:szCs w:val="20"/>
              </w:rPr>
            </w:pPr>
            <w:r w:rsidRPr="00F04B97">
              <w:rPr>
                <w:sz w:val="20"/>
                <w:szCs w:val="20"/>
              </w:rPr>
              <w:t>1. Social Security Programme Consolidation Support (SSPCS).</w:t>
            </w:r>
          </w:p>
          <w:p w:rsidR="00A5117D" w:rsidRPr="00F04B97" w:rsidRDefault="00A5117D" w:rsidP="00E46074">
            <w:pPr>
              <w:pStyle w:val="ListParagraph"/>
              <w:ind w:left="-18"/>
              <w:rPr>
                <w:sz w:val="20"/>
                <w:szCs w:val="20"/>
              </w:rPr>
            </w:pPr>
            <w:r w:rsidRPr="00F04B97">
              <w:rPr>
                <w:sz w:val="20"/>
                <w:szCs w:val="20"/>
              </w:rPr>
              <w:t>2. Management of the integrated central GRS.</w:t>
            </w:r>
          </w:p>
          <w:p w:rsidR="00A5117D" w:rsidRPr="00F04B97" w:rsidRDefault="00A5117D" w:rsidP="00E46074">
            <w:pPr>
              <w:pStyle w:val="ListParagraph"/>
              <w:ind w:left="-18"/>
              <w:rPr>
                <w:sz w:val="20"/>
                <w:szCs w:val="20"/>
              </w:rPr>
            </w:pPr>
            <w:r w:rsidRPr="00F04B97">
              <w:rPr>
                <w:sz w:val="20"/>
                <w:szCs w:val="20"/>
              </w:rPr>
              <w:t xml:space="preserve">3. </w:t>
            </w:r>
            <w:r>
              <w:rPr>
                <w:sz w:val="20"/>
                <w:szCs w:val="20"/>
              </w:rPr>
              <w:t>Management of the ISDP.</w:t>
            </w:r>
          </w:p>
        </w:tc>
        <w:tc>
          <w:tcPr>
            <w:tcW w:w="1158" w:type="dxa"/>
            <w:vMerge w:val="restart"/>
            <w:vAlign w:val="center"/>
          </w:tcPr>
          <w:p w:rsidR="00A5117D" w:rsidRPr="00F04B97" w:rsidRDefault="00A5117D" w:rsidP="00E46074">
            <w:pPr>
              <w:rPr>
                <w:sz w:val="20"/>
                <w:szCs w:val="20"/>
              </w:rPr>
            </w:pPr>
            <w:r w:rsidRPr="00F04B97">
              <w:rPr>
                <w:sz w:val="20"/>
                <w:szCs w:val="20"/>
              </w:rPr>
              <w:t>1. National Strategy on GRS.</w:t>
            </w:r>
          </w:p>
        </w:tc>
        <w:tc>
          <w:tcPr>
            <w:tcW w:w="746" w:type="dxa"/>
            <w:vMerge w:val="restart"/>
          </w:tcPr>
          <w:p w:rsidR="00A5117D" w:rsidRPr="00347054" w:rsidRDefault="00A5117D" w:rsidP="00A31336">
            <w:pPr>
              <w:jc w:val="center"/>
              <w:rPr>
                <w:b/>
                <w:sz w:val="20"/>
                <w:szCs w:val="20"/>
              </w:rPr>
            </w:pPr>
          </w:p>
        </w:tc>
      </w:tr>
      <w:tr w:rsidR="00A5117D" w:rsidRPr="00347054" w:rsidTr="00551812">
        <w:trPr>
          <w:trHeight w:hRule="exact" w:val="4357"/>
        </w:trPr>
        <w:tc>
          <w:tcPr>
            <w:tcW w:w="1538" w:type="dxa"/>
            <w:vMerge/>
            <w:vAlign w:val="center"/>
          </w:tcPr>
          <w:p w:rsidR="00A5117D" w:rsidRPr="00FF198A" w:rsidRDefault="00A5117D" w:rsidP="00992C8D">
            <w:pPr>
              <w:autoSpaceDE w:val="0"/>
              <w:autoSpaceDN w:val="0"/>
              <w:adjustRightInd w:val="0"/>
              <w:rPr>
                <w:rFonts w:cs="TimesNewRomanPSMT"/>
                <w:color w:val="231F20"/>
                <w:sz w:val="19"/>
                <w:szCs w:val="19"/>
              </w:rPr>
            </w:pPr>
          </w:p>
        </w:tc>
        <w:tc>
          <w:tcPr>
            <w:tcW w:w="1478" w:type="dxa"/>
            <w:vAlign w:val="center"/>
          </w:tcPr>
          <w:p w:rsidR="0002712E" w:rsidRDefault="0002712E" w:rsidP="0002712E">
            <w:pPr>
              <w:autoSpaceDE w:val="0"/>
              <w:autoSpaceDN w:val="0"/>
              <w:adjustRightInd w:val="0"/>
              <w:rPr>
                <w:rFonts w:cs="TimesNewRomanPSMT"/>
                <w:color w:val="231F20"/>
                <w:sz w:val="20"/>
                <w:szCs w:val="20"/>
              </w:rPr>
            </w:pPr>
            <w:r>
              <w:rPr>
                <w:rFonts w:cs="TimesNewRomanPSMT"/>
                <w:color w:val="231F20"/>
                <w:sz w:val="20"/>
                <w:szCs w:val="20"/>
              </w:rPr>
              <w:t xml:space="preserve">1.4.2 Proportion of total adult population with secure tenure rights to land, with legally recognized documentation and who perceive their rights to land as secure, by sex and by type of tenure                   </w:t>
            </w:r>
          </w:p>
          <w:p w:rsidR="00A5117D" w:rsidRDefault="00A5117D" w:rsidP="00992C8D">
            <w:pPr>
              <w:autoSpaceDE w:val="0"/>
              <w:autoSpaceDN w:val="0"/>
              <w:adjustRightInd w:val="0"/>
              <w:rPr>
                <w:rFonts w:cs="TimesNewRomanPSMT"/>
                <w:color w:val="231F20"/>
                <w:sz w:val="20"/>
                <w:szCs w:val="20"/>
              </w:rPr>
            </w:pPr>
          </w:p>
          <w:p w:rsidR="00A5117D" w:rsidRDefault="00A5117D" w:rsidP="00992C8D">
            <w:pPr>
              <w:autoSpaceDE w:val="0"/>
              <w:autoSpaceDN w:val="0"/>
              <w:adjustRightInd w:val="0"/>
              <w:rPr>
                <w:rFonts w:cs="TimesNewRomanPSMT"/>
                <w:color w:val="231F20"/>
                <w:sz w:val="20"/>
                <w:szCs w:val="20"/>
              </w:rPr>
            </w:pPr>
          </w:p>
          <w:p w:rsidR="00A5117D" w:rsidRDefault="00A5117D" w:rsidP="00992C8D">
            <w:pPr>
              <w:autoSpaceDE w:val="0"/>
              <w:autoSpaceDN w:val="0"/>
              <w:adjustRightInd w:val="0"/>
              <w:rPr>
                <w:rFonts w:cs="TimesNewRomanPSMT"/>
                <w:color w:val="231F20"/>
                <w:sz w:val="20"/>
                <w:szCs w:val="20"/>
              </w:rPr>
            </w:pPr>
          </w:p>
        </w:tc>
        <w:tc>
          <w:tcPr>
            <w:tcW w:w="1144" w:type="dxa"/>
            <w:vMerge/>
            <w:vAlign w:val="center"/>
          </w:tcPr>
          <w:p w:rsidR="00A5117D" w:rsidRPr="00347054" w:rsidRDefault="00A5117D" w:rsidP="00BE6B66">
            <w:pPr>
              <w:autoSpaceDE w:val="0"/>
              <w:autoSpaceDN w:val="0"/>
              <w:adjustRightInd w:val="0"/>
              <w:rPr>
                <w:rFonts w:cs="TimesNewRomanPSMT"/>
                <w:b/>
                <w:color w:val="231F20"/>
                <w:sz w:val="20"/>
                <w:szCs w:val="20"/>
              </w:rPr>
            </w:pPr>
          </w:p>
        </w:tc>
        <w:tc>
          <w:tcPr>
            <w:tcW w:w="1246" w:type="dxa"/>
            <w:vMerge/>
            <w:vAlign w:val="center"/>
          </w:tcPr>
          <w:p w:rsidR="00A5117D" w:rsidRPr="00347054" w:rsidRDefault="00A5117D" w:rsidP="00BE6B66">
            <w:pPr>
              <w:autoSpaceDE w:val="0"/>
              <w:autoSpaceDN w:val="0"/>
              <w:adjustRightInd w:val="0"/>
              <w:rPr>
                <w:rFonts w:cs="TimesNewRomanPSMT"/>
                <w:color w:val="231F20"/>
                <w:sz w:val="20"/>
                <w:szCs w:val="20"/>
              </w:rPr>
            </w:pPr>
          </w:p>
        </w:tc>
        <w:tc>
          <w:tcPr>
            <w:tcW w:w="2299" w:type="dxa"/>
            <w:vMerge/>
            <w:vAlign w:val="center"/>
          </w:tcPr>
          <w:p w:rsidR="00A5117D" w:rsidRPr="00347054" w:rsidRDefault="00A5117D" w:rsidP="00BE6B66">
            <w:pPr>
              <w:autoSpaceDE w:val="0"/>
              <w:autoSpaceDN w:val="0"/>
              <w:adjustRightInd w:val="0"/>
              <w:rPr>
                <w:rFonts w:cs="TimesNewRomanPSMT"/>
                <w:color w:val="231F20"/>
                <w:sz w:val="20"/>
                <w:szCs w:val="20"/>
              </w:rPr>
            </w:pPr>
          </w:p>
        </w:tc>
        <w:tc>
          <w:tcPr>
            <w:tcW w:w="1423" w:type="dxa"/>
            <w:vMerge/>
            <w:vAlign w:val="center"/>
          </w:tcPr>
          <w:p w:rsidR="00A5117D" w:rsidRPr="00347054" w:rsidRDefault="00A5117D" w:rsidP="00BE6B66">
            <w:pPr>
              <w:rPr>
                <w:sz w:val="20"/>
                <w:szCs w:val="20"/>
              </w:rPr>
            </w:pPr>
          </w:p>
        </w:tc>
        <w:tc>
          <w:tcPr>
            <w:tcW w:w="952" w:type="dxa"/>
            <w:vMerge/>
            <w:vAlign w:val="center"/>
          </w:tcPr>
          <w:p w:rsidR="00A5117D" w:rsidRPr="00347054" w:rsidRDefault="00A5117D" w:rsidP="00BE6B66">
            <w:pPr>
              <w:rPr>
                <w:sz w:val="20"/>
                <w:szCs w:val="20"/>
              </w:rPr>
            </w:pPr>
          </w:p>
        </w:tc>
        <w:tc>
          <w:tcPr>
            <w:tcW w:w="1528" w:type="dxa"/>
            <w:vMerge/>
            <w:vAlign w:val="center"/>
          </w:tcPr>
          <w:p w:rsidR="00A5117D" w:rsidRPr="00F04B97" w:rsidRDefault="00A5117D" w:rsidP="00E46074">
            <w:pPr>
              <w:pStyle w:val="ListParagraph"/>
              <w:ind w:left="0"/>
              <w:rPr>
                <w:sz w:val="20"/>
                <w:szCs w:val="20"/>
              </w:rPr>
            </w:pPr>
          </w:p>
        </w:tc>
        <w:tc>
          <w:tcPr>
            <w:tcW w:w="1023" w:type="dxa"/>
            <w:vMerge/>
          </w:tcPr>
          <w:p w:rsidR="00A5117D" w:rsidRDefault="00A5117D" w:rsidP="00E46074">
            <w:pPr>
              <w:rPr>
                <w:sz w:val="20"/>
                <w:szCs w:val="20"/>
              </w:rPr>
            </w:pPr>
          </w:p>
        </w:tc>
        <w:tc>
          <w:tcPr>
            <w:tcW w:w="1569" w:type="dxa"/>
            <w:vMerge/>
            <w:vAlign w:val="center"/>
          </w:tcPr>
          <w:p w:rsidR="00A5117D" w:rsidRPr="00F04B97" w:rsidRDefault="00A5117D" w:rsidP="00E46074">
            <w:pPr>
              <w:pStyle w:val="ListParagraph"/>
              <w:ind w:left="-18"/>
              <w:rPr>
                <w:sz w:val="20"/>
                <w:szCs w:val="20"/>
              </w:rPr>
            </w:pPr>
          </w:p>
        </w:tc>
        <w:tc>
          <w:tcPr>
            <w:tcW w:w="1158" w:type="dxa"/>
            <w:vMerge/>
            <w:vAlign w:val="center"/>
          </w:tcPr>
          <w:p w:rsidR="00A5117D" w:rsidRPr="00F04B97" w:rsidRDefault="00A5117D" w:rsidP="00E46074">
            <w:pPr>
              <w:rPr>
                <w:sz w:val="20"/>
                <w:szCs w:val="20"/>
              </w:rPr>
            </w:pPr>
          </w:p>
        </w:tc>
        <w:tc>
          <w:tcPr>
            <w:tcW w:w="746" w:type="dxa"/>
            <w:vMerge/>
          </w:tcPr>
          <w:p w:rsidR="00A5117D" w:rsidRPr="00347054" w:rsidRDefault="00A5117D" w:rsidP="00A31336">
            <w:pPr>
              <w:jc w:val="center"/>
              <w:rPr>
                <w:b/>
                <w:sz w:val="20"/>
                <w:szCs w:val="20"/>
              </w:rPr>
            </w:pPr>
          </w:p>
        </w:tc>
      </w:tr>
      <w:tr w:rsidR="00A5117D" w:rsidRPr="00347054" w:rsidTr="00FD42CD">
        <w:trPr>
          <w:trHeight w:val="3503"/>
        </w:trPr>
        <w:tc>
          <w:tcPr>
            <w:tcW w:w="1538" w:type="dxa"/>
            <w:vMerge/>
            <w:vAlign w:val="center"/>
          </w:tcPr>
          <w:p w:rsidR="00A5117D" w:rsidRPr="00FF198A" w:rsidRDefault="00A5117D" w:rsidP="00992C8D">
            <w:pPr>
              <w:autoSpaceDE w:val="0"/>
              <w:autoSpaceDN w:val="0"/>
              <w:adjustRightInd w:val="0"/>
              <w:rPr>
                <w:rFonts w:cs="TimesNewRomanPSMT"/>
                <w:color w:val="231F20"/>
                <w:sz w:val="19"/>
                <w:szCs w:val="19"/>
              </w:rPr>
            </w:pPr>
          </w:p>
        </w:tc>
        <w:tc>
          <w:tcPr>
            <w:tcW w:w="1478" w:type="dxa"/>
            <w:vAlign w:val="center"/>
          </w:tcPr>
          <w:p w:rsidR="00A5117D" w:rsidRDefault="00A5117D" w:rsidP="0002712E">
            <w:pPr>
              <w:autoSpaceDE w:val="0"/>
              <w:autoSpaceDN w:val="0"/>
              <w:adjustRightInd w:val="0"/>
              <w:rPr>
                <w:rFonts w:cs="TimesNewRomanPSMT"/>
                <w:color w:val="231F20"/>
                <w:sz w:val="20"/>
                <w:szCs w:val="20"/>
              </w:rPr>
            </w:pPr>
          </w:p>
        </w:tc>
        <w:tc>
          <w:tcPr>
            <w:tcW w:w="1144" w:type="dxa"/>
            <w:vMerge/>
            <w:vAlign w:val="center"/>
          </w:tcPr>
          <w:p w:rsidR="00A5117D" w:rsidRPr="00347054" w:rsidRDefault="00A5117D" w:rsidP="00BE6B66">
            <w:pPr>
              <w:autoSpaceDE w:val="0"/>
              <w:autoSpaceDN w:val="0"/>
              <w:adjustRightInd w:val="0"/>
              <w:rPr>
                <w:rFonts w:cs="TimesNewRomanPSMT"/>
                <w:b/>
                <w:color w:val="231F20"/>
                <w:sz w:val="20"/>
                <w:szCs w:val="20"/>
              </w:rPr>
            </w:pPr>
          </w:p>
        </w:tc>
        <w:tc>
          <w:tcPr>
            <w:tcW w:w="1246" w:type="dxa"/>
            <w:vMerge/>
            <w:vAlign w:val="center"/>
          </w:tcPr>
          <w:p w:rsidR="00A5117D" w:rsidRPr="00347054" w:rsidRDefault="00A5117D" w:rsidP="00BE6B66">
            <w:pPr>
              <w:autoSpaceDE w:val="0"/>
              <w:autoSpaceDN w:val="0"/>
              <w:adjustRightInd w:val="0"/>
              <w:rPr>
                <w:rFonts w:cs="TimesNewRomanPSMT"/>
                <w:color w:val="231F20"/>
                <w:sz w:val="20"/>
                <w:szCs w:val="20"/>
              </w:rPr>
            </w:pPr>
          </w:p>
        </w:tc>
        <w:tc>
          <w:tcPr>
            <w:tcW w:w="2299" w:type="dxa"/>
            <w:vMerge/>
            <w:vAlign w:val="center"/>
          </w:tcPr>
          <w:p w:rsidR="00A5117D" w:rsidRPr="00347054" w:rsidRDefault="00A5117D" w:rsidP="00BE6B66">
            <w:pPr>
              <w:autoSpaceDE w:val="0"/>
              <w:autoSpaceDN w:val="0"/>
              <w:adjustRightInd w:val="0"/>
              <w:rPr>
                <w:rFonts w:cs="TimesNewRomanPSMT"/>
                <w:color w:val="231F20"/>
                <w:sz w:val="20"/>
                <w:szCs w:val="20"/>
              </w:rPr>
            </w:pPr>
          </w:p>
        </w:tc>
        <w:tc>
          <w:tcPr>
            <w:tcW w:w="1423" w:type="dxa"/>
            <w:vMerge/>
            <w:vAlign w:val="center"/>
          </w:tcPr>
          <w:p w:rsidR="00A5117D" w:rsidRPr="00347054" w:rsidRDefault="00A5117D" w:rsidP="00BE6B66">
            <w:pPr>
              <w:rPr>
                <w:sz w:val="20"/>
                <w:szCs w:val="20"/>
              </w:rPr>
            </w:pPr>
          </w:p>
        </w:tc>
        <w:tc>
          <w:tcPr>
            <w:tcW w:w="952" w:type="dxa"/>
            <w:vMerge/>
            <w:vAlign w:val="center"/>
          </w:tcPr>
          <w:p w:rsidR="00A5117D" w:rsidRPr="00347054" w:rsidRDefault="00A5117D" w:rsidP="00BE6B66">
            <w:pPr>
              <w:rPr>
                <w:sz w:val="20"/>
                <w:szCs w:val="20"/>
              </w:rPr>
            </w:pPr>
          </w:p>
        </w:tc>
        <w:tc>
          <w:tcPr>
            <w:tcW w:w="1528" w:type="dxa"/>
            <w:vMerge/>
            <w:vAlign w:val="center"/>
          </w:tcPr>
          <w:p w:rsidR="00A5117D" w:rsidRPr="00F04B97" w:rsidRDefault="00A5117D" w:rsidP="00E46074">
            <w:pPr>
              <w:pStyle w:val="ListParagraph"/>
              <w:ind w:left="0"/>
              <w:rPr>
                <w:sz w:val="20"/>
                <w:szCs w:val="20"/>
              </w:rPr>
            </w:pPr>
          </w:p>
        </w:tc>
        <w:tc>
          <w:tcPr>
            <w:tcW w:w="1023" w:type="dxa"/>
            <w:vMerge/>
          </w:tcPr>
          <w:p w:rsidR="00A5117D" w:rsidRDefault="00A5117D" w:rsidP="00E46074">
            <w:pPr>
              <w:rPr>
                <w:sz w:val="20"/>
                <w:szCs w:val="20"/>
              </w:rPr>
            </w:pPr>
          </w:p>
        </w:tc>
        <w:tc>
          <w:tcPr>
            <w:tcW w:w="1569" w:type="dxa"/>
            <w:vMerge/>
            <w:vAlign w:val="center"/>
          </w:tcPr>
          <w:p w:rsidR="00A5117D" w:rsidRPr="00F04B97" w:rsidRDefault="00A5117D" w:rsidP="00E46074">
            <w:pPr>
              <w:pStyle w:val="ListParagraph"/>
              <w:ind w:left="-18"/>
              <w:rPr>
                <w:sz w:val="20"/>
                <w:szCs w:val="20"/>
              </w:rPr>
            </w:pPr>
          </w:p>
        </w:tc>
        <w:tc>
          <w:tcPr>
            <w:tcW w:w="1158" w:type="dxa"/>
            <w:vMerge/>
            <w:vAlign w:val="center"/>
          </w:tcPr>
          <w:p w:rsidR="00A5117D" w:rsidRPr="00F04B97" w:rsidRDefault="00A5117D" w:rsidP="00E46074">
            <w:pPr>
              <w:rPr>
                <w:sz w:val="20"/>
                <w:szCs w:val="20"/>
              </w:rPr>
            </w:pPr>
          </w:p>
        </w:tc>
        <w:tc>
          <w:tcPr>
            <w:tcW w:w="746" w:type="dxa"/>
            <w:vMerge/>
          </w:tcPr>
          <w:p w:rsidR="00A5117D" w:rsidRPr="00347054" w:rsidRDefault="00A5117D" w:rsidP="00A31336">
            <w:pPr>
              <w:jc w:val="center"/>
              <w:rPr>
                <w:b/>
                <w:sz w:val="20"/>
                <w:szCs w:val="20"/>
              </w:rPr>
            </w:pPr>
          </w:p>
        </w:tc>
      </w:tr>
    </w:tbl>
    <w:p w:rsidR="00FE4FC3" w:rsidRPr="00070F4F" w:rsidRDefault="00FE4FC3" w:rsidP="00070F4F">
      <w:pPr>
        <w:jc w:val="center"/>
        <w:rPr>
          <w:b/>
          <w:sz w:val="32"/>
          <w:szCs w:val="32"/>
        </w:rPr>
      </w:pPr>
    </w:p>
    <w:sectPr w:rsidR="00FE4FC3" w:rsidRPr="00070F4F" w:rsidSect="00070F4F">
      <w:headerReference w:type="default" r:id="rId7"/>
      <w:pgSz w:w="16839" w:h="11907" w:orient="landscape"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829" w:rsidRDefault="00D83829" w:rsidP="00FF198A">
      <w:pPr>
        <w:spacing w:after="0" w:line="240" w:lineRule="auto"/>
      </w:pPr>
      <w:r>
        <w:separator/>
      </w:r>
    </w:p>
  </w:endnote>
  <w:endnote w:type="continuationSeparator" w:id="1">
    <w:p w:rsidR="00D83829" w:rsidRDefault="00D83829" w:rsidP="00FF1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829" w:rsidRDefault="00D83829" w:rsidP="00FF198A">
      <w:pPr>
        <w:spacing w:after="0" w:line="240" w:lineRule="auto"/>
      </w:pPr>
      <w:r>
        <w:separator/>
      </w:r>
    </w:p>
  </w:footnote>
  <w:footnote w:type="continuationSeparator" w:id="1">
    <w:p w:rsidR="00D83829" w:rsidRDefault="00D83829" w:rsidP="00FF19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35E394C0BFF943C49AE638FA99D3EA85"/>
      </w:placeholder>
      <w:dataBinding w:prefixMappings="xmlns:ns0='http://schemas.openxmlformats.org/package/2006/metadata/core-properties' xmlns:ns1='http://purl.org/dc/elements/1.1/'" w:xpath="/ns0:coreProperties[1]/ns1:title[1]" w:storeItemID="{6C3C8BC8-F283-45AE-878A-BAB7291924A1}"/>
      <w:text/>
    </w:sdtPr>
    <w:sdtContent>
      <w:p w:rsidR="00E46074" w:rsidRDefault="00FD7B0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Action Plan (Preliminary) - Cabinet Division</w:t>
        </w:r>
      </w:p>
    </w:sdtContent>
  </w:sdt>
  <w:p w:rsidR="00E46074" w:rsidRDefault="00E460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42A7"/>
    <w:multiLevelType w:val="hybridMultilevel"/>
    <w:tmpl w:val="69881FEC"/>
    <w:lvl w:ilvl="0" w:tplc="403A5CE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B42D4"/>
    <w:multiLevelType w:val="hybridMultilevel"/>
    <w:tmpl w:val="D8D8984C"/>
    <w:lvl w:ilvl="0" w:tplc="403A5C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4E42C5"/>
    <w:multiLevelType w:val="hybridMultilevel"/>
    <w:tmpl w:val="D8D8984C"/>
    <w:lvl w:ilvl="0" w:tplc="403A5C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AF21D1"/>
    <w:multiLevelType w:val="hybridMultilevel"/>
    <w:tmpl w:val="D8D8984C"/>
    <w:lvl w:ilvl="0" w:tplc="403A5C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0F4F"/>
    <w:rsid w:val="00016990"/>
    <w:rsid w:val="0002712E"/>
    <w:rsid w:val="00070F4F"/>
    <w:rsid w:val="00082D7B"/>
    <w:rsid w:val="00086151"/>
    <w:rsid w:val="00105D93"/>
    <w:rsid w:val="00135836"/>
    <w:rsid w:val="0014247A"/>
    <w:rsid w:val="00142CA8"/>
    <w:rsid w:val="00167387"/>
    <w:rsid w:val="00181803"/>
    <w:rsid w:val="001C3C41"/>
    <w:rsid w:val="002123A3"/>
    <w:rsid w:val="00224F34"/>
    <w:rsid w:val="002447F6"/>
    <w:rsid w:val="00255EAB"/>
    <w:rsid w:val="0025608B"/>
    <w:rsid w:val="00290F62"/>
    <w:rsid w:val="002B0740"/>
    <w:rsid w:val="002D1ECA"/>
    <w:rsid w:val="002E33F6"/>
    <w:rsid w:val="00301FBC"/>
    <w:rsid w:val="00316597"/>
    <w:rsid w:val="00326295"/>
    <w:rsid w:val="00347054"/>
    <w:rsid w:val="0037572B"/>
    <w:rsid w:val="004219FA"/>
    <w:rsid w:val="004476AA"/>
    <w:rsid w:val="00462FBD"/>
    <w:rsid w:val="004644CD"/>
    <w:rsid w:val="00495544"/>
    <w:rsid w:val="004B3551"/>
    <w:rsid w:val="00507C52"/>
    <w:rsid w:val="00525AD7"/>
    <w:rsid w:val="00551812"/>
    <w:rsid w:val="00555716"/>
    <w:rsid w:val="005916FD"/>
    <w:rsid w:val="00596A86"/>
    <w:rsid w:val="005B50EC"/>
    <w:rsid w:val="00606E00"/>
    <w:rsid w:val="0062504A"/>
    <w:rsid w:val="0065783A"/>
    <w:rsid w:val="006B1D94"/>
    <w:rsid w:val="006F1AF2"/>
    <w:rsid w:val="0073743C"/>
    <w:rsid w:val="00746BDA"/>
    <w:rsid w:val="007C7D96"/>
    <w:rsid w:val="007F42A4"/>
    <w:rsid w:val="00853EA0"/>
    <w:rsid w:val="00857782"/>
    <w:rsid w:val="00862CB7"/>
    <w:rsid w:val="008A5CB1"/>
    <w:rsid w:val="008B6AEC"/>
    <w:rsid w:val="008E3D5A"/>
    <w:rsid w:val="008E58C5"/>
    <w:rsid w:val="00951E46"/>
    <w:rsid w:val="009571B9"/>
    <w:rsid w:val="009572A1"/>
    <w:rsid w:val="00966E4C"/>
    <w:rsid w:val="00992C8D"/>
    <w:rsid w:val="009B13C4"/>
    <w:rsid w:val="00A13373"/>
    <w:rsid w:val="00A31336"/>
    <w:rsid w:val="00A36959"/>
    <w:rsid w:val="00A5117D"/>
    <w:rsid w:val="00A57F3D"/>
    <w:rsid w:val="00AA3299"/>
    <w:rsid w:val="00AE365D"/>
    <w:rsid w:val="00AF71A2"/>
    <w:rsid w:val="00B13A9A"/>
    <w:rsid w:val="00B403D2"/>
    <w:rsid w:val="00B55D47"/>
    <w:rsid w:val="00B63E84"/>
    <w:rsid w:val="00BE302F"/>
    <w:rsid w:val="00BE6B66"/>
    <w:rsid w:val="00CC3EED"/>
    <w:rsid w:val="00CD2AE9"/>
    <w:rsid w:val="00CF002B"/>
    <w:rsid w:val="00D415C4"/>
    <w:rsid w:val="00D80145"/>
    <w:rsid w:val="00D83829"/>
    <w:rsid w:val="00DC2353"/>
    <w:rsid w:val="00E00C2F"/>
    <w:rsid w:val="00E46074"/>
    <w:rsid w:val="00E556F4"/>
    <w:rsid w:val="00E61BF3"/>
    <w:rsid w:val="00E646A0"/>
    <w:rsid w:val="00E825D2"/>
    <w:rsid w:val="00EC4CA2"/>
    <w:rsid w:val="00EE0CFD"/>
    <w:rsid w:val="00F04B97"/>
    <w:rsid w:val="00F14FFC"/>
    <w:rsid w:val="00F51613"/>
    <w:rsid w:val="00FB5DB2"/>
    <w:rsid w:val="00FD7B0C"/>
    <w:rsid w:val="00FE4FC3"/>
    <w:rsid w:val="00FE750C"/>
    <w:rsid w:val="00FF1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4FFC"/>
    <w:pPr>
      <w:ind w:left="720"/>
      <w:contextualSpacing/>
    </w:pPr>
  </w:style>
  <w:style w:type="paragraph" w:styleId="NormalWeb">
    <w:name w:val="Normal (Web)"/>
    <w:basedOn w:val="Normal"/>
    <w:uiPriority w:val="99"/>
    <w:unhideWhenUsed/>
    <w:rsid w:val="00BE6B66"/>
    <w:pPr>
      <w:spacing w:before="100" w:beforeAutospacing="1" w:after="100" w:afterAutospacing="1" w:line="240" w:lineRule="auto"/>
    </w:pPr>
    <w:rPr>
      <w:rFonts w:ascii="Times New Roman" w:eastAsia="Times New Roman" w:hAnsi="Times New Roman" w:cs="Times New Roman"/>
      <w:sz w:val="24"/>
      <w:szCs w:val="24"/>
      <w:lang w:bidi="bn-BD"/>
    </w:rPr>
  </w:style>
  <w:style w:type="paragraph" w:styleId="Header">
    <w:name w:val="header"/>
    <w:basedOn w:val="Normal"/>
    <w:link w:val="HeaderChar"/>
    <w:uiPriority w:val="99"/>
    <w:unhideWhenUsed/>
    <w:rsid w:val="00FF1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8A"/>
  </w:style>
  <w:style w:type="paragraph" w:styleId="Footer">
    <w:name w:val="footer"/>
    <w:basedOn w:val="Normal"/>
    <w:link w:val="FooterChar"/>
    <w:uiPriority w:val="99"/>
    <w:unhideWhenUsed/>
    <w:rsid w:val="00FF1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8A"/>
  </w:style>
  <w:style w:type="paragraph" w:styleId="BalloonText">
    <w:name w:val="Balloon Text"/>
    <w:basedOn w:val="Normal"/>
    <w:link w:val="BalloonTextChar"/>
    <w:uiPriority w:val="99"/>
    <w:semiHidden/>
    <w:unhideWhenUsed/>
    <w:rsid w:val="00FF1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9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4231393">
      <w:bodyDiv w:val="1"/>
      <w:marLeft w:val="0"/>
      <w:marRight w:val="0"/>
      <w:marTop w:val="0"/>
      <w:marBottom w:val="0"/>
      <w:divBdr>
        <w:top w:val="none" w:sz="0" w:space="0" w:color="auto"/>
        <w:left w:val="none" w:sz="0" w:space="0" w:color="auto"/>
        <w:bottom w:val="none" w:sz="0" w:space="0" w:color="auto"/>
        <w:right w:val="none" w:sz="0" w:space="0" w:color="auto"/>
      </w:divBdr>
    </w:div>
    <w:div w:id="175971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E394C0BFF943C49AE638FA99D3EA85"/>
        <w:category>
          <w:name w:val="General"/>
          <w:gallery w:val="placeholder"/>
        </w:category>
        <w:types>
          <w:type w:val="bbPlcHdr"/>
        </w:types>
        <w:behaviors>
          <w:behavior w:val="content"/>
        </w:behaviors>
        <w:guid w:val="{53099C85-A85F-4EB6-8422-D62ADF3040AE}"/>
      </w:docPartPr>
      <w:docPartBody>
        <w:p w:rsidR="0018199E" w:rsidRDefault="00530845" w:rsidP="00530845">
          <w:pPr>
            <w:pStyle w:val="35E394C0BFF943C49AE638FA99D3EA8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30845"/>
    <w:rsid w:val="000609F7"/>
    <w:rsid w:val="0018199E"/>
    <w:rsid w:val="00370CA7"/>
    <w:rsid w:val="003E752E"/>
    <w:rsid w:val="0047331F"/>
    <w:rsid w:val="004E7FF4"/>
    <w:rsid w:val="00530845"/>
    <w:rsid w:val="0073742F"/>
    <w:rsid w:val="008C50E2"/>
    <w:rsid w:val="008D2F56"/>
    <w:rsid w:val="008F7154"/>
    <w:rsid w:val="00C62BEB"/>
    <w:rsid w:val="00F679B6"/>
    <w:rsid w:val="00F92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C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E394C0BFF943C49AE638FA99D3EA85">
    <w:name w:val="35E394C0BFF943C49AE638FA99D3EA85"/>
    <w:rsid w:val="0053084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Action Plan (Preliminary) - Cabinet Division</vt:lpstr>
    </vt:vector>
  </TitlesOfParts>
  <Company>Hewlett-Packard Company</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(Preliminary) - Cabinet Division</dc:title>
  <dc:creator>User</dc:creator>
  <cp:lastModifiedBy>Hewlett-Packard Company</cp:lastModifiedBy>
  <cp:revision>5</cp:revision>
  <cp:lastPrinted>2018-08-13T07:21:00Z</cp:lastPrinted>
  <dcterms:created xsi:type="dcterms:W3CDTF">2018-08-12T11:01:00Z</dcterms:created>
  <dcterms:modified xsi:type="dcterms:W3CDTF">2018-08-13T07:22:00Z</dcterms:modified>
</cp:coreProperties>
</file>