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6296" w14:textId="19A74B23" w:rsidR="00160864" w:rsidRDefault="00090B34">
      <w:r>
        <w:t>ESIA-</w:t>
      </w:r>
      <w:r w:rsidR="00BF2755">
        <w:t>Responses to comments from WB</w:t>
      </w:r>
    </w:p>
    <w:tbl>
      <w:tblPr>
        <w:tblStyle w:val="TableGrid"/>
        <w:tblW w:w="10774" w:type="dxa"/>
        <w:tblInd w:w="-714" w:type="dxa"/>
        <w:tblLook w:val="04A0" w:firstRow="1" w:lastRow="0" w:firstColumn="1" w:lastColumn="0" w:noHBand="0" w:noVBand="1"/>
      </w:tblPr>
      <w:tblGrid>
        <w:gridCol w:w="4962"/>
        <w:gridCol w:w="4111"/>
        <w:gridCol w:w="1701"/>
      </w:tblGrid>
      <w:tr w:rsidR="00BF2755" w:rsidRPr="0080693D" w14:paraId="1C64AB8E" w14:textId="77777777" w:rsidTr="00E8517A">
        <w:tc>
          <w:tcPr>
            <w:tcW w:w="4962" w:type="dxa"/>
          </w:tcPr>
          <w:p w14:paraId="4593CA7F" w14:textId="4D2E4702" w:rsidR="00BF2755" w:rsidRPr="0080693D" w:rsidRDefault="00BF2755">
            <w:pPr>
              <w:rPr>
                <w:b/>
                <w:bCs/>
                <w:sz w:val="18"/>
                <w:szCs w:val="18"/>
              </w:rPr>
            </w:pPr>
            <w:r w:rsidRPr="0080693D">
              <w:rPr>
                <w:b/>
                <w:bCs/>
                <w:sz w:val="18"/>
                <w:szCs w:val="18"/>
              </w:rPr>
              <w:t>Comments from the WB</w:t>
            </w:r>
          </w:p>
        </w:tc>
        <w:tc>
          <w:tcPr>
            <w:tcW w:w="4111" w:type="dxa"/>
          </w:tcPr>
          <w:p w14:paraId="51CC41A7" w14:textId="6B6ED412" w:rsidR="00BF2755" w:rsidRPr="0080693D" w:rsidRDefault="00BF2755">
            <w:pPr>
              <w:rPr>
                <w:b/>
                <w:bCs/>
                <w:sz w:val="18"/>
                <w:szCs w:val="18"/>
              </w:rPr>
            </w:pPr>
            <w:r w:rsidRPr="0080693D">
              <w:rPr>
                <w:b/>
                <w:bCs/>
                <w:sz w:val="18"/>
                <w:szCs w:val="18"/>
              </w:rPr>
              <w:t>Responses from TYPSA</w:t>
            </w:r>
          </w:p>
        </w:tc>
        <w:tc>
          <w:tcPr>
            <w:tcW w:w="1701" w:type="dxa"/>
          </w:tcPr>
          <w:p w14:paraId="23FF8381" w14:textId="3ABC5AE2" w:rsidR="00BF2755" w:rsidRPr="0080693D" w:rsidRDefault="00BF2755">
            <w:pPr>
              <w:rPr>
                <w:b/>
                <w:bCs/>
                <w:sz w:val="18"/>
                <w:szCs w:val="18"/>
              </w:rPr>
            </w:pPr>
            <w:r w:rsidRPr="0080693D">
              <w:rPr>
                <w:b/>
                <w:bCs/>
                <w:sz w:val="18"/>
                <w:szCs w:val="18"/>
              </w:rPr>
              <w:t xml:space="preserve">References Pages/ Sections </w:t>
            </w:r>
          </w:p>
        </w:tc>
      </w:tr>
      <w:tr w:rsidR="0080693D" w:rsidRPr="0080693D" w14:paraId="54801E4E" w14:textId="77777777" w:rsidTr="00E8517A">
        <w:tc>
          <w:tcPr>
            <w:tcW w:w="4962" w:type="dxa"/>
          </w:tcPr>
          <w:p w14:paraId="1F52D39C" w14:textId="54A14BD5" w:rsidR="0080693D" w:rsidRPr="0080693D" w:rsidRDefault="0080693D">
            <w:pPr>
              <w:rPr>
                <w:sz w:val="18"/>
                <w:szCs w:val="18"/>
              </w:rPr>
            </w:pPr>
            <w:r>
              <w:rPr>
                <w:sz w:val="18"/>
                <w:szCs w:val="18"/>
                <w:lang w:val="en-CA"/>
              </w:rPr>
              <w:t>P</w:t>
            </w:r>
            <w:r w:rsidRPr="0080693D">
              <w:rPr>
                <w:sz w:val="18"/>
                <w:szCs w:val="18"/>
                <w:lang w:val="en-CA"/>
              </w:rPr>
              <w:t xml:space="preserve">rovide supporting evidence for DOE approval and exemption within the ESIA report to ensure activities are not in contradiction of the designation of both Buriganga and </w:t>
            </w:r>
            <w:proofErr w:type="spellStart"/>
            <w:r w:rsidRPr="0080693D">
              <w:rPr>
                <w:sz w:val="18"/>
                <w:szCs w:val="18"/>
                <w:lang w:val="en-CA"/>
              </w:rPr>
              <w:t>Shitalakshya</w:t>
            </w:r>
            <w:proofErr w:type="spellEnd"/>
            <w:r w:rsidRPr="0080693D">
              <w:rPr>
                <w:sz w:val="18"/>
                <w:szCs w:val="18"/>
                <w:lang w:val="en-CA"/>
              </w:rPr>
              <w:t xml:space="preserve"> rivers as </w:t>
            </w:r>
            <w:r w:rsidRPr="0080693D">
              <w:rPr>
                <w:sz w:val="18"/>
                <w:szCs w:val="18"/>
                <w:u w:val="single"/>
                <w:lang w:val="en-CA"/>
              </w:rPr>
              <w:t>ecologically critical areas (ECA)</w:t>
            </w:r>
            <w:r w:rsidRPr="0080693D">
              <w:rPr>
                <w:sz w:val="18"/>
                <w:szCs w:val="18"/>
                <w:lang w:val="en-CA"/>
              </w:rPr>
              <w:t>, restricting any future development on these rivers. </w:t>
            </w:r>
            <w:r w:rsidRPr="0080693D">
              <w:rPr>
                <w:i/>
                <w:iCs/>
                <w:sz w:val="18"/>
                <w:szCs w:val="18"/>
                <w:lang w:val="en-CA"/>
              </w:rPr>
              <w:t>For example, the conditions of the Environmental Clearance Clauses (ECC) obtained from DoE can be provided.</w:t>
            </w:r>
          </w:p>
        </w:tc>
        <w:tc>
          <w:tcPr>
            <w:tcW w:w="4111" w:type="dxa"/>
          </w:tcPr>
          <w:p w14:paraId="10631D82" w14:textId="207E5739" w:rsidR="0080693D" w:rsidRPr="00193552" w:rsidRDefault="00E8517A">
            <w:pPr>
              <w:rPr>
                <w:sz w:val="18"/>
                <w:szCs w:val="18"/>
                <w:highlight w:val="yellow"/>
              </w:rPr>
            </w:pPr>
            <w:r w:rsidRPr="00193552">
              <w:rPr>
                <w:sz w:val="18"/>
                <w:szCs w:val="18"/>
                <w:highlight w:val="yellow"/>
              </w:rPr>
              <w:t xml:space="preserve">I think the WB probably asking for providing some sorts of text in the ESIA that reflect the aspect.  </w:t>
            </w:r>
          </w:p>
          <w:p w14:paraId="6A8651F2" w14:textId="77777777" w:rsidR="00193552" w:rsidRDefault="00E8517A">
            <w:pPr>
              <w:rPr>
                <w:sz w:val="18"/>
                <w:szCs w:val="18"/>
              </w:rPr>
            </w:pPr>
            <w:r w:rsidRPr="00193552">
              <w:rPr>
                <w:sz w:val="18"/>
                <w:szCs w:val="18"/>
                <w:highlight w:val="yellow"/>
              </w:rPr>
              <w:t xml:space="preserve">I think the ECC </w:t>
            </w:r>
            <w:r w:rsidR="00193552" w:rsidRPr="00193552">
              <w:rPr>
                <w:sz w:val="18"/>
                <w:szCs w:val="18"/>
                <w:highlight w:val="yellow"/>
              </w:rPr>
              <w:t xml:space="preserve">could be </w:t>
            </w:r>
            <w:r w:rsidRPr="00193552">
              <w:rPr>
                <w:sz w:val="18"/>
                <w:szCs w:val="18"/>
                <w:highlight w:val="yellow"/>
              </w:rPr>
              <w:t>check</w:t>
            </w:r>
            <w:r w:rsidR="00193552" w:rsidRPr="00193552">
              <w:rPr>
                <w:sz w:val="18"/>
                <w:szCs w:val="18"/>
                <w:highlight w:val="yellow"/>
              </w:rPr>
              <w:t>ed</w:t>
            </w:r>
            <w:r w:rsidRPr="00193552">
              <w:rPr>
                <w:sz w:val="18"/>
                <w:szCs w:val="18"/>
                <w:highlight w:val="yellow"/>
              </w:rPr>
              <w:t xml:space="preserve"> for the clauses</w:t>
            </w:r>
            <w:r w:rsidR="00193552" w:rsidRPr="00193552">
              <w:rPr>
                <w:sz w:val="18"/>
                <w:szCs w:val="18"/>
                <w:highlight w:val="yellow"/>
              </w:rPr>
              <w:t xml:space="preserve"> relating to this.</w:t>
            </w:r>
          </w:p>
          <w:p w14:paraId="4B1395C1" w14:textId="77777777" w:rsidR="00090B34" w:rsidRDefault="00090B34">
            <w:pPr>
              <w:rPr>
                <w:sz w:val="18"/>
                <w:szCs w:val="18"/>
                <w:highlight w:val="yellow"/>
              </w:rPr>
            </w:pPr>
          </w:p>
          <w:p w14:paraId="7BB72E6C" w14:textId="77777777" w:rsidR="00752D00" w:rsidRDefault="00193552">
            <w:pPr>
              <w:rPr>
                <w:sz w:val="18"/>
                <w:szCs w:val="18"/>
                <w:highlight w:val="yellow"/>
              </w:rPr>
            </w:pPr>
            <w:r w:rsidRPr="003F706A">
              <w:rPr>
                <w:sz w:val="18"/>
                <w:szCs w:val="18"/>
                <w:highlight w:val="yellow"/>
              </w:rPr>
              <w:t xml:space="preserve">The gazette notification for declaring the ECAs mainly emphasizes </w:t>
            </w:r>
            <w:proofErr w:type="gramStart"/>
            <w:r w:rsidRPr="003F706A">
              <w:rPr>
                <w:sz w:val="18"/>
                <w:szCs w:val="18"/>
                <w:highlight w:val="yellow"/>
              </w:rPr>
              <w:t>on:</w:t>
            </w:r>
            <w:proofErr w:type="gramEnd"/>
            <w:r w:rsidRPr="003F706A">
              <w:rPr>
                <w:sz w:val="18"/>
                <w:szCs w:val="18"/>
                <w:highlight w:val="yellow"/>
              </w:rPr>
              <w:t xml:space="preserve"> not polluting and degrading the habitat quality; causing to harm to important flora and fauna communities; </w:t>
            </w:r>
            <w:r w:rsidR="003F706A" w:rsidRPr="003F706A">
              <w:rPr>
                <w:sz w:val="18"/>
                <w:szCs w:val="18"/>
                <w:highlight w:val="yellow"/>
              </w:rPr>
              <w:t xml:space="preserve">etc. </w:t>
            </w:r>
          </w:p>
          <w:p w14:paraId="7C2463E0" w14:textId="77777777" w:rsidR="00752D00" w:rsidRDefault="00752D00">
            <w:pPr>
              <w:rPr>
                <w:sz w:val="18"/>
                <w:szCs w:val="18"/>
                <w:highlight w:val="yellow"/>
              </w:rPr>
            </w:pPr>
          </w:p>
          <w:p w14:paraId="519D880A" w14:textId="77777777" w:rsidR="003F706A" w:rsidRPr="003F706A" w:rsidRDefault="003F706A">
            <w:pPr>
              <w:rPr>
                <w:sz w:val="18"/>
                <w:szCs w:val="18"/>
                <w:highlight w:val="yellow"/>
              </w:rPr>
            </w:pPr>
          </w:p>
          <w:p w14:paraId="092B7911" w14:textId="77777777" w:rsidR="003F706A" w:rsidRDefault="003F706A">
            <w:pPr>
              <w:rPr>
                <w:sz w:val="18"/>
                <w:szCs w:val="18"/>
              </w:rPr>
            </w:pPr>
            <w:r w:rsidRPr="003F706A">
              <w:rPr>
                <w:sz w:val="18"/>
                <w:szCs w:val="18"/>
                <w:highlight w:val="yellow"/>
              </w:rPr>
              <w:t xml:space="preserve">My understanding is that since the DoE (mandated authority for ECA management) has provided ECC, therefore, there is no major environmental constraints and if there are satisfied that the constructions will not cause major changes in the environment and if they find that the adverse impacts </w:t>
            </w:r>
            <w:proofErr w:type="gramStart"/>
            <w:r w:rsidRPr="003F706A">
              <w:rPr>
                <w:sz w:val="18"/>
                <w:szCs w:val="18"/>
                <w:highlight w:val="yellow"/>
              </w:rPr>
              <w:t xml:space="preserve">are </w:t>
            </w:r>
            <w:r w:rsidR="00193552" w:rsidRPr="003F706A">
              <w:rPr>
                <w:sz w:val="18"/>
                <w:szCs w:val="18"/>
                <w:highlight w:val="yellow"/>
              </w:rPr>
              <w:t xml:space="preserve"> </w:t>
            </w:r>
            <w:r w:rsidRPr="003F706A">
              <w:rPr>
                <w:sz w:val="18"/>
                <w:szCs w:val="18"/>
                <w:highlight w:val="yellow"/>
              </w:rPr>
              <w:t>mitigable</w:t>
            </w:r>
            <w:proofErr w:type="gramEnd"/>
            <w:r w:rsidRPr="003F706A">
              <w:rPr>
                <w:sz w:val="18"/>
                <w:szCs w:val="18"/>
                <w:highlight w:val="yellow"/>
              </w:rPr>
              <w:t xml:space="preserve"> they may permit the construction.</w:t>
            </w:r>
            <w:r>
              <w:rPr>
                <w:sz w:val="18"/>
                <w:szCs w:val="18"/>
              </w:rPr>
              <w:t xml:space="preserve"> </w:t>
            </w:r>
          </w:p>
          <w:p w14:paraId="5E77B384" w14:textId="77777777" w:rsidR="00193552" w:rsidRDefault="00193552">
            <w:pPr>
              <w:rPr>
                <w:sz w:val="18"/>
                <w:szCs w:val="18"/>
              </w:rPr>
            </w:pPr>
          </w:p>
          <w:p w14:paraId="478CC197" w14:textId="426DFBD6" w:rsidR="00E8517A" w:rsidRPr="00193552" w:rsidRDefault="00E8517A" w:rsidP="00193552">
            <w:pPr>
              <w:rPr>
                <w:sz w:val="18"/>
                <w:szCs w:val="18"/>
              </w:rPr>
            </w:pPr>
          </w:p>
        </w:tc>
        <w:tc>
          <w:tcPr>
            <w:tcW w:w="1701" w:type="dxa"/>
          </w:tcPr>
          <w:p w14:paraId="7DEBA75A" w14:textId="4C973B9C" w:rsidR="0080693D" w:rsidRPr="0080693D" w:rsidRDefault="0080693D">
            <w:pPr>
              <w:rPr>
                <w:sz w:val="18"/>
                <w:szCs w:val="18"/>
              </w:rPr>
            </w:pPr>
          </w:p>
        </w:tc>
      </w:tr>
      <w:tr w:rsidR="00BF2755" w:rsidRPr="0080693D" w14:paraId="415F86DF" w14:textId="77777777" w:rsidTr="00E8517A">
        <w:trPr>
          <w:trHeight w:val="1344"/>
        </w:trPr>
        <w:tc>
          <w:tcPr>
            <w:tcW w:w="4962" w:type="dxa"/>
            <w:vMerge w:val="restart"/>
          </w:tcPr>
          <w:p w14:paraId="5D162932" w14:textId="4269ECA6" w:rsidR="00BF2755" w:rsidRPr="0080693D" w:rsidRDefault="00BF2755">
            <w:pPr>
              <w:rPr>
                <w:sz w:val="18"/>
                <w:szCs w:val="18"/>
              </w:rPr>
            </w:pPr>
            <w:r w:rsidRPr="0080693D">
              <w:rPr>
                <w:sz w:val="18"/>
                <w:szCs w:val="18"/>
                <w:lang w:val="en-CA"/>
              </w:rPr>
              <w:t>Include adequate management measures in line with current knowledge (</w:t>
            </w:r>
            <w:proofErr w:type="spellStart"/>
            <w:r w:rsidRPr="0080693D">
              <w:rPr>
                <w:sz w:val="18"/>
                <w:szCs w:val="18"/>
                <w:lang w:val="en-CA"/>
              </w:rPr>
              <w:t>e.g</w:t>
            </w:r>
            <w:proofErr w:type="spellEnd"/>
            <w:r w:rsidRPr="0080693D">
              <w:rPr>
                <w:sz w:val="18"/>
                <w:szCs w:val="18"/>
                <w:lang w:val="en-CA"/>
              </w:rPr>
              <w:t> </w:t>
            </w:r>
            <w:hyperlink w:history="1">
              <w:r w:rsidRPr="0080693D">
                <w:rPr>
                  <w:rStyle w:val="Hyperlink"/>
                  <w:sz w:val="18"/>
                  <w:szCs w:val="18"/>
                  <w:lang w:val="en-CA"/>
                </w:rPr>
                <w:t>https://www.riverdolphins.org /best-practices/</w:t>
              </w:r>
            </w:hyperlink>
            <w:r w:rsidRPr="0080693D">
              <w:rPr>
                <w:sz w:val="18"/>
                <w:szCs w:val="18"/>
                <w:lang w:val="en-CA"/>
              </w:rPr>
              <w:t xml:space="preserve">), incorporating information on location and behaviours of critical species identified during both construction phase (which we acknowledge has been well defined in the ESMP) and operation phase. </w:t>
            </w:r>
            <w:proofErr w:type="gramStart"/>
            <w:r w:rsidRPr="0080693D">
              <w:rPr>
                <w:sz w:val="18"/>
                <w:szCs w:val="18"/>
                <w:lang w:val="en-CA"/>
              </w:rPr>
              <w:t>In particular, this</w:t>
            </w:r>
            <w:proofErr w:type="gramEnd"/>
            <w:r w:rsidRPr="0080693D">
              <w:rPr>
                <w:sz w:val="18"/>
                <w:szCs w:val="18"/>
                <w:lang w:val="en-CA"/>
              </w:rPr>
              <w:t xml:space="preserve"> should include definite monitoring end points for specific species, which will also serve to inform the currently qualitative nature of the CIA. </w:t>
            </w:r>
            <w:r w:rsidRPr="0080693D">
              <w:rPr>
                <w:sz w:val="18"/>
                <w:szCs w:val="18"/>
              </w:rPr>
              <w:t xml:space="preserve">Biodiversity management will also provide </w:t>
            </w:r>
            <w:r w:rsidRPr="00090B34">
              <w:rPr>
                <w:sz w:val="18"/>
                <w:szCs w:val="18"/>
              </w:rPr>
              <w:t>some information to monitor impacts on fishing and related socioeconomic effects.</w:t>
            </w:r>
            <w:r w:rsidRPr="0080693D">
              <w:rPr>
                <w:sz w:val="18"/>
                <w:szCs w:val="18"/>
              </w:rPr>
              <w:t> </w:t>
            </w:r>
          </w:p>
        </w:tc>
        <w:tc>
          <w:tcPr>
            <w:tcW w:w="4111" w:type="dxa"/>
          </w:tcPr>
          <w:p w14:paraId="18FDEC6B" w14:textId="77777777" w:rsidR="00BF2755" w:rsidRDefault="00BF2755">
            <w:pPr>
              <w:rPr>
                <w:sz w:val="18"/>
                <w:szCs w:val="18"/>
              </w:rPr>
            </w:pPr>
            <w:r w:rsidRPr="0080693D">
              <w:rPr>
                <w:sz w:val="18"/>
                <w:szCs w:val="18"/>
              </w:rPr>
              <w:t>The impacts of construction and operation of terminals have been further elaborated in the body of the text of the ESIA Report</w:t>
            </w:r>
            <w:r w:rsidR="006B7DB0">
              <w:rPr>
                <w:sz w:val="18"/>
                <w:szCs w:val="18"/>
              </w:rPr>
              <w:t xml:space="preserve">, based on the information referred document on best practices for river dolphins. As suggested, </w:t>
            </w:r>
            <w:proofErr w:type="gramStart"/>
            <w:r w:rsidR="006B7DB0">
              <w:rPr>
                <w:sz w:val="18"/>
                <w:szCs w:val="18"/>
              </w:rPr>
              <w:t>also  the</w:t>
            </w:r>
            <w:proofErr w:type="gramEnd"/>
            <w:r w:rsidR="006B7DB0">
              <w:rPr>
                <w:sz w:val="18"/>
                <w:szCs w:val="18"/>
              </w:rPr>
              <w:t xml:space="preserve"> referred document on the dolphin distribution in Bangladesh river system have been </w:t>
            </w:r>
            <w:r w:rsidR="002116B6">
              <w:rPr>
                <w:sz w:val="18"/>
                <w:szCs w:val="18"/>
              </w:rPr>
              <w:t xml:space="preserve"> </w:t>
            </w:r>
            <w:r w:rsidR="006B7DB0">
              <w:rPr>
                <w:sz w:val="18"/>
                <w:szCs w:val="18"/>
              </w:rPr>
              <w:t>consulted to define the monitoring sites of Ganges river dolphins</w:t>
            </w:r>
            <w:r w:rsidR="00971ACD">
              <w:rPr>
                <w:sz w:val="18"/>
                <w:szCs w:val="18"/>
              </w:rPr>
              <w:t xml:space="preserve"> within the project influence areas</w:t>
            </w:r>
            <w:r w:rsidR="006B7DB0">
              <w:rPr>
                <w:sz w:val="18"/>
                <w:szCs w:val="18"/>
              </w:rPr>
              <w:t xml:space="preserve">. A map on the dolphin distribution in the country is included in text. </w:t>
            </w:r>
          </w:p>
          <w:p w14:paraId="3E64C201" w14:textId="77777777" w:rsidR="002349A3" w:rsidRDefault="005F794C">
            <w:pPr>
              <w:rPr>
                <w:sz w:val="18"/>
                <w:szCs w:val="18"/>
              </w:rPr>
            </w:pPr>
            <w:r>
              <w:rPr>
                <w:sz w:val="18"/>
                <w:szCs w:val="18"/>
              </w:rPr>
              <w:t>Mitigation measures have also been elaborated to include adequate mitigation actions for threatened fish and dolphins.</w:t>
            </w:r>
          </w:p>
          <w:p w14:paraId="36ED16BF" w14:textId="77777777" w:rsidR="005F794C" w:rsidRDefault="00567DEE">
            <w:pPr>
              <w:rPr>
                <w:sz w:val="18"/>
                <w:szCs w:val="18"/>
              </w:rPr>
            </w:pPr>
            <w:r>
              <w:rPr>
                <w:sz w:val="18"/>
                <w:szCs w:val="18"/>
              </w:rPr>
              <w:t>Please note that, a</w:t>
            </w:r>
            <w:r w:rsidR="002349A3">
              <w:rPr>
                <w:sz w:val="18"/>
                <w:szCs w:val="18"/>
              </w:rPr>
              <w:t xml:space="preserve">s assessed, the impact of construction </w:t>
            </w:r>
            <w:r>
              <w:rPr>
                <w:sz w:val="18"/>
                <w:szCs w:val="18"/>
              </w:rPr>
              <w:t xml:space="preserve">and operation the project on fishing will be less and is </w:t>
            </w:r>
            <w:proofErr w:type="gramStart"/>
            <w:r>
              <w:rPr>
                <w:sz w:val="18"/>
                <w:szCs w:val="18"/>
              </w:rPr>
              <w:t>considered  mitigatable</w:t>
            </w:r>
            <w:proofErr w:type="gramEnd"/>
            <w:r w:rsidR="00193552">
              <w:rPr>
                <w:sz w:val="18"/>
                <w:szCs w:val="18"/>
              </w:rPr>
              <w:t xml:space="preserve">. However. </w:t>
            </w:r>
            <w:proofErr w:type="gramStart"/>
            <w:r w:rsidR="00193552">
              <w:rPr>
                <w:sz w:val="18"/>
                <w:szCs w:val="18"/>
              </w:rPr>
              <w:t>There</w:t>
            </w:r>
            <w:proofErr w:type="gramEnd"/>
            <w:r w:rsidR="00193552">
              <w:rPr>
                <w:sz w:val="18"/>
                <w:szCs w:val="18"/>
              </w:rPr>
              <w:t xml:space="preserve"> other major factors that impact the fish abundances vis-à-vis </w:t>
            </w:r>
          </w:p>
          <w:p w14:paraId="25645D95" w14:textId="14E6C5F3" w:rsidR="00193552" w:rsidRPr="0080693D" w:rsidRDefault="00090B34">
            <w:pPr>
              <w:rPr>
                <w:sz w:val="18"/>
                <w:szCs w:val="18"/>
              </w:rPr>
            </w:pPr>
            <w:r>
              <w:rPr>
                <w:sz w:val="18"/>
                <w:szCs w:val="18"/>
              </w:rPr>
              <w:t xml:space="preserve">ESMP includes measures for monitoring fishing </w:t>
            </w:r>
          </w:p>
        </w:tc>
        <w:tc>
          <w:tcPr>
            <w:tcW w:w="1701" w:type="dxa"/>
          </w:tcPr>
          <w:p w14:paraId="6777AA59" w14:textId="7EB88356" w:rsidR="002349A3" w:rsidRDefault="002349A3">
            <w:pPr>
              <w:rPr>
                <w:sz w:val="18"/>
                <w:szCs w:val="18"/>
              </w:rPr>
            </w:pPr>
            <w:r>
              <w:rPr>
                <w:sz w:val="18"/>
                <w:szCs w:val="18"/>
              </w:rPr>
              <w:t xml:space="preserve">Construction phase: </w:t>
            </w:r>
          </w:p>
          <w:p w14:paraId="52DBA4A8" w14:textId="4099500E" w:rsidR="00BF2755" w:rsidRDefault="002349A3">
            <w:pPr>
              <w:rPr>
                <w:sz w:val="18"/>
                <w:szCs w:val="18"/>
              </w:rPr>
            </w:pPr>
            <w:r>
              <w:rPr>
                <w:sz w:val="18"/>
                <w:szCs w:val="18"/>
              </w:rPr>
              <w:t>f</w:t>
            </w:r>
            <w:r w:rsidR="00BF2755" w:rsidRPr="0080693D">
              <w:rPr>
                <w:sz w:val="18"/>
                <w:szCs w:val="18"/>
              </w:rPr>
              <w:t>or impacts please refer to Section</w:t>
            </w:r>
            <w:r>
              <w:rPr>
                <w:sz w:val="18"/>
                <w:szCs w:val="18"/>
              </w:rPr>
              <w:t xml:space="preserve"> 5.2.9; </w:t>
            </w:r>
            <w:r w:rsidR="00BF2755" w:rsidRPr="0080693D">
              <w:rPr>
                <w:sz w:val="18"/>
                <w:szCs w:val="18"/>
              </w:rPr>
              <w:t>Pages:</w:t>
            </w:r>
            <w:r>
              <w:rPr>
                <w:sz w:val="18"/>
                <w:szCs w:val="18"/>
              </w:rPr>
              <w:t xml:space="preserve"> 377-379. </w:t>
            </w:r>
          </w:p>
          <w:p w14:paraId="064CB577" w14:textId="73439AA9" w:rsidR="002349A3" w:rsidRDefault="002349A3">
            <w:pPr>
              <w:rPr>
                <w:sz w:val="18"/>
                <w:szCs w:val="18"/>
              </w:rPr>
            </w:pPr>
            <w:r>
              <w:rPr>
                <w:sz w:val="18"/>
                <w:szCs w:val="18"/>
              </w:rPr>
              <w:t>Mitigation measures: 384-385</w:t>
            </w:r>
          </w:p>
          <w:p w14:paraId="0BFA1798" w14:textId="1467D2C6" w:rsidR="002349A3" w:rsidRDefault="002349A3">
            <w:pPr>
              <w:rPr>
                <w:sz w:val="18"/>
                <w:szCs w:val="18"/>
              </w:rPr>
            </w:pPr>
          </w:p>
          <w:p w14:paraId="6E0DC461" w14:textId="6ACE4FB5" w:rsidR="002349A3" w:rsidRPr="0080693D" w:rsidRDefault="002349A3">
            <w:pPr>
              <w:rPr>
                <w:sz w:val="18"/>
                <w:szCs w:val="18"/>
              </w:rPr>
            </w:pPr>
            <w:r>
              <w:rPr>
                <w:sz w:val="18"/>
                <w:szCs w:val="18"/>
              </w:rPr>
              <w:t>Operation Phase: impacts and mitigation: Section 5.3.7: Page: 397-398</w:t>
            </w:r>
          </w:p>
          <w:p w14:paraId="31475937" w14:textId="77777777" w:rsidR="00BF2755" w:rsidRPr="0080693D" w:rsidRDefault="00BF2755">
            <w:pPr>
              <w:rPr>
                <w:sz w:val="18"/>
                <w:szCs w:val="18"/>
              </w:rPr>
            </w:pPr>
          </w:p>
          <w:p w14:paraId="02EC615B" w14:textId="07D4C0FA" w:rsidR="00BF2755" w:rsidRPr="0080693D" w:rsidRDefault="00BF2755">
            <w:pPr>
              <w:rPr>
                <w:sz w:val="18"/>
                <w:szCs w:val="18"/>
              </w:rPr>
            </w:pPr>
          </w:p>
        </w:tc>
      </w:tr>
      <w:tr w:rsidR="00BF2755" w:rsidRPr="0080693D" w14:paraId="46D98E0A" w14:textId="77777777" w:rsidTr="00E8517A">
        <w:trPr>
          <w:trHeight w:val="1344"/>
        </w:trPr>
        <w:tc>
          <w:tcPr>
            <w:tcW w:w="4962" w:type="dxa"/>
            <w:vMerge/>
          </w:tcPr>
          <w:p w14:paraId="0FFB4B3F" w14:textId="77777777" w:rsidR="00BF2755" w:rsidRPr="0080693D" w:rsidRDefault="00BF2755">
            <w:pPr>
              <w:rPr>
                <w:sz w:val="18"/>
                <w:szCs w:val="18"/>
                <w:lang w:val="en-CA"/>
              </w:rPr>
            </w:pPr>
          </w:p>
        </w:tc>
        <w:tc>
          <w:tcPr>
            <w:tcW w:w="4111" w:type="dxa"/>
          </w:tcPr>
          <w:p w14:paraId="2DD975F0" w14:textId="4C8325E3" w:rsidR="006B7DB0" w:rsidRDefault="002336E1">
            <w:pPr>
              <w:rPr>
                <w:sz w:val="18"/>
                <w:szCs w:val="18"/>
              </w:rPr>
            </w:pPr>
            <w:r w:rsidRPr="0080693D">
              <w:rPr>
                <w:sz w:val="18"/>
                <w:szCs w:val="18"/>
              </w:rPr>
              <w:t>As suggested</w:t>
            </w:r>
            <w:r w:rsidR="002116B6">
              <w:rPr>
                <w:sz w:val="18"/>
                <w:szCs w:val="18"/>
              </w:rPr>
              <w:t>, both management plans and monitoring plans</w:t>
            </w:r>
            <w:r w:rsidR="00971ACD">
              <w:rPr>
                <w:sz w:val="18"/>
                <w:szCs w:val="18"/>
              </w:rPr>
              <w:t xml:space="preserve"> of all six terminals</w:t>
            </w:r>
            <w:r w:rsidR="002116B6">
              <w:rPr>
                <w:sz w:val="18"/>
                <w:szCs w:val="18"/>
              </w:rPr>
              <w:t xml:space="preserve"> have been further revised to include adequate mitigation measures and monitoring indicator for dolphin. </w:t>
            </w:r>
          </w:p>
          <w:p w14:paraId="13A71505" w14:textId="0E9A322A" w:rsidR="002336E1" w:rsidRPr="0080693D" w:rsidRDefault="0080693D">
            <w:pPr>
              <w:rPr>
                <w:sz w:val="18"/>
                <w:szCs w:val="18"/>
              </w:rPr>
            </w:pPr>
            <w:r w:rsidRPr="0080693D">
              <w:rPr>
                <w:sz w:val="18"/>
                <w:szCs w:val="18"/>
              </w:rPr>
              <w:t xml:space="preserve"> </w:t>
            </w:r>
          </w:p>
        </w:tc>
        <w:tc>
          <w:tcPr>
            <w:tcW w:w="1701" w:type="dxa"/>
          </w:tcPr>
          <w:p w14:paraId="36827BF1" w14:textId="24194674" w:rsidR="00BF2755" w:rsidRPr="0080693D" w:rsidRDefault="00971ACD">
            <w:pPr>
              <w:rPr>
                <w:sz w:val="18"/>
                <w:szCs w:val="18"/>
              </w:rPr>
            </w:pPr>
            <w:r>
              <w:rPr>
                <w:sz w:val="18"/>
                <w:szCs w:val="18"/>
              </w:rPr>
              <w:t xml:space="preserve">Please refer to all 6 </w:t>
            </w:r>
            <w:r w:rsidR="002336E1" w:rsidRPr="0080693D">
              <w:rPr>
                <w:sz w:val="18"/>
                <w:szCs w:val="18"/>
              </w:rPr>
              <w:t xml:space="preserve">Environmental </w:t>
            </w:r>
            <w:r>
              <w:rPr>
                <w:sz w:val="18"/>
                <w:szCs w:val="18"/>
              </w:rPr>
              <w:t>Management Plans and Monitoring Plans (C</w:t>
            </w:r>
            <w:r w:rsidR="002336E1" w:rsidRPr="0080693D">
              <w:rPr>
                <w:sz w:val="18"/>
                <w:szCs w:val="18"/>
              </w:rPr>
              <w:t>omponent</w:t>
            </w:r>
            <w:r>
              <w:rPr>
                <w:sz w:val="18"/>
                <w:szCs w:val="18"/>
              </w:rPr>
              <w:t xml:space="preserve">: </w:t>
            </w:r>
            <w:r w:rsidR="002336E1" w:rsidRPr="0080693D">
              <w:rPr>
                <w:sz w:val="18"/>
                <w:szCs w:val="18"/>
              </w:rPr>
              <w:t xml:space="preserve"> Aquatic Ecosystem</w:t>
            </w:r>
            <w:r>
              <w:rPr>
                <w:sz w:val="18"/>
                <w:szCs w:val="18"/>
              </w:rPr>
              <w:t xml:space="preserve">) </w:t>
            </w:r>
            <w:r w:rsidR="002336E1" w:rsidRPr="0080693D">
              <w:rPr>
                <w:sz w:val="18"/>
                <w:szCs w:val="18"/>
              </w:rPr>
              <w:t xml:space="preserve"> </w:t>
            </w:r>
          </w:p>
        </w:tc>
      </w:tr>
      <w:tr w:rsidR="0080693D" w:rsidRPr="0080693D" w14:paraId="0AD9F56D" w14:textId="77777777" w:rsidTr="00E8517A">
        <w:trPr>
          <w:trHeight w:val="1344"/>
        </w:trPr>
        <w:tc>
          <w:tcPr>
            <w:tcW w:w="4962" w:type="dxa"/>
          </w:tcPr>
          <w:p w14:paraId="186FCF6F" w14:textId="77777777" w:rsidR="0080693D" w:rsidRPr="00DF4D4D" w:rsidRDefault="0080693D" w:rsidP="0080693D">
            <w:r w:rsidRPr="00DF4D4D">
              <w:t>Please clarify if the </w:t>
            </w:r>
            <w:r w:rsidRPr="00DF4D4D">
              <w:rPr>
                <w:u w:val="single"/>
              </w:rPr>
              <w:t>GRM</w:t>
            </w:r>
            <w:r w:rsidRPr="00DF4D4D">
              <w:t> (all phases) will accept anonymous grievances.</w:t>
            </w:r>
          </w:p>
          <w:p w14:paraId="314B9590" w14:textId="77777777" w:rsidR="0080693D" w:rsidRPr="0080693D" w:rsidRDefault="0080693D">
            <w:pPr>
              <w:rPr>
                <w:sz w:val="18"/>
                <w:szCs w:val="18"/>
                <w:lang w:val="en-CA"/>
              </w:rPr>
            </w:pPr>
          </w:p>
        </w:tc>
        <w:tc>
          <w:tcPr>
            <w:tcW w:w="4111" w:type="dxa"/>
          </w:tcPr>
          <w:p w14:paraId="3BB57946" w14:textId="419F46CC" w:rsidR="0080693D" w:rsidRPr="0080693D" w:rsidRDefault="00090B34">
            <w:pPr>
              <w:rPr>
                <w:sz w:val="18"/>
                <w:szCs w:val="18"/>
              </w:rPr>
            </w:pPr>
            <w:r>
              <w:rPr>
                <w:sz w:val="18"/>
                <w:szCs w:val="18"/>
              </w:rPr>
              <w:t xml:space="preserve">GRM will accept anonymous grievances </w:t>
            </w:r>
          </w:p>
        </w:tc>
        <w:tc>
          <w:tcPr>
            <w:tcW w:w="1701" w:type="dxa"/>
          </w:tcPr>
          <w:p w14:paraId="3BFA429B" w14:textId="77777777" w:rsidR="0080693D" w:rsidRPr="0080693D" w:rsidRDefault="0080693D">
            <w:pPr>
              <w:rPr>
                <w:sz w:val="18"/>
                <w:szCs w:val="18"/>
              </w:rPr>
            </w:pPr>
          </w:p>
        </w:tc>
      </w:tr>
    </w:tbl>
    <w:p w14:paraId="2BCC8B21" w14:textId="77777777" w:rsidR="00BF2755" w:rsidRDefault="00BF2755"/>
    <w:sectPr w:rsidR="00BF2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00EA"/>
    <w:multiLevelType w:val="hybridMultilevel"/>
    <w:tmpl w:val="8DEC2E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6F0418"/>
    <w:multiLevelType w:val="multilevel"/>
    <w:tmpl w:val="7696B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D3"/>
    <w:rsid w:val="00090B34"/>
    <w:rsid w:val="00193552"/>
    <w:rsid w:val="001A4918"/>
    <w:rsid w:val="0020029C"/>
    <w:rsid w:val="002116B6"/>
    <w:rsid w:val="002336E1"/>
    <w:rsid w:val="002349A3"/>
    <w:rsid w:val="002426D3"/>
    <w:rsid w:val="003F706A"/>
    <w:rsid w:val="00567DEE"/>
    <w:rsid w:val="005F794C"/>
    <w:rsid w:val="006B7DB0"/>
    <w:rsid w:val="007475E9"/>
    <w:rsid w:val="00752D00"/>
    <w:rsid w:val="0080693D"/>
    <w:rsid w:val="00971ACD"/>
    <w:rsid w:val="00BD665E"/>
    <w:rsid w:val="00BF2755"/>
    <w:rsid w:val="00E8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4086"/>
  <w15:chartTrackingRefBased/>
  <w15:docId w15:val="{32B5992F-1931-4396-8A41-9900B9C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755"/>
    <w:rPr>
      <w:color w:val="0000FF"/>
      <w:u w:val="single"/>
    </w:rPr>
  </w:style>
  <w:style w:type="character" w:styleId="UnresolvedMention">
    <w:name w:val="Unresolved Mention"/>
    <w:basedOn w:val="DefaultParagraphFont"/>
    <w:uiPriority w:val="99"/>
    <w:semiHidden/>
    <w:unhideWhenUsed/>
    <w:rsid w:val="00BF2755"/>
    <w:rPr>
      <w:color w:val="605E5C"/>
      <w:shd w:val="clear" w:color="auto" w:fill="E1DFDD"/>
    </w:rPr>
  </w:style>
  <w:style w:type="paragraph" w:styleId="ListParagraph">
    <w:name w:val="List Paragraph"/>
    <w:basedOn w:val="Normal"/>
    <w:uiPriority w:val="34"/>
    <w:qFormat/>
    <w:rsid w:val="00E85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504</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PIÑERO PIOLESTAN JOSE ENRIQUE</cp:lastModifiedBy>
  <cp:revision>4</cp:revision>
  <dcterms:created xsi:type="dcterms:W3CDTF">2022-02-20T10:38:00Z</dcterms:created>
  <dcterms:modified xsi:type="dcterms:W3CDTF">2022-02-20T11:03:00Z</dcterms:modified>
</cp:coreProperties>
</file>