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A7B05" w14:textId="77777777" w:rsidR="00400864" w:rsidRPr="00EC406E" w:rsidRDefault="00400864" w:rsidP="00400864">
      <w:pPr>
        <w:pStyle w:val="Title"/>
        <w:jc w:val="center"/>
        <w:rPr>
          <w:rFonts w:ascii="Book Antiqua" w:hAnsi="Book Antiqua"/>
          <w:sz w:val="28"/>
          <w:szCs w:val="28"/>
        </w:rPr>
      </w:pPr>
      <w:r w:rsidRPr="00EC406E">
        <w:rPr>
          <w:rFonts w:ascii="Book Antiqua" w:hAnsi="Book Antiqua"/>
          <w:sz w:val="28"/>
          <w:szCs w:val="28"/>
        </w:rPr>
        <w:t>Designing</w:t>
      </w:r>
      <w:r w:rsidRPr="00EC406E">
        <w:rPr>
          <w:rFonts w:ascii="Book Antiqua" w:hAnsi="Book Antiqua"/>
          <w:spacing w:val="1"/>
          <w:sz w:val="28"/>
          <w:szCs w:val="28"/>
        </w:rPr>
        <w:t xml:space="preserve"> </w:t>
      </w:r>
      <w:r w:rsidRPr="00EC406E">
        <w:rPr>
          <w:rFonts w:ascii="Book Antiqua" w:hAnsi="Book Antiqua"/>
          <w:sz w:val="28"/>
          <w:szCs w:val="28"/>
        </w:rPr>
        <w:t>&amp;</w:t>
      </w:r>
      <w:r w:rsidRPr="00EC406E">
        <w:rPr>
          <w:rFonts w:ascii="Book Antiqua" w:hAnsi="Book Antiqua"/>
          <w:spacing w:val="-1"/>
          <w:sz w:val="28"/>
          <w:szCs w:val="28"/>
        </w:rPr>
        <w:t xml:space="preserve"> </w:t>
      </w:r>
      <w:r w:rsidRPr="00EC406E">
        <w:rPr>
          <w:rFonts w:ascii="Book Antiqua" w:hAnsi="Book Antiqua"/>
          <w:sz w:val="28"/>
          <w:szCs w:val="28"/>
        </w:rPr>
        <w:t>manufacturing</w:t>
      </w:r>
      <w:r w:rsidRPr="00EC406E">
        <w:rPr>
          <w:rFonts w:ascii="Book Antiqua" w:hAnsi="Book Antiqua"/>
          <w:spacing w:val="4"/>
          <w:sz w:val="28"/>
          <w:szCs w:val="28"/>
        </w:rPr>
        <w:t xml:space="preserve"> </w:t>
      </w:r>
      <w:r w:rsidRPr="00EC406E">
        <w:rPr>
          <w:rFonts w:ascii="Book Antiqua" w:hAnsi="Book Antiqua"/>
          <w:sz w:val="28"/>
          <w:szCs w:val="28"/>
        </w:rPr>
        <w:t>of</w:t>
      </w:r>
      <w:r w:rsidRPr="00EC406E">
        <w:rPr>
          <w:rFonts w:ascii="Book Antiqua" w:hAnsi="Book Antiqua"/>
          <w:spacing w:val="1"/>
          <w:sz w:val="28"/>
          <w:szCs w:val="28"/>
        </w:rPr>
        <w:t xml:space="preserve"> </w:t>
      </w:r>
      <w:r w:rsidRPr="00EC406E">
        <w:rPr>
          <w:rFonts w:ascii="Book Antiqua" w:hAnsi="Book Antiqua"/>
          <w:sz w:val="28"/>
          <w:szCs w:val="28"/>
        </w:rPr>
        <w:t>a</w:t>
      </w:r>
      <w:r w:rsidRPr="00EC406E">
        <w:rPr>
          <w:rFonts w:ascii="Book Antiqua" w:hAnsi="Book Antiqua"/>
          <w:spacing w:val="2"/>
          <w:sz w:val="28"/>
          <w:szCs w:val="28"/>
        </w:rPr>
        <w:t xml:space="preserve"> </w:t>
      </w:r>
      <w:r w:rsidRPr="00EC406E">
        <w:rPr>
          <w:rFonts w:ascii="Book Antiqua" w:hAnsi="Book Antiqua"/>
          <w:sz w:val="28"/>
          <w:szCs w:val="28"/>
        </w:rPr>
        <w:t>smart</w:t>
      </w:r>
      <w:r w:rsidRPr="00EC406E">
        <w:rPr>
          <w:rFonts w:ascii="Book Antiqua" w:hAnsi="Book Antiqua"/>
          <w:spacing w:val="1"/>
          <w:sz w:val="28"/>
          <w:szCs w:val="28"/>
        </w:rPr>
        <w:t xml:space="preserve"> </w:t>
      </w:r>
      <w:r w:rsidRPr="00EC406E">
        <w:rPr>
          <w:rFonts w:ascii="Book Antiqua" w:hAnsi="Book Antiqua"/>
          <w:sz w:val="28"/>
          <w:szCs w:val="28"/>
        </w:rPr>
        <w:t>Programmable</w:t>
      </w:r>
      <w:r w:rsidRPr="00EC406E">
        <w:rPr>
          <w:rFonts w:ascii="Book Antiqua" w:hAnsi="Book Antiqua"/>
          <w:spacing w:val="1"/>
          <w:sz w:val="28"/>
          <w:szCs w:val="28"/>
        </w:rPr>
        <w:t xml:space="preserve"> </w:t>
      </w:r>
      <w:r w:rsidRPr="00EC406E">
        <w:rPr>
          <w:rFonts w:ascii="Book Antiqua" w:hAnsi="Book Antiqua"/>
          <w:sz w:val="28"/>
          <w:szCs w:val="28"/>
        </w:rPr>
        <w:t>logic</w:t>
      </w:r>
      <w:r w:rsidRPr="00EC406E">
        <w:rPr>
          <w:rFonts w:ascii="Book Antiqua" w:hAnsi="Book Antiqua"/>
          <w:spacing w:val="1"/>
          <w:sz w:val="28"/>
          <w:szCs w:val="28"/>
        </w:rPr>
        <w:t xml:space="preserve"> </w:t>
      </w:r>
      <w:r w:rsidRPr="00EC406E">
        <w:rPr>
          <w:rFonts w:ascii="Book Antiqua" w:hAnsi="Book Antiqua"/>
          <w:sz w:val="28"/>
          <w:szCs w:val="28"/>
        </w:rPr>
        <w:t>controller</w:t>
      </w:r>
      <w:r w:rsidRPr="00EC406E">
        <w:rPr>
          <w:rFonts w:ascii="Book Antiqua" w:hAnsi="Book Antiqua"/>
          <w:spacing w:val="-67"/>
          <w:sz w:val="28"/>
          <w:szCs w:val="28"/>
        </w:rPr>
        <w:t xml:space="preserve"> </w:t>
      </w:r>
      <w:r>
        <w:rPr>
          <w:rFonts w:ascii="Book Antiqua" w:hAnsi="Book Antiqua"/>
          <w:spacing w:val="-67"/>
          <w:sz w:val="28"/>
          <w:szCs w:val="28"/>
        </w:rPr>
        <w:t xml:space="preserve">                          </w:t>
      </w:r>
      <w:r w:rsidRPr="00EC406E">
        <w:rPr>
          <w:rFonts w:ascii="Book Antiqua" w:hAnsi="Book Antiqua"/>
          <w:sz w:val="28"/>
          <w:szCs w:val="28"/>
        </w:rPr>
        <w:t>work</w:t>
      </w:r>
      <w:r w:rsidRPr="00EC406E">
        <w:rPr>
          <w:rFonts w:ascii="Book Antiqua" w:hAnsi="Book Antiqua"/>
          <w:spacing w:val="-5"/>
          <w:sz w:val="28"/>
          <w:szCs w:val="28"/>
        </w:rPr>
        <w:t>station</w:t>
      </w:r>
    </w:p>
    <w:p w14:paraId="6C0E4FC5" w14:textId="77777777" w:rsidR="00400864" w:rsidRPr="00BB68E8" w:rsidRDefault="00400864" w:rsidP="00400864">
      <w:pPr>
        <w:pStyle w:val="BodyText"/>
        <w:spacing w:before="4" w:line="244" w:lineRule="auto"/>
        <w:ind w:left="2163" w:right="1821" w:firstLine="2"/>
        <w:jc w:val="center"/>
        <w:rPr>
          <w:rFonts w:ascii="Book Antiqua" w:hAnsi="Book Antiqua"/>
          <w:b/>
          <w:bCs/>
          <w:sz w:val="20"/>
          <w:szCs w:val="20"/>
        </w:rPr>
      </w:pPr>
      <w:r w:rsidRPr="00BB68E8">
        <w:rPr>
          <w:rFonts w:ascii="Book Antiqua" w:hAnsi="Book Antiqua"/>
          <w:b/>
          <w:bCs/>
          <w:sz w:val="20"/>
          <w:szCs w:val="20"/>
        </w:rPr>
        <w:t xml:space="preserve">Md Masud Rana </w:t>
      </w:r>
    </w:p>
    <w:p w14:paraId="7C173A90" w14:textId="77777777" w:rsidR="00400864" w:rsidRPr="00BB68E8" w:rsidRDefault="00400864" w:rsidP="00400864">
      <w:pPr>
        <w:pStyle w:val="BodyText"/>
        <w:spacing w:before="4" w:line="244" w:lineRule="auto"/>
        <w:ind w:left="2163" w:right="1821" w:firstLine="2"/>
        <w:jc w:val="center"/>
        <w:rPr>
          <w:rFonts w:ascii="Book Antiqua" w:hAnsi="Book Antiqua"/>
          <w:b/>
          <w:bCs/>
          <w:sz w:val="16"/>
          <w:szCs w:val="16"/>
        </w:rPr>
      </w:pPr>
      <w:r w:rsidRPr="00BB68E8">
        <w:rPr>
          <w:rFonts w:ascii="Book Antiqua" w:hAnsi="Book Antiqua"/>
          <w:b/>
          <w:bCs/>
          <w:sz w:val="16"/>
          <w:szCs w:val="16"/>
        </w:rPr>
        <w:t>Executive Engineer</w:t>
      </w:r>
    </w:p>
    <w:p w14:paraId="222EAC36" w14:textId="77777777" w:rsidR="00400864" w:rsidRPr="00BB68E8" w:rsidRDefault="00400864" w:rsidP="00400864">
      <w:pPr>
        <w:pStyle w:val="BodyText"/>
        <w:spacing w:before="4" w:line="244" w:lineRule="auto"/>
        <w:ind w:left="2163" w:right="1821" w:firstLine="2"/>
        <w:jc w:val="center"/>
        <w:rPr>
          <w:rFonts w:ascii="Book Antiqua" w:hAnsi="Book Antiqua"/>
          <w:b/>
          <w:bCs/>
          <w:sz w:val="16"/>
          <w:szCs w:val="16"/>
        </w:rPr>
      </w:pPr>
      <w:r w:rsidRPr="00BB68E8">
        <w:rPr>
          <w:rFonts w:ascii="Book Antiqua" w:hAnsi="Book Antiqua"/>
          <w:b/>
          <w:bCs/>
          <w:sz w:val="16"/>
          <w:szCs w:val="16"/>
        </w:rPr>
        <w:t>Bangladesh</w:t>
      </w:r>
      <w:r w:rsidRPr="00BB68E8">
        <w:rPr>
          <w:rFonts w:ascii="Book Antiqua" w:hAnsi="Book Antiqua"/>
          <w:b/>
          <w:bCs/>
          <w:spacing w:val="-2"/>
          <w:sz w:val="16"/>
          <w:szCs w:val="16"/>
        </w:rPr>
        <w:t xml:space="preserve"> </w:t>
      </w:r>
      <w:r w:rsidRPr="00BB68E8">
        <w:rPr>
          <w:rFonts w:ascii="Book Antiqua" w:hAnsi="Book Antiqua"/>
          <w:b/>
          <w:bCs/>
          <w:sz w:val="16"/>
          <w:szCs w:val="16"/>
        </w:rPr>
        <w:t>Industrial</w:t>
      </w:r>
      <w:r w:rsidRPr="00BB68E8">
        <w:rPr>
          <w:rFonts w:ascii="Book Antiqua" w:hAnsi="Book Antiqua"/>
          <w:b/>
          <w:bCs/>
          <w:spacing w:val="-3"/>
          <w:sz w:val="16"/>
          <w:szCs w:val="16"/>
        </w:rPr>
        <w:t xml:space="preserve"> </w:t>
      </w:r>
      <w:r w:rsidRPr="00BB68E8">
        <w:rPr>
          <w:rFonts w:ascii="Book Antiqua" w:hAnsi="Book Antiqua"/>
          <w:b/>
          <w:bCs/>
          <w:sz w:val="16"/>
          <w:szCs w:val="16"/>
        </w:rPr>
        <w:t>Technical</w:t>
      </w:r>
      <w:r w:rsidRPr="00BB68E8">
        <w:rPr>
          <w:rFonts w:ascii="Book Antiqua" w:hAnsi="Book Antiqua"/>
          <w:b/>
          <w:bCs/>
          <w:spacing w:val="-3"/>
          <w:sz w:val="16"/>
          <w:szCs w:val="16"/>
        </w:rPr>
        <w:t xml:space="preserve"> </w:t>
      </w:r>
      <w:r w:rsidRPr="00BB68E8">
        <w:rPr>
          <w:rFonts w:ascii="Book Antiqua" w:hAnsi="Book Antiqua"/>
          <w:b/>
          <w:bCs/>
          <w:sz w:val="16"/>
          <w:szCs w:val="16"/>
        </w:rPr>
        <w:t>Assistance</w:t>
      </w:r>
      <w:r w:rsidRPr="00BB68E8">
        <w:rPr>
          <w:rFonts w:ascii="Book Antiqua" w:hAnsi="Book Antiqua"/>
          <w:b/>
          <w:bCs/>
          <w:spacing w:val="-4"/>
          <w:sz w:val="16"/>
          <w:szCs w:val="16"/>
        </w:rPr>
        <w:t xml:space="preserve"> </w:t>
      </w:r>
      <w:r w:rsidRPr="00BB68E8">
        <w:rPr>
          <w:rFonts w:ascii="Book Antiqua" w:hAnsi="Book Antiqua"/>
          <w:b/>
          <w:bCs/>
          <w:sz w:val="16"/>
          <w:szCs w:val="16"/>
        </w:rPr>
        <w:t>Centre,</w:t>
      </w:r>
      <w:r w:rsidRPr="00BB68E8">
        <w:rPr>
          <w:rFonts w:ascii="Book Antiqua" w:hAnsi="Book Antiqua"/>
          <w:b/>
          <w:bCs/>
          <w:spacing w:val="-3"/>
          <w:sz w:val="16"/>
          <w:szCs w:val="16"/>
        </w:rPr>
        <w:t xml:space="preserve"> </w:t>
      </w:r>
      <w:r w:rsidRPr="00BB68E8">
        <w:rPr>
          <w:rFonts w:ascii="Book Antiqua" w:hAnsi="Book Antiqua"/>
          <w:b/>
          <w:bCs/>
          <w:sz w:val="16"/>
          <w:szCs w:val="16"/>
        </w:rPr>
        <w:t>Dhaka.</w:t>
      </w:r>
    </w:p>
    <w:p w14:paraId="4F50DCF8" w14:textId="77777777" w:rsidR="00400864" w:rsidRDefault="00400864" w:rsidP="00400864"/>
    <w:p w14:paraId="07180598" w14:textId="77777777" w:rsidR="00400864" w:rsidRDefault="00400864" w:rsidP="00400864"/>
    <w:p w14:paraId="426C0C14" w14:textId="29EB2CB8" w:rsidR="00400864" w:rsidRPr="00400864" w:rsidRDefault="00400864" w:rsidP="00400864">
      <w:pPr>
        <w:rPr>
          <w:b/>
          <w:bCs/>
        </w:rPr>
      </w:pPr>
      <w:r w:rsidRPr="00400864">
        <w:rPr>
          <w:b/>
          <w:bCs/>
        </w:rPr>
        <w:t>Findings:</w:t>
      </w:r>
    </w:p>
    <w:p w14:paraId="7D5A80A1" w14:textId="2C9248BC" w:rsidR="00400864" w:rsidRDefault="00400864" w:rsidP="00400864">
      <w:pPr>
        <w:pStyle w:val="ListParagraph"/>
        <w:numPr>
          <w:ilvl w:val="0"/>
          <w:numId w:val="1"/>
        </w:numPr>
        <w:jc w:val="both"/>
      </w:pPr>
      <w:r>
        <w:t>Educational Effectiveness: The effectiveness of PLC trainer boards in facilitating hands-on learning experiences for students studying automation and industrial control systems is significant. They offer practical exposure to PLC programming, troubleshooting, and system integration, enhancing students' understanding and skill development.</w:t>
      </w:r>
    </w:p>
    <w:p w14:paraId="4544B0DC" w14:textId="77777777" w:rsidR="00400864" w:rsidRDefault="00400864" w:rsidP="00400864">
      <w:pPr>
        <w:pStyle w:val="ListParagraph"/>
        <w:jc w:val="both"/>
      </w:pPr>
    </w:p>
    <w:p w14:paraId="1D7A1925" w14:textId="77777777" w:rsidR="00400864" w:rsidRDefault="00400864" w:rsidP="00400864">
      <w:pPr>
        <w:pStyle w:val="ListParagraph"/>
        <w:numPr>
          <w:ilvl w:val="0"/>
          <w:numId w:val="1"/>
        </w:numPr>
        <w:jc w:val="both"/>
      </w:pPr>
      <w:r>
        <w:t>Customizability and Flexibility: There is a demand for PLC trainer boards that are highly customizable and adaptable to various educational curricula, levels of complexity, and specific learning objectives. Modular designs and interchangeable components allow for tailored learning experiences according to different educational institutions' requirements.</w:t>
      </w:r>
    </w:p>
    <w:p w14:paraId="70235C28" w14:textId="77777777" w:rsidR="00400864" w:rsidRDefault="00400864" w:rsidP="00400864">
      <w:pPr>
        <w:pStyle w:val="ListParagraph"/>
      </w:pPr>
    </w:p>
    <w:p w14:paraId="15E65E58" w14:textId="77777777" w:rsidR="00400864" w:rsidRDefault="00400864" w:rsidP="00400864">
      <w:pPr>
        <w:pStyle w:val="ListParagraph"/>
        <w:numPr>
          <w:ilvl w:val="0"/>
          <w:numId w:val="1"/>
        </w:numPr>
        <w:jc w:val="both"/>
      </w:pPr>
      <w:r>
        <w:t xml:space="preserve">Real-World Simulation: Incorporating realistic industrial scenarios and simulation capabilities into PLC trainer boards provides students with a more immersive learning environment. Simulated processes, including conveyors, robotic arms, and manufacturing lines, help bridge the </w:t>
      </w:r>
      <w:r>
        <w:t>gap between</w:t>
      </w:r>
      <w:r>
        <w:t xml:space="preserve"> theoretical concepts and practical applications</w:t>
      </w:r>
      <w:r>
        <w:t>.</w:t>
      </w:r>
    </w:p>
    <w:p w14:paraId="41BE0BB1" w14:textId="77777777" w:rsidR="00400864" w:rsidRDefault="00400864" w:rsidP="00400864">
      <w:pPr>
        <w:pStyle w:val="ListParagraph"/>
      </w:pPr>
    </w:p>
    <w:p w14:paraId="0CE917B8" w14:textId="65D42042" w:rsidR="00400864" w:rsidRDefault="00400864" w:rsidP="00400864">
      <w:pPr>
        <w:pStyle w:val="ListParagraph"/>
        <w:numPr>
          <w:ilvl w:val="0"/>
          <w:numId w:val="1"/>
        </w:numPr>
        <w:jc w:val="both"/>
      </w:pPr>
      <w:r>
        <w:t>Scalability and Expandability: The ability to scale up or expand PLC trainer boards' capabilities over time allows educational institutions to accommodate growing student enrollment, update course content, and incorporate advanced topics and technologies as industry standards evolve.</w:t>
      </w:r>
    </w:p>
    <w:p w14:paraId="5E6A4F16" w14:textId="77777777" w:rsidR="00400864" w:rsidRDefault="00400864" w:rsidP="00400864">
      <w:pPr>
        <w:pStyle w:val="ListParagraph"/>
      </w:pPr>
    </w:p>
    <w:p w14:paraId="3F021A15" w14:textId="77777777" w:rsidR="00400864" w:rsidRDefault="00400864" w:rsidP="00400864">
      <w:pPr>
        <w:pStyle w:val="ListParagraph"/>
        <w:numPr>
          <w:ilvl w:val="0"/>
          <w:numId w:val="1"/>
        </w:numPr>
        <w:jc w:val="both"/>
      </w:pPr>
      <w:r>
        <w:t>Cost is significantly low from the imported PLC trainer board.</w:t>
      </w:r>
    </w:p>
    <w:p w14:paraId="4EAF5E10" w14:textId="77777777" w:rsidR="00400864" w:rsidRDefault="00400864" w:rsidP="00400864">
      <w:pPr>
        <w:pStyle w:val="ListParagraph"/>
      </w:pPr>
    </w:p>
    <w:p w14:paraId="6C4DA892" w14:textId="77777777" w:rsidR="00400864" w:rsidRDefault="00400864" w:rsidP="00400864">
      <w:pPr>
        <w:pStyle w:val="ListParagraph"/>
        <w:numPr>
          <w:ilvl w:val="0"/>
          <w:numId w:val="1"/>
        </w:numPr>
        <w:jc w:val="both"/>
      </w:pPr>
      <w:r>
        <w:t xml:space="preserve">Affordability and Accessibility: Striking a balance between affordability and quality is crucial to ensure </w:t>
      </w:r>
      <w:r>
        <w:t xml:space="preserve">the </w:t>
      </w:r>
      <w:r>
        <w:t>widespread adoption of PLC trainer boards across educational institutions with varying budget constraints. Cost-effective solutions without compromising on educational value are highly desirable.</w:t>
      </w:r>
    </w:p>
    <w:p w14:paraId="7A48DE73" w14:textId="77777777" w:rsidR="00400864" w:rsidRDefault="00400864" w:rsidP="00400864">
      <w:pPr>
        <w:pStyle w:val="ListParagraph"/>
      </w:pPr>
    </w:p>
    <w:p w14:paraId="7B8FF259" w14:textId="0DFE3541" w:rsidR="00304021" w:rsidRDefault="00400864" w:rsidP="00400864">
      <w:pPr>
        <w:pStyle w:val="ListParagraph"/>
        <w:numPr>
          <w:ilvl w:val="0"/>
          <w:numId w:val="1"/>
        </w:numPr>
        <w:jc w:val="both"/>
      </w:pPr>
      <w:r>
        <w:t>By addressing these findings in the development of PLC trainer boards, educational institutions and manufacturers can enhance the quality of automation education, empower students with practical skills, and contribute to workforce readiness for the automation industry.</w:t>
      </w:r>
    </w:p>
    <w:p w14:paraId="2828AD37" w14:textId="77777777" w:rsidR="00400864" w:rsidRPr="00400864" w:rsidRDefault="00400864" w:rsidP="00400864">
      <w:pPr>
        <w:pStyle w:val="ListParagraph"/>
        <w:rPr>
          <w:rFonts w:asciiTheme="majorHAnsi" w:hAnsiTheme="majorHAnsi"/>
        </w:rPr>
      </w:pPr>
    </w:p>
    <w:p w14:paraId="0522EE9D" w14:textId="66391D1A" w:rsidR="00400864" w:rsidRPr="00400864" w:rsidRDefault="00400864" w:rsidP="00400864">
      <w:pPr>
        <w:jc w:val="both"/>
        <w:rPr>
          <w:rFonts w:asciiTheme="majorHAnsi" w:hAnsiTheme="majorHAnsi"/>
        </w:rPr>
      </w:pPr>
      <w:r w:rsidRPr="00400864">
        <w:rPr>
          <w:rFonts w:asciiTheme="majorHAnsi" w:hAnsiTheme="majorHAnsi"/>
        </w:rPr>
        <w:t>Recommendation:</w:t>
      </w:r>
    </w:p>
    <w:p w14:paraId="1D0E7236" w14:textId="72D96465" w:rsidR="00400864" w:rsidRDefault="00400864" w:rsidP="000175CB">
      <w:pPr>
        <w:pStyle w:val="ListParagraph"/>
        <w:numPr>
          <w:ilvl w:val="0"/>
          <w:numId w:val="2"/>
        </w:numPr>
        <w:jc w:val="both"/>
        <w:rPr>
          <w:rFonts w:asciiTheme="majorHAnsi" w:hAnsiTheme="majorHAnsi"/>
        </w:rPr>
      </w:pPr>
      <w:r w:rsidRPr="000175CB">
        <w:rPr>
          <w:rFonts w:asciiTheme="majorHAnsi" w:hAnsiTheme="majorHAnsi"/>
        </w:rPr>
        <w:lastRenderedPageBreak/>
        <w:t xml:space="preserve">BITAC can manufacture the PLC learning workstation and training kit for internal use and for supplying all TTC, Polytechnique, engineering colleges and universities to save national reserve. </w:t>
      </w:r>
    </w:p>
    <w:p w14:paraId="0BC7618C" w14:textId="77777777" w:rsidR="000175CB" w:rsidRPr="000175CB" w:rsidRDefault="000175CB" w:rsidP="000175CB">
      <w:pPr>
        <w:pStyle w:val="ListParagraph"/>
        <w:jc w:val="both"/>
        <w:rPr>
          <w:rFonts w:asciiTheme="majorHAnsi" w:hAnsiTheme="majorHAnsi"/>
        </w:rPr>
      </w:pPr>
    </w:p>
    <w:p w14:paraId="568BAB95" w14:textId="77777777" w:rsidR="00400864" w:rsidRDefault="00400864" w:rsidP="00400864">
      <w:pPr>
        <w:pStyle w:val="ListParagraph"/>
        <w:numPr>
          <w:ilvl w:val="0"/>
          <w:numId w:val="2"/>
        </w:numPr>
        <w:jc w:val="both"/>
      </w:pPr>
      <w:r>
        <w:t>Continuous Improvement Feedback Mechanism: Establishing channels for feedback from educators, students, and industry professionals is essential for continuously improving PLC trainer boards' design, functionality, and educational outcomes. Regular updates and revisions based on user input ensure relevance and effectiveness.</w:t>
      </w:r>
    </w:p>
    <w:p w14:paraId="474251C3" w14:textId="77777777" w:rsidR="00400864" w:rsidRDefault="00400864" w:rsidP="00400864">
      <w:pPr>
        <w:pStyle w:val="ListParagraph"/>
      </w:pPr>
    </w:p>
    <w:p w14:paraId="7D9BA165" w14:textId="77777777" w:rsidR="00400864" w:rsidRPr="00400864" w:rsidRDefault="00400864" w:rsidP="00400864">
      <w:pPr>
        <w:jc w:val="both"/>
        <w:rPr>
          <w:rFonts w:asciiTheme="majorHAnsi" w:hAnsiTheme="majorHAnsi"/>
        </w:rPr>
      </w:pPr>
    </w:p>
    <w:p w14:paraId="2EC8A507" w14:textId="782F2621" w:rsidR="00400864" w:rsidRDefault="00400864" w:rsidP="00400864">
      <w:pPr>
        <w:jc w:val="both"/>
      </w:pPr>
    </w:p>
    <w:sectPr w:rsidR="00400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2E2"/>
    <w:multiLevelType w:val="hybridMultilevel"/>
    <w:tmpl w:val="3258B6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16DAB"/>
    <w:multiLevelType w:val="hybridMultilevel"/>
    <w:tmpl w:val="3258B6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1391386">
    <w:abstractNumId w:val="0"/>
  </w:num>
  <w:num w:numId="2" w16cid:durableId="358898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64"/>
    <w:rsid w:val="000175CB"/>
    <w:rsid w:val="00304021"/>
    <w:rsid w:val="0040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B1B32"/>
  <w15:chartTrackingRefBased/>
  <w15:docId w15:val="{B419A7BF-D250-4B97-9F50-37F2469E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86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0086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0086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0086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0086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00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86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0086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0086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0086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0086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00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864"/>
    <w:rPr>
      <w:rFonts w:eastAsiaTheme="majorEastAsia" w:cstheme="majorBidi"/>
      <w:color w:val="272727" w:themeColor="text1" w:themeTint="D8"/>
    </w:rPr>
  </w:style>
  <w:style w:type="paragraph" w:styleId="Title">
    <w:name w:val="Title"/>
    <w:basedOn w:val="Normal"/>
    <w:next w:val="Normal"/>
    <w:link w:val="TitleChar"/>
    <w:uiPriority w:val="10"/>
    <w:qFormat/>
    <w:rsid w:val="00400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864"/>
    <w:pPr>
      <w:spacing w:before="160"/>
      <w:jc w:val="center"/>
    </w:pPr>
    <w:rPr>
      <w:i/>
      <w:iCs/>
      <w:color w:val="404040" w:themeColor="text1" w:themeTint="BF"/>
    </w:rPr>
  </w:style>
  <w:style w:type="character" w:customStyle="1" w:styleId="QuoteChar">
    <w:name w:val="Quote Char"/>
    <w:basedOn w:val="DefaultParagraphFont"/>
    <w:link w:val="Quote"/>
    <w:uiPriority w:val="29"/>
    <w:rsid w:val="00400864"/>
    <w:rPr>
      <w:i/>
      <w:iCs/>
      <w:color w:val="404040" w:themeColor="text1" w:themeTint="BF"/>
    </w:rPr>
  </w:style>
  <w:style w:type="paragraph" w:styleId="ListParagraph">
    <w:name w:val="List Paragraph"/>
    <w:basedOn w:val="Normal"/>
    <w:uiPriority w:val="34"/>
    <w:qFormat/>
    <w:rsid w:val="00400864"/>
    <w:pPr>
      <w:ind w:left="720"/>
      <w:contextualSpacing/>
    </w:pPr>
  </w:style>
  <w:style w:type="character" w:styleId="IntenseEmphasis">
    <w:name w:val="Intense Emphasis"/>
    <w:basedOn w:val="DefaultParagraphFont"/>
    <w:uiPriority w:val="21"/>
    <w:qFormat/>
    <w:rsid w:val="00400864"/>
    <w:rPr>
      <w:i/>
      <w:iCs/>
      <w:color w:val="2E74B5" w:themeColor="accent1" w:themeShade="BF"/>
    </w:rPr>
  </w:style>
  <w:style w:type="paragraph" w:styleId="IntenseQuote">
    <w:name w:val="Intense Quote"/>
    <w:basedOn w:val="Normal"/>
    <w:next w:val="Normal"/>
    <w:link w:val="IntenseQuoteChar"/>
    <w:uiPriority w:val="30"/>
    <w:qFormat/>
    <w:rsid w:val="0040086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00864"/>
    <w:rPr>
      <w:i/>
      <w:iCs/>
      <w:color w:val="2E74B5" w:themeColor="accent1" w:themeShade="BF"/>
    </w:rPr>
  </w:style>
  <w:style w:type="character" w:styleId="IntenseReference">
    <w:name w:val="Intense Reference"/>
    <w:basedOn w:val="DefaultParagraphFont"/>
    <w:uiPriority w:val="32"/>
    <w:qFormat/>
    <w:rsid w:val="00400864"/>
    <w:rPr>
      <w:b/>
      <w:bCs/>
      <w:smallCaps/>
      <w:color w:val="2E74B5" w:themeColor="accent1" w:themeShade="BF"/>
      <w:spacing w:val="5"/>
    </w:rPr>
  </w:style>
  <w:style w:type="paragraph" w:styleId="BodyText">
    <w:name w:val="Body Text"/>
    <w:basedOn w:val="Normal"/>
    <w:link w:val="BodyTextChar"/>
    <w:uiPriority w:val="1"/>
    <w:qFormat/>
    <w:rsid w:val="00400864"/>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40086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343</Words>
  <Characters>2360</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Masud Rana</dc:creator>
  <cp:keywords/>
  <dc:description/>
  <cp:lastModifiedBy>Md Masud Rana</cp:lastModifiedBy>
  <cp:revision>1</cp:revision>
  <dcterms:created xsi:type="dcterms:W3CDTF">2024-03-18T05:22:00Z</dcterms:created>
  <dcterms:modified xsi:type="dcterms:W3CDTF">2024-03-18T05:36:00Z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44598a5f-b7bd-4b04-bba4-5aa9684271cf</vt:lpwstr>
  </property>
</Properties>
</file>