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93" w:type="dxa"/>
        <w:tblLayout w:type="fixed"/>
        <w:tblLook w:val="04A0" w:firstRow="1" w:lastRow="0" w:firstColumn="1" w:lastColumn="0" w:noHBand="0" w:noVBand="1"/>
      </w:tblPr>
      <w:tblGrid>
        <w:gridCol w:w="3708"/>
        <w:gridCol w:w="1578"/>
        <w:gridCol w:w="3907"/>
      </w:tblGrid>
      <w:tr w:rsidR="0067772C" w:rsidRPr="008F6C0C" w:rsidTr="006F2605">
        <w:trPr>
          <w:trHeight w:val="2069"/>
        </w:trPr>
        <w:tc>
          <w:tcPr>
            <w:tcW w:w="3708" w:type="dxa"/>
          </w:tcPr>
          <w:p w:rsidR="0067772C" w:rsidRPr="008F6C0C" w:rsidRDefault="009A4F00" w:rsidP="006F2605">
            <w:pPr>
              <w:autoSpaceDE w:val="0"/>
              <w:autoSpaceDN w:val="0"/>
              <w:adjustRightInd w:val="0"/>
              <w:spacing w:before="0" w:after="0" w:line="240" w:lineRule="auto"/>
              <w:jc w:val="both"/>
              <w:rPr>
                <w:rFonts w:cs="Calibri"/>
                <w:b/>
                <w:bCs/>
                <w:szCs w:val="22"/>
              </w:rPr>
            </w:pPr>
            <w:r>
              <w:rPr>
                <w:rFonts w:cs="Calibri"/>
                <w:b/>
                <w:bCs/>
                <w:noProof/>
              </w:rPr>
              <w:drawing>
                <wp:anchor distT="0" distB="0" distL="114300" distR="114300" simplePos="0" relativeHeight="251657216" behindDoc="0" locked="0" layoutInCell="1" allowOverlap="1">
                  <wp:simplePos x="0" y="0"/>
                  <wp:positionH relativeFrom="column">
                    <wp:posOffset>76200</wp:posOffset>
                  </wp:positionH>
                  <wp:positionV relativeFrom="paragraph">
                    <wp:posOffset>36830</wp:posOffset>
                  </wp:positionV>
                  <wp:extent cx="2000250" cy="1219200"/>
                  <wp:effectExtent l="0" t="0" r="0" b="0"/>
                  <wp:wrapSquare wrapText="bothSides"/>
                  <wp:docPr id="7" name="Picture 1" descr="UN-REDD logo_Nasim vai-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REDD logo_Nasim vai-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0" cy="1219200"/>
                          </a:xfrm>
                          <a:prstGeom prst="rect">
                            <a:avLst/>
                          </a:prstGeom>
                          <a:noFill/>
                          <a:ln>
                            <a:noFill/>
                          </a:ln>
                        </pic:spPr>
                      </pic:pic>
                    </a:graphicData>
                  </a:graphic>
                </wp:anchor>
              </w:drawing>
            </w:r>
            <w:r w:rsidR="0067772C" w:rsidRPr="008F6C0C">
              <w:rPr>
                <w:rFonts w:cs="Calibri"/>
                <w:b/>
                <w:bCs/>
                <w:szCs w:val="22"/>
              </w:rPr>
              <w:softHyphen/>
            </w:r>
          </w:p>
        </w:tc>
        <w:tc>
          <w:tcPr>
            <w:tcW w:w="1578" w:type="dxa"/>
          </w:tcPr>
          <w:p w:rsidR="0067772C" w:rsidRPr="008F6C0C" w:rsidRDefault="0067772C" w:rsidP="006F2605">
            <w:pPr>
              <w:autoSpaceDE w:val="0"/>
              <w:autoSpaceDN w:val="0"/>
              <w:adjustRightInd w:val="0"/>
              <w:spacing w:before="0" w:after="0" w:line="240" w:lineRule="auto"/>
              <w:jc w:val="both"/>
              <w:rPr>
                <w:rFonts w:cs="Calibri"/>
                <w:b/>
                <w:bCs/>
                <w:szCs w:val="22"/>
              </w:rPr>
            </w:pPr>
          </w:p>
        </w:tc>
        <w:tc>
          <w:tcPr>
            <w:tcW w:w="3907" w:type="dxa"/>
          </w:tcPr>
          <w:p w:rsidR="0067772C" w:rsidRPr="008F6C0C" w:rsidRDefault="009A4F00" w:rsidP="006F2605">
            <w:pPr>
              <w:autoSpaceDE w:val="0"/>
              <w:autoSpaceDN w:val="0"/>
              <w:adjustRightInd w:val="0"/>
              <w:spacing w:before="0" w:after="0" w:line="240" w:lineRule="auto"/>
              <w:jc w:val="both"/>
              <w:rPr>
                <w:rFonts w:cs="Calibri"/>
                <w:b/>
                <w:bCs/>
                <w:szCs w:val="22"/>
              </w:rPr>
            </w:pPr>
            <w:r>
              <w:rPr>
                <w:rFonts w:cs="Calibri"/>
                <w:b/>
                <w:bCs/>
                <w:noProof/>
              </w:rPr>
              <w:drawing>
                <wp:anchor distT="0" distB="0" distL="114300" distR="114300" simplePos="0" relativeHeight="251655168" behindDoc="0" locked="0" layoutInCell="1" allowOverlap="1">
                  <wp:simplePos x="0" y="0"/>
                  <wp:positionH relativeFrom="column">
                    <wp:posOffset>1360170</wp:posOffset>
                  </wp:positionH>
                  <wp:positionV relativeFrom="paragraph">
                    <wp:posOffset>17780</wp:posOffset>
                  </wp:positionV>
                  <wp:extent cx="1123950" cy="1295400"/>
                  <wp:effectExtent l="0" t="0" r="0" b="0"/>
                  <wp:wrapSquare wrapText="bothSides"/>
                  <wp:docPr id="6" name="Picture 2" descr="Logo_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F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3950" cy="1295400"/>
                          </a:xfrm>
                          <a:prstGeom prst="rect">
                            <a:avLst/>
                          </a:prstGeom>
                          <a:noFill/>
                          <a:ln>
                            <a:noFill/>
                          </a:ln>
                        </pic:spPr>
                      </pic:pic>
                    </a:graphicData>
                  </a:graphic>
                </wp:anchor>
              </w:drawing>
            </w:r>
            <w:r>
              <w:rPr>
                <w:rFonts w:cs="Calibri"/>
                <w:b/>
                <w:bCs/>
                <w:noProof/>
              </w:rPr>
              <w:drawing>
                <wp:anchor distT="0" distB="0" distL="114300" distR="114300" simplePos="0" relativeHeight="251656192" behindDoc="0" locked="0" layoutInCell="1" allowOverlap="1">
                  <wp:simplePos x="0" y="0"/>
                  <wp:positionH relativeFrom="column">
                    <wp:posOffset>7620</wp:posOffset>
                  </wp:positionH>
                  <wp:positionV relativeFrom="paragraph">
                    <wp:posOffset>17780</wp:posOffset>
                  </wp:positionV>
                  <wp:extent cx="1288415" cy="1295400"/>
                  <wp:effectExtent l="0" t="0" r="0" b="0"/>
                  <wp:wrapSquare wrapText="bothSides"/>
                  <wp:docPr id="5" name="Picture 9" descr="G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oB"/>
                          <pic:cNvPicPr>
                            <a:picLocks noChangeAspect="1" noChangeArrowheads="1"/>
                          </pic:cNvPicPr>
                        </pic:nvPicPr>
                        <pic:blipFill>
                          <a:blip r:embed="rId10" cstate="print">
                            <a:extLst>
                              <a:ext uri="{28A0092B-C50C-407E-A947-70E740481C1C}">
                                <a14:useLocalDpi xmlns:a14="http://schemas.microsoft.com/office/drawing/2010/main" val="0"/>
                              </a:ext>
                            </a:extLst>
                          </a:blip>
                          <a:srcRect l="14912" r="10526"/>
                          <a:stretch>
                            <a:fillRect/>
                          </a:stretch>
                        </pic:blipFill>
                        <pic:spPr bwMode="auto">
                          <a:xfrm>
                            <a:off x="0" y="0"/>
                            <a:ext cx="1288415" cy="1295400"/>
                          </a:xfrm>
                          <a:prstGeom prst="rect">
                            <a:avLst/>
                          </a:prstGeom>
                          <a:noFill/>
                          <a:ln>
                            <a:noFill/>
                          </a:ln>
                        </pic:spPr>
                      </pic:pic>
                    </a:graphicData>
                  </a:graphic>
                </wp:anchor>
              </w:drawing>
            </w:r>
          </w:p>
        </w:tc>
      </w:tr>
      <w:tr w:rsidR="0067772C" w:rsidRPr="008F6C0C" w:rsidTr="006F2605">
        <w:trPr>
          <w:trHeight w:val="332"/>
        </w:trPr>
        <w:tc>
          <w:tcPr>
            <w:tcW w:w="3708" w:type="dxa"/>
          </w:tcPr>
          <w:p w:rsidR="0067772C" w:rsidRPr="008F6C0C" w:rsidRDefault="0067772C" w:rsidP="006F2605">
            <w:pPr>
              <w:autoSpaceDE w:val="0"/>
              <w:autoSpaceDN w:val="0"/>
              <w:adjustRightInd w:val="0"/>
              <w:spacing w:before="0" w:after="0" w:line="240" w:lineRule="auto"/>
              <w:jc w:val="both"/>
              <w:rPr>
                <w:rFonts w:cs="Calibri"/>
                <w:b/>
                <w:bCs/>
                <w:szCs w:val="22"/>
              </w:rPr>
            </w:pPr>
          </w:p>
        </w:tc>
        <w:tc>
          <w:tcPr>
            <w:tcW w:w="1578" w:type="dxa"/>
          </w:tcPr>
          <w:p w:rsidR="0067772C" w:rsidRPr="008F6C0C" w:rsidRDefault="0067772C" w:rsidP="006F2605">
            <w:pPr>
              <w:autoSpaceDE w:val="0"/>
              <w:autoSpaceDN w:val="0"/>
              <w:adjustRightInd w:val="0"/>
              <w:spacing w:before="0" w:after="0" w:line="240" w:lineRule="auto"/>
              <w:jc w:val="both"/>
              <w:rPr>
                <w:rFonts w:cs="Calibri"/>
                <w:b/>
                <w:bCs/>
                <w:szCs w:val="22"/>
              </w:rPr>
            </w:pPr>
          </w:p>
        </w:tc>
        <w:tc>
          <w:tcPr>
            <w:tcW w:w="3907" w:type="dxa"/>
          </w:tcPr>
          <w:p w:rsidR="0067772C" w:rsidRPr="008F6C0C" w:rsidRDefault="0067772C" w:rsidP="006F2605">
            <w:pPr>
              <w:autoSpaceDE w:val="0"/>
              <w:autoSpaceDN w:val="0"/>
              <w:adjustRightInd w:val="0"/>
              <w:spacing w:before="0" w:after="0" w:line="240" w:lineRule="auto"/>
              <w:jc w:val="both"/>
              <w:rPr>
                <w:rFonts w:cs="Calibri"/>
                <w:b/>
                <w:bCs/>
                <w:noProof/>
                <w:szCs w:val="22"/>
              </w:rPr>
            </w:pPr>
          </w:p>
        </w:tc>
      </w:tr>
      <w:tr w:rsidR="0067772C" w:rsidRPr="008F6C0C" w:rsidTr="006F2605">
        <w:trPr>
          <w:trHeight w:val="90"/>
        </w:trPr>
        <w:tc>
          <w:tcPr>
            <w:tcW w:w="3708" w:type="dxa"/>
            <w:vMerge w:val="restart"/>
          </w:tcPr>
          <w:p w:rsidR="0067772C" w:rsidRPr="008F6C0C" w:rsidRDefault="0067772C" w:rsidP="006F2605">
            <w:pPr>
              <w:autoSpaceDE w:val="0"/>
              <w:autoSpaceDN w:val="0"/>
              <w:adjustRightInd w:val="0"/>
              <w:spacing w:before="0" w:after="0" w:line="240" w:lineRule="auto"/>
              <w:jc w:val="both"/>
              <w:rPr>
                <w:rFonts w:cs="Calibri"/>
                <w:b/>
                <w:bCs/>
                <w:szCs w:val="22"/>
              </w:rPr>
            </w:pPr>
          </w:p>
        </w:tc>
        <w:tc>
          <w:tcPr>
            <w:tcW w:w="5485" w:type="dxa"/>
            <w:gridSpan w:val="2"/>
          </w:tcPr>
          <w:p w:rsidR="0067772C" w:rsidRPr="008F6C0C" w:rsidRDefault="006F2605" w:rsidP="006F2605">
            <w:pPr>
              <w:spacing w:before="0" w:line="240" w:lineRule="auto"/>
            </w:pPr>
            <w:r w:rsidRPr="008F6C0C">
              <w:rPr>
                <w:rFonts w:cs="Calibri"/>
                <w:bCs/>
                <w:sz w:val="40"/>
                <w:szCs w:val="40"/>
              </w:rPr>
              <w:t>Literature Review on</w:t>
            </w:r>
          </w:p>
        </w:tc>
      </w:tr>
      <w:tr w:rsidR="0067772C" w:rsidRPr="008F6C0C" w:rsidTr="006F2605">
        <w:trPr>
          <w:trHeight w:val="206"/>
        </w:trPr>
        <w:tc>
          <w:tcPr>
            <w:tcW w:w="3708" w:type="dxa"/>
            <w:vMerge/>
          </w:tcPr>
          <w:p w:rsidR="0067772C" w:rsidRPr="008F6C0C" w:rsidRDefault="0067772C" w:rsidP="006F2605">
            <w:pPr>
              <w:autoSpaceDE w:val="0"/>
              <w:autoSpaceDN w:val="0"/>
              <w:adjustRightInd w:val="0"/>
              <w:spacing w:before="0" w:after="0" w:line="240" w:lineRule="auto"/>
              <w:jc w:val="both"/>
              <w:rPr>
                <w:rFonts w:cs="Calibri"/>
                <w:b/>
                <w:bCs/>
                <w:szCs w:val="22"/>
              </w:rPr>
            </w:pPr>
          </w:p>
        </w:tc>
        <w:tc>
          <w:tcPr>
            <w:tcW w:w="5485" w:type="dxa"/>
            <w:gridSpan w:val="2"/>
          </w:tcPr>
          <w:p w:rsidR="0067772C" w:rsidRPr="008F6C0C" w:rsidRDefault="0067772C" w:rsidP="006F2605">
            <w:pPr>
              <w:spacing w:before="0" w:line="240" w:lineRule="auto"/>
            </w:pPr>
          </w:p>
        </w:tc>
      </w:tr>
      <w:tr w:rsidR="0067772C" w:rsidRPr="008F6C0C" w:rsidTr="006F2605">
        <w:trPr>
          <w:trHeight w:val="1320"/>
        </w:trPr>
        <w:tc>
          <w:tcPr>
            <w:tcW w:w="3708" w:type="dxa"/>
            <w:vMerge/>
          </w:tcPr>
          <w:p w:rsidR="0067772C" w:rsidRPr="008F6C0C" w:rsidRDefault="0067772C" w:rsidP="006F2605">
            <w:pPr>
              <w:autoSpaceDE w:val="0"/>
              <w:autoSpaceDN w:val="0"/>
              <w:adjustRightInd w:val="0"/>
              <w:spacing w:before="0" w:after="0" w:line="240" w:lineRule="auto"/>
              <w:jc w:val="both"/>
              <w:rPr>
                <w:rFonts w:cs="Calibri"/>
                <w:b/>
                <w:bCs/>
                <w:szCs w:val="22"/>
              </w:rPr>
            </w:pPr>
          </w:p>
        </w:tc>
        <w:tc>
          <w:tcPr>
            <w:tcW w:w="5485" w:type="dxa"/>
            <w:gridSpan w:val="2"/>
            <w:vMerge w:val="restart"/>
          </w:tcPr>
          <w:p w:rsidR="0067772C" w:rsidRPr="008F6C0C" w:rsidRDefault="006F2605" w:rsidP="006F2605">
            <w:pPr>
              <w:spacing w:before="0" w:after="0" w:line="240" w:lineRule="auto"/>
            </w:pPr>
            <w:r w:rsidRPr="008F6C0C">
              <w:rPr>
                <w:b/>
                <w:bCs/>
                <w:color w:val="2F5496"/>
                <w:sz w:val="36"/>
                <w:szCs w:val="32"/>
              </w:rPr>
              <w:t>Gender dimensions in forest use, management, governance,  land tenure arrangements and safeguards in support of REDD+ in Bangladesh</w:t>
            </w:r>
          </w:p>
        </w:tc>
      </w:tr>
      <w:tr w:rsidR="0067772C" w:rsidRPr="008F6C0C" w:rsidTr="006F2605">
        <w:trPr>
          <w:trHeight w:val="77"/>
        </w:trPr>
        <w:tc>
          <w:tcPr>
            <w:tcW w:w="3708" w:type="dxa"/>
          </w:tcPr>
          <w:p w:rsidR="0067772C" w:rsidRPr="008F6C0C" w:rsidRDefault="0067772C" w:rsidP="006F2605">
            <w:pPr>
              <w:autoSpaceDE w:val="0"/>
              <w:autoSpaceDN w:val="0"/>
              <w:adjustRightInd w:val="0"/>
              <w:spacing w:before="0" w:after="0" w:line="240" w:lineRule="auto"/>
              <w:jc w:val="both"/>
              <w:rPr>
                <w:rFonts w:cs="Calibri"/>
                <w:b/>
                <w:bCs/>
                <w:szCs w:val="22"/>
              </w:rPr>
            </w:pPr>
          </w:p>
        </w:tc>
        <w:tc>
          <w:tcPr>
            <w:tcW w:w="5485" w:type="dxa"/>
            <w:gridSpan w:val="2"/>
            <w:vMerge/>
          </w:tcPr>
          <w:p w:rsidR="0067772C" w:rsidRPr="008F6C0C" w:rsidRDefault="0067772C" w:rsidP="006F2605">
            <w:pPr>
              <w:autoSpaceDE w:val="0"/>
              <w:autoSpaceDN w:val="0"/>
              <w:adjustRightInd w:val="0"/>
              <w:spacing w:before="0" w:after="0" w:line="240" w:lineRule="auto"/>
              <w:jc w:val="both"/>
              <w:rPr>
                <w:rFonts w:cs="Calibri"/>
                <w:b/>
                <w:bCs/>
                <w:noProof/>
                <w:szCs w:val="22"/>
              </w:rPr>
            </w:pPr>
          </w:p>
        </w:tc>
      </w:tr>
      <w:tr w:rsidR="0067772C" w:rsidRPr="008F6C0C" w:rsidTr="006F2605">
        <w:trPr>
          <w:trHeight w:val="90"/>
        </w:trPr>
        <w:tc>
          <w:tcPr>
            <w:tcW w:w="3708" w:type="dxa"/>
          </w:tcPr>
          <w:p w:rsidR="0067772C" w:rsidRPr="008F6C0C" w:rsidRDefault="0067772C" w:rsidP="006F2605">
            <w:pPr>
              <w:autoSpaceDE w:val="0"/>
              <w:autoSpaceDN w:val="0"/>
              <w:adjustRightInd w:val="0"/>
              <w:spacing w:before="0" w:after="0" w:line="240" w:lineRule="auto"/>
              <w:jc w:val="both"/>
              <w:rPr>
                <w:rFonts w:cs="Calibri"/>
                <w:b/>
                <w:bCs/>
                <w:szCs w:val="22"/>
              </w:rPr>
            </w:pPr>
          </w:p>
        </w:tc>
        <w:tc>
          <w:tcPr>
            <w:tcW w:w="5485" w:type="dxa"/>
            <w:gridSpan w:val="2"/>
          </w:tcPr>
          <w:p w:rsidR="0067772C" w:rsidRPr="008F6C0C" w:rsidRDefault="0067772C" w:rsidP="006F2605">
            <w:pPr>
              <w:pStyle w:val="Default"/>
              <w:spacing w:before="0"/>
            </w:pPr>
          </w:p>
        </w:tc>
      </w:tr>
      <w:tr w:rsidR="0067772C" w:rsidRPr="008F6C0C" w:rsidTr="006F2605">
        <w:trPr>
          <w:trHeight w:val="197"/>
        </w:trPr>
        <w:tc>
          <w:tcPr>
            <w:tcW w:w="3708" w:type="dxa"/>
          </w:tcPr>
          <w:p w:rsidR="0067772C" w:rsidRPr="008F6C0C" w:rsidRDefault="0067772C" w:rsidP="006F2605">
            <w:pPr>
              <w:autoSpaceDE w:val="0"/>
              <w:autoSpaceDN w:val="0"/>
              <w:adjustRightInd w:val="0"/>
              <w:spacing w:before="0" w:after="0" w:line="240" w:lineRule="auto"/>
              <w:jc w:val="both"/>
              <w:rPr>
                <w:rFonts w:cs="Calibri"/>
                <w:b/>
                <w:bCs/>
                <w:szCs w:val="22"/>
              </w:rPr>
            </w:pPr>
          </w:p>
        </w:tc>
        <w:tc>
          <w:tcPr>
            <w:tcW w:w="5485" w:type="dxa"/>
            <w:gridSpan w:val="2"/>
          </w:tcPr>
          <w:p w:rsidR="0067772C" w:rsidRPr="008F6C0C" w:rsidRDefault="0067772C" w:rsidP="006F2605">
            <w:pPr>
              <w:pStyle w:val="Default"/>
              <w:spacing w:before="0"/>
            </w:pPr>
            <w:r w:rsidRPr="008F6C0C">
              <w:t>Submitted by</w:t>
            </w:r>
          </w:p>
          <w:p w:rsidR="0067772C" w:rsidRPr="008F6C0C" w:rsidRDefault="0067772C" w:rsidP="006F2605">
            <w:pPr>
              <w:autoSpaceDE w:val="0"/>
              <w:autoSpaceDN w:val="0"/>
              <w:adjustRightInd w:val="0"/>
              <w:spacing w:before="0" w:after="0" w:line="240" w:lineRule="auto"/>
              <w:jc w:val="both"/>
              <w:rPr>
                <w:rFonts w:cs="Calibri"/>
                <w:b/>
                <w:bCs/>
                <w:noProof/>
                <w:szCs w:val="22"/>
              </w:rPr>
            </w:pPr>
          </w:p>
        </w:tc>
      </w:tr>
      <w:tr w:rsidR="0067772C" w:rsidRPr="008F6C0C" w:rsidTr="006F2605">
        <w:trPr>
          <w:trHeight w:val="323"/>
        </w:trPr>
        <w:tc>
          <w:tcPr>
            <w:tcW w:w="3708" w:type="dxa"/>
          </w:tcPr>
          <w:p w:rsidR="0067772C" w:rsidRPr="008F6C0C" w:rsidRDefault="0067772C" w:rsidP="006F2605">
            <w:pPr>
              <w:autoSpaceDE w:val="0"/>
              <w:autoSpaceDN w:val="0"/>
              <w:adjustRightInd w:val="0"/>
              <w:spacing w:before="0" w:after="0" w:line="240" w:lineRule="auto"/>
              <w:jc w:val="both"/>
              <w:rPr>
                <w:rFonts w:cs="Calibri"/>
                <w:b/>
                <w:bCs/>
                <w:szCs w:val="22"/>
              </w:rPr>
            </w:pPr>
          </w:p>
        </w:tc>
        <w:tc>
          <w:tcPr>
            <w:tcW w:w="5485" w:type="dxa"/>
            <w:gridSpan w:val="2"/>
          </w:tcPr>
          <w:p w:rsidR="0067772C" w:rsidRPr="008F6C0C" w:rsidRDefault="006F2605" w:rsidP="006F2605">
            <w:pPr>
              <w:autoSpaceDE w:val="0"/>
              <w:autoSpaceDN w:val="0"/>
              <w:adjustRightInd w:val="0"/>
              <w:spacing w:before="0" w:after="0" w:line="240" w:lineRule="auto"/>
              <w:rPr>
                <w:rFonts w:cs="Calibri"/>
                <w:b/>
                <w:bCs/>
                <w:noProof/>
                <w:sz w:val="26"/>
                <w:szCs w:val="26"/>
                <w:lang w:val="fr-FR"/>
              </w:rPr>
            </w:pPr>
            <w:r w:rsidRPr="008F6C0C">
              <w:rPr>
                <w:rFonts w:cs="Calibri"/>
                <w:b/>
                <w:bCs/>
                <w:noProof/>
                <w:sz w:val="26"/>
                <w:szCs w:val="26"/>
                <w:lang w:val="fr-FR"/>
              </w:rPr>
              <w:t>Dr. A. Z. M. Manzoor Rashid</w:t>
            </w:r>
          </w:p>
          <w:p w:rsidR="0067772C" w:rsidRPr="008F6C0C" w:rsidRDefault="0067772C" w:rsidP="006F2605">
            <w:pPr>
              <w:autoSpaceDE w:val="0"/>
              <w:autoSpaceDN w:val="0"/>
              <w:adjustRightInd w:val="0"/>
              <w:spacing w:before="0" w:after="0" w:line="240" w:lineRule="auto"/>
              <w:rPr>
                <w:rFonts w:cs="Calibri"/>
                <w:b/>
                <w:bCs/>
                <w:noProof/>
                <w:szCs w:val="22"/>
              </w:rPr>
            </w:pPr>
            <w:r w:rsidRPr="008F6C0C">
              <w:rPr>
                <w:rFonts w:cs="Calibri"/>
                <w:b/>
                <w:bCs/>
                <w:noProof/>
                <w:sz w:val="26"/>
                <w:szCs w:val="26"/>
                <w:lang w:val="fr-FR"/>
              </w:rPr>
              <w:t>National Consultant (</w:t>
            </w:r>
            <w:r w:rsidR="006F2605" w:rsidRPr="008F6C0C">
              <w:rPr>
                <w:rFonts w:cs="Calibri"/>
                <w:b/>
                <w:bCs/>
                <w:noProof/>
                <w:sz w:val="26"/>
                <w:szCs w:val="26"/>
                <w:lang w:val="fr-FR"/>
              </w:rPr>
              <w:t>Gender Research Specialist</w:t>
            </w:r>
            <w:r w:rsidRPr="008F6C0C">
              <w:rPr>
                <w:rFonts w:cs="Calibri"/>
                <w:b/>
                <w:bCs/>
                <w:noProof/>
                <w:sz w:val="26"/>
                <w:szCs w:val="26"/>
                <w:lang w:val="fr-FR"/>
              </w:rPr>
              <w:t>)</w:t>
            </w:r>
          </w:p>
        </w:tc>
      </w:tr>
      <w:tr w:rsidR="0067772C" w:rsidRPr="008F6C0C" w:rsidTr="006F2605">
        <w:trPr>
          <w:trHeight w:val="323"/>
        </w:trPr>
        <w:tc>
          <w:tcPr>
            <w:tcW w:w="3708" w:type="dxa"/>
          </w:tcPr>
          <w:p w:rsidR="0067772C" w:rsidRPr="008F6C0C" w:rsidRDefault="0067772C" w:rsidP="006F2605">
            <w:pPr>
              <w:autoSpaceDE w:val="0"/>
              <w:autoSpaceDN w:val="0"/>
              <w:adjustRightInd w:val="0"/>
              <w:spacing w:before="0" w:after="0" w:line="240" w:lineRule="auto"/>
              <w:jc w:val="both"/>
              <w:rPr>
                <w:rFonts w:cs="Calibri"/>
                <w:b/>
                <w:bCs/>
                <w:szCs w:val="22"/>
              </w:rPr>
            </w:pPr>
          </w:p>
        </w:tc>
        <w:tc>
          <w:tcPr>
            <w:tcW w:w="5485" w:type="dxa"/>
            <w:gridSpan w:val="2"/>
          </w:tcPr>
          <w:p w:rsidR="0067772C" w:rsidRPr="008F6C0C" w:rsidRDefault="0067772C" w:rsidP="006F2605">
            <w:pPr>
              <w:autoSpaceDE w:val="0"/>
              <w:autoSpaceDN w:val="0"/>
              <w:adjustRightInd w:val="0"/>
              <w:spacing w:before="0" w:after="0" w:line="240" w:lineRule="auto"/>
              <w:jc w:val="both"/>
              <w:rPr>
                <w:rFonts w:cs="Calibri"/>
                <w:b/>
                <w:bCs/>
                <w:noProof/>
                <w:szCs w:val="22"/>
              </w:rPr>
            </w:pPr>
          </w:p>
        </w:tc>
      </w:tr>
      <w:tr w:rsidR="0067772C" w:rsidRPr="008F6C0C" w:rsidTr="006F2605">
        <w:trPr>
          <w:trHeight w:val="323"/>
        </w:trPr>
        <w:tc>
          <w:tcPr>
            <w:tcW w:w="3708" w:type="dxa"/>
          </w:tcPr>
          <w:p w:rsidR="0067772C" w:rsidRPr="008F6C0C" w:rsidRDefault="0067772C" w:rsidP="006F2605">
            <w:pPr>
              <w:autoSpaceDE w:val="0"/>
              <w:autoSpaceDN w:val="0"/>
              <w:adjustRightInd w:val="0"/>
              <w:spacing w:before="0" w:after="0" w:line="240" w:lineRule="auto"/>
              <w:jc w:val="both"/>
              <w:rPr>
                <w:rFonts w:cs="Calibri"/>
                <w:b/>
                <w:bCs/>
                <w:szCs w:val="22"/>
              </w:rPr>
            </w:pPr>
          </w:p>
        </w:tc>
        <w:tc>
          <w:tcPr>
            <w:tcW w:w="5485" w:type="dxa"/>
            <w:gridSpan w:val="2"/>
          </w:tcPr>
          <w:p w:rsidR="0067772C" w:rsidRPr="008F6C0C" w:rsidRDefault="0067772C" w:rsidP="006F2605">
            <w:pPr>
              <w:autoSpaceDE w:val="0"/>
              <w:autoSpaceDN w:val="0"/>
              <w:adjustRightInd w:val="0"/>
              <w:spacing w:before="0" w:after="0" w:line="240" w:lineRule="auto"/>
              <w:jc w:val="both"/>
              <w:rPr>
                <w:rFonts w:cs="Calibri"/>
                <w:b/>
                <w:bCs/>
                <w:noProof/>
                <w:szCs w:val="22"/>
              </w:rPr>
            </w:pPr>
          </w:p>
        </w:tc>
      </w:tr>
      <w:tr w:rsidR="0067772C" w:rsidRPr="008F6C0C" w:rsidTr="006F2605">
        <w:trPr>
          <w:trHeight w:val="323"/>
        </w:trPr>
        <w:tc>
          <w:tcPr>
            <w:tcW w:w="3708" w:type="dxa"/>
          </w:tcPr>
          <w:p w:rsidR="0067772C" w:rsidRPr="008F6C0C" w:rsidRDefault="0067772C" w:rsidP="006F2605">
            <w:pPr>
              <w:autoSpaceDE w:val="0"/>
              <w:autoSpaceDN w:val="0"/>
              <w:adjustRightInd w:val="0"/>
              <w:spacing w:before="0" w:after="0" w:line="240" w:lineRule="auto"/>
              <w:jc w:val="both"/>
              <w:rPr>
                <w:rFonts w:cs="Calibri"/>
                <w:b/>
                <w:bCs/>
                <w:szCs w:val="22"/>
              </w:rPr>
            </w:pPr>
          </w:p>
        </w:tc>
        <w:tc>
          <w:tcPr>
            <w:tcW w:w="5485" w:type="dxa"/>
            <w:gridSpan w:val="2"/>
          </w:tcPr>
          <w:p w:rsidR="0067772C" w:rsidRPr="008F6C0C" w:rsidRDefault="0067772C" w:rsidP="006F2605">
            <w:pPr>
              <w:autoSpaceDE w:val="0"/>
              <w:autoSpaceDN w:val="0"/>
              <w:adjustRightInd w:val="0"/>
              <w:spacing w:before="0" w:after="0" w:line="240" w:lineRule="auto"/>
              <w:rPr>
                <w:rFonts w:cs="Calibri"/>
                <w:b/>
                <w:bCs/>
                <w:noProof/>
                <w:szCs w:val="22"/>
              </w:rPr>
            </w:pPr>
          </w:p>
        </w:tc>
      </w:tr>
      <w:tr w:rsidR="0067772C" w:rsidRPr="008F6C0C" w:rsidTr="006F2605">
        <w:trPr>
          <w:trHeight w:val="323"/>
        </w:trPr>
        <w:tc>
          <w:tcPr>
            <w:tcW w:w="3708" w:type="dxa"/>
          </w:tcPr>
          <w:p w:rsidR="0067772C" w:rsidRPr="008F6C0C" w:rsidRDefault="0067772C" w:rsidP="006F2605">
            <w:pPr>
              <w:autoSpaceDE w:val="0"/>
              <w:autoSpaceDN w:val="0"/>
              <w:adjustRightInd w:val="0"/>
              <w:spacing w:before="0" w:after="0" w:line="240" w:lineRule="auto"/>
              <w:jc w:val="both"/>
              <w:rPr>
                <w:rFonts w:cs="Calibri"/>
                <w:b/>
                <w:bCs/>
                <w:szCs w:val="22"/>
              </w:rPr>
            </w:pPr>
          </w:p>
        </w:tc>
        <w:tc>
          <w:tcPr>
            <w:tcW w:w="5485" w:type="dxa"/>
            <w:gridSpan w:val="2"/>
          </w:tcPr>
          <w:p w:rsidR="0067772C" w:rsidRPr="008F6C0C" w:rsidRDefault="0067772C" w:rsidP="006F2605">
            <w:pPr>
              <w:autoSpaceDE w:val="0"/>
              <w:autoSpaceDN w:val="0"/>
              <w:adjustRightInd w:val="0"/>
              <w:spacing w:before="0" w:after="0" w:line="240" w:lineRule="auto"/>
              <w:jc w:val="both"/>
              <w:rPr>
                <w:rFonts w:cs="Calibri"/>
                <w:b/>
                <w:bCs/>
                <w:noProof/>
                <w:szCs w:val="22"/>
              </w:rPr>
            </w:pPr>
          </w:p>
        </w:tc>
      </w:tr>
      <w:tr w:rsidR="0067772C" w:rsidRPr="008F6C0C" w:rsidTr="006F2605">
        <w:trPr>
          <w:trHeight w:val="323"/>
        </w:trPr>
        <w:tc>
          <w:tcPr>
            <w:tcW w:w="3708" w:type="dxa"/>
          </w:tcPr>
          <w:p w:rsidR="0067772C" w:rsidRPr="008F6C0C" w:rsidRDefault="0067772C" w:rsidP="006F2605">
            <w:pPr>
              <w:autoSpaceDE w:val="0"/>
              <w:autoSpaceDN w:val="0"/>
              <w:adjustRightInd w:val="0"/>
              <w:spacing w:before="0" w:after="0" w:line="240" w:lineRule="auto"/>
              <w:jc w:val="both"/>
              <w:rPr>
                <w:rFonts w:cs="Calibri"/>
                <w:b/>
                <w:bCs/>
                <w:szCs w:val="22"/>
              </w:rPr>
            </w:pPr>
          </w:p>
        </w:tc>
        <w:tc>
          <w:tcPr>
            <w:tcW w:w="5485" w:type="dxa"/>
            <w:gridSpan w:val="2"/>
          </w:tcPr>
          <w:p w:rsidR="0067772C" w:rsidRPr="008F6C0C" w:rsidRDefault="0067772C" w:rsidP="006F2605">
            <w:pPr>
              <w:pStyle w:val="Default"/>
              <w:spacing w:before="0"/>
            </w:pPr>
            <w:r w:rsidRPr="008F6C0C">
              <w:t>Submitted to</w:t>
            </w:r>
          </w:p>
        </w:tc>
      </w:tr>
      <w:tr w:rsidR="0067772C" w:rsidRPr="008F6C0C" w:rsidTr="006F2605">
        <w:trPr>
          <w:trHeight w:val="323"/>
        </w:trPr>
        <w:tc>
          <w:tcPr>
            <w:tcW w:w="3708" w:type="dxa"/>
          </w:tcPr>
          <w:p w:rsidR="0067772C" w:rsidRPr="008F6C0C" w:rsidRDefault="0067772C" w:rsidP="006F2605">
            <w:pPr>
              <w:autoSpaceDE w:val="0"/>
              <w:autoSpaceDN w:val="0"/>
              <w:adjustRightInd w:val="0"/>
              <w:spacing w:before="0" w:after="0" w:line="240" w:lineRule="auto"/>
              <w:jc w:val="both"/>
              <w:rPr>
                <w:rFonts w:cs="Calibri"/>
                <w:b/>
                <w:bCs/>
                <w:szCs w:val="22"/>
              </w:rPr>
            </w:pPr>
          </w:p>
        </w:tc>
        <w:tc>
          <w:tcPr>
            <w:tcW w:w="5485" w:type="dxa"/>
            <w:gridSpan w:val="2"/>
          </w:tcPr>
          <w:p w:rsidR="0067772C" w:rsidRPr="008F6C0C" w:rsidRDefault="0067772C" w:rsidP="006F2605">
            <w:pPr>
              <w:autoSpaceDE w:val="0"/>
              <w:autoSpaceDN w:val="0"/>
              <w:adjustRightInd w:val="0"/>
              <w:spacing w:before="0" w:after="0" w:line="240" w:lineRule="auto"/>
              <w:jc w:val="both"/>
              <w:rPr>
                <w:rFonts w:cs="Calibri"/>
                <w:b/>
                <w:bCs/>
                <w:noProof/>
                <w:szCs w:val="22"/>
              </w:rPr>
            </w:pPr>
          </w:p>
        </w:tc>
      </w:tr>
      <w:tr w:rsidR="0067772C" w:rsidRPr="008F6C0C" w:rsidTr="006F2605">
        <w:trPr>
          <w:trHeight w:val="323"/>
        </w:trPr>
        <w:tc>
          <w:tcPr>
            <w:tcW w:w="3708" w:type="dxa"/>
          </w:tcPr>
          <w:p w:rsidR="0067772C" w:rsidRPr="008F6C0C" w:rsidRDefault="0067772C" w:rsidP="006F2605">
            <w:pPr>
              <w:autoSpaceDE w:val="0"/>
              <w:autoSpaceDN w:val="0"/>
              <w:adjustRightInd w:val="0"/>
              <w:spacing w:before="0" w:after="0" w:line="240" w:lineRule="auto"/>
              <w:jc w:val="both"/>
              <w:rPr>
                <w:rFonts w:cs="Calibri"/>
                <w:b/>
                <w:bCs/>
                <w:szCs w:val="22"/>
              </w:rPr>
            </w:pPr>
          </w:p>
        </w:tc>
        <w:tc>
          <w:tcPr>
            <w:tcW w:w="5485" w:type="dxa"/>
            <w:gridSpan w:val="2"/>
          </w:tcPr>
          <w:p w:rsidR="0067772C" w:rsidRPr="008F6C0C" w:rsidRDefault="0067772C" w:rsidP="006F2605">
            <w:pPr>
              <w:autoSpaceDE w:val="0"/>
              <w:autoSpaceDN w:val="0"/>
              <w:adjustRightInd w:val="0"/>
              <w:spacing w:before="0" w:after="0" w:line="240" w:lineRule="auto"/>
              <w:rPr>
                <w:rFonts w:cs="Calibri"/>
                <w:b/>
                <w:bCs/>
                <w:noProof/>
                <w:sz w:val="26"/>
                <w:szCs w:val="26"/>
                <w:lang w:val="fr-FR"/>
              </w:rPr>
            </w:pPr>
            <w:r w:rsidRPr="008F6C0C">
              <w:rPr>
                <w:rFonts w:cs="Calibri"/>
                <w:b/>
                <w:bCs/>
                <w:noProof/>
                <w:sz w:val="26"/>
                <w:szCs w:val="26"/>
                <w:lang w:val="fr-FR"/>
              </w:rPr>
              <w:t>Programme Management Unit (PMU)</w:t>
            </w:r>
          </w:p>
          <w:p w:rsidR="0067772C" w:rsidRPr="008F6C0C" w:rsidRDefault="0067772C" w:rsidP="006F2605">
            <w:pPr>
              <w:autoSpaceDE w:val="0"/>
              <w:autoSpaceDN w:val="0"/>
              <w:adjustRightInd w:val="0"/>
              <w:spacing w:before="0" w:after="0" w:line="240" w:lineRule="auto"/>
              <w:rPr>
                <w:rFonts w:cs="Calibri"/>
                <w:b/>
                <w:bCs/>
                <w:noProof/>
                <w:sz w:val="26"/>
                <w:szCs w:val="26"/>
                <w:lang w:val="fr-FR"/>
              </w:rPr>
            </w:pPr>
            <w:r w:rsidRPr="008F6C0C">
              <w:rPr>
                <w:rFonts w:cs="Calibri"/>
                <w:b/>
                <w:bCs/>
                <w:noProof/>
                <w:sz w:val="26"/>
                <w:szCs w:val="26"/>
                <w:lang w:val="fr-FR"/>
              </w:rPr>
              <w:t>UN</w:t>
            </w:r>
            <w:r w:rsidRPr="008F6C0C">
              <w:rPr>
                <w:rFonts w:cs="Calibri"/>
                <w:b/>
                <w:bCs/>
                <w:noProof/>
                <w:sz w:val="26"/>
                <w:szCs w:val="26"/>
                <w:cs/>
                <w:lang w:val="fr-FR"/>
              </w:rPr>
              <w:t>-</w:t>
            </w:r>
            <w:r w:rsidRPr="008F6C0C">
              <w:rPr>
                <w:rFonts w:cs="Calibri"/>
                <w:b/>
                <w:bCs/>
                <w:noProof/>
                <w:sz w:val="26"/>
                <w:szCs w:val="26"/>
                <w:lang w:val="fr-FR"/>
              </w:rPr>
              <w:t>REDD Bangladesh National Programme</w:t>
            </w:r>
          </w:p>
          <w:p w:rsidR="0067772C" w:rsidRPr="008F6C0C" w:rsidRDefault="0067772C" w:rsidP="006F2605">
            <w:pPr>
              <w:autoSpaceDE w:val="0"/>
              <w:autoSpaceDN w:val="0"/>
              <w:adjustRightInd w:val="0"/>
              <w:spacing w:before="0" w:after="0" w:line="240" w:lineRule="auto"/>
              <w:jc w:val="both"/>
              <w:rPr>
                <w:rFonts w:cs="Calibri"/>
                <w:b/>
                <w:bCs/>
                <w:noProof/>
                <w:szCs w:val="22"/>
              </w:rPr>
            </w:pPr>
            <w:r w:rsidRPr="008F6C0C">
              <w:rPr>
                <w:rFonts w:cs="Calibri"/>
                <w:b/>
                <w:bCs/>
                <w:noProof/>
                <w:sz w:val="26"/>
                <w:szCs w:val="26"/>
                <w:lang w:val="fr-FR"/>
              </w:rPr>
              <w:t>Bangladesh Forest Department</w:t>
            </w:r>
          </w:p>
        </w:tc>
      </w:tr>
      <w:tr w:rsidR="0067772C" w:rsidRPr="008F6C0C" w:rsidTr="006F2605">
        <w:trPr>
          <w:trHeight w:val="323"/>
        </w:trPr>
        <w:tc>
          <w:tcPr>
            <w:tcW w:w="3708" w:type="dxa"/>
          </w:tcPr>
          <w:p w:rsidR="0067772C" w:rsidRPr="008F6C0C" w:rsidRDefault="0067772C" w:rsidP="006F2605">
            <w:pPr>
              <w:autoSpaceDE w:val="0"/>
              <w:autoSpaceDN w:val="0"/>
              <w:adjustRightInd w:val="0"/>
              <w:spacing w:before="0" w:after="0" w:line="240" w:lineRule="auto"/>
              <w:jc w:val="both"/>
              <w:rPr>
                <w:rFonts w:cs="Calibri"/>
                <w:b/>
                <w:bCs/>
                <w:szCs w:val="22"/>
              </w:rPr>
            </w:pPr>
          </w:p>
        </w:tc>
        <w:tc>
          <w:tcPr>
            <w:tcW w:w="5485" w:type="dxa"/>
            <w:gridSpan w:val="2"/>
          </w:tcPr>
          <w:p w:rsidR="0067772C" w:rsidRPr="008F6C0C" w:rsidRDefault="0067772C" w:rsidP="006F2605">
            <w:pPr>
              <w:autoSpaceDE w:val="0"/>
              <w:autoSpaceDN w:val="0"/>
              <w:adjustRightInd w:val="0"/>
              <w:spacing w:before="0" w:after="0" w:line="240" w:lineRule="auto"/>
              <w:jc w:val="both"/>
              <w:rPr>
                <w:rFonts w:cs="Calibri"/>
                <w:b/>
                <w:bCs/>
                <w:noProof/>
                <w:szCs w:val="22"/>
              </w:rPr>
            </w:pPr>
          </w:p>
        </w:tc>
      </w:tr>
      <w:tr w:rsidR="0067772C" w:rsidRPr="008F6C0C" w:rsidTr="006F2605">
        <w:trPr>
          <w:trHeight w:val="323"/>
        </w:trPr>
        <w:tc>
          <w:tcPr>
            <w:tcW w:w="3708" w:type="dxa"/>
          </w:tcPr>
          <w:p w:rsidR="0067772C" w:rsidRPr="008F6C0C" w:rsidRDefault="0067772C" w:rsidP="006F2605">
            <w:pPr>
              <w:autoSpaceDE w:val="0"/>
              <w:autoSpaceDN w:val="0"/>
              <w:adjustRightInd w:val="0"/>
              <w:spacing w:before="0" w:after="0" w:line="240" w:lineRule="auto"/>
              <w:jc w:val="both"/>
              <w:rPr>
                <w:rFonts w:cs="Calibri"/>
                <w:b/>
                <w:bCs/>
                <w:szCs w:val="22"/>
              </w:rPr>
            </w:pPr>
          </w:p>
        </w:tc>
        <w:tc>
          <w:tcPr>
            <w:tcW w:w="5485" w:type="dxa"/>
            <w:gridSpan w:val="2"/>
          </w:tcPr>
          <w:p w:rsidR="0067772C" w:rsidRPr="008F6C0C" w:rsidRDefault="0067772C" w:rsidP="006F2605">
            <w:pPr>
              <w:autoSpaceDE w:val="0"/>
              <w:autoSpaceDN w:val="0"/>
              <w:adjustRightInd w:val="0"/>
              <w:spacing w:before="0" w:after="0" w:line="240" w:lineRule="auto"/>
              <w:jc w:val="both"/>
              <w:rPr>
                <w:rFonts w:cs="Calibri"/>
                <w:b/>
                <w:bCs/>
                <w:noProof/>
                <w:szCs w:val="22"/>
              </w:rPr>
            </w:pPr>
          </w:p>
        </w:tc>
      </w:tr>
      <w:tr w:rsidR="0067772C" w:rsidRPr="008F6C0C" w:rsidTr="006F2605">
        <w:trPr>
          <w:trHeight w:val="323"/>
        </w:trPr>
        <w:tc>
          <w:tcPr>
            <w:tcW w:w="3708" w:type="dxa"/>
          </w:tcPr>
          <w:p w:rsidR="0067772C" w:rsidRPr="008F6C0C" w:rsidRDefault="0067772C" w:rsidP="006F2605">
            <w:pPr>
              <w:autoSpaceDE w:val="0"/>
              <w:autoSpaceDN w:val="0"/>
              <w:adjustRightInd w:val="0"/>
              <w:spacing w:before="0" w:after="0" w:line="240" w:lineRule="auto"/>
              <w:jc w:val="both"/>
              <w:rPr>
                <w:rFonts w:cs="Calibri"/>
                <w:b/>
                <w:bCs/>
                <w:szCs w:val="22"/>
              </w:rPr>
            </w:pPr>
          </w:p>
        </w:tc>
        <w:tc>
          <w:tcPr>
            <w:tcW w:w="5485" w:type="dxa"/>
            <w:gridSpan w:val="2"/>
          </w:tcPr>
          <w:p w:rsidR="0067772C" w:rsidRPr="008F6C0C" w:rsidRDefault="0067772C" w:rsidP="006F2605">
            <w:pPr>
              <w:autoSpaceDE w:val="0"/>
              <w:autoSpaceDN w:val="0"/>
              <w:adjustRightInd w:val="0"/>
              <w:spacing w:before="0" w:after="0" w:line="240" w:lineRule="auto"/>
              <w:jc w:val="both"/>
              <w:rPr>
                <w:rFonts w:cs="Calibri"/>
                <w:b/>
                <w:bCs/>
                <w:noProof/>
                <w:szCs w:val="22"/>
              </w:rPr>
            </w:pPr>
          </w:p>
        </w:tc>
      </w:tr>
      <w:tr w:rsidR="0067772C" w:rsidRPr="008F6C0C" w:rsidTr="006F2605">
        <w:trPr>
          <w:trHeight w:val="323"/>
        </w:trPr>
        <w:tc>
          <w:tcPr>
            <w:tcW w:w="3708" w:type="dxa"/>
          </w:tcPr>
          <w:p w:rsidR="0067772C" w:rsidRPr="008F6C0C" w:rsidRDefault="0067772C" w:rsidP="006F2605">
            <w:pPr>
              <w:autoSpaceDE w:val="0"/>
              <w:autoSpaceDN w:val="0"/>
              <w:adjustRightInd w:val="0"/>
              <w:spacing w:before="0" w:after="0" w:line="240" w:lineRule="auto"/>
              <w:jc w:val="both"/>
              <w:rPr>
                <w:rFonts w:cs="Calibri"/>
                <w:b/>
                <w:bCs/>
                <w:szCs w:val="22"/>
              </w:rPr>
            </w:pPr>
          </w:p>
        </w:tc>
        <w:tc>
          <w:tcPr>
            <w:tcW w:w="5485" w:type="dxa"/>
            <w:gridSpan w:val="2"/>
          </w:tcPr>
          <w:p w:rsidR="0067772C" w:rsidRPr="008F6C0C" w:rsidRDefault="00650502" w:rsidP="00650502">
            <w:pPr>
              <w:autoSpaceDE w:val="0"/>
              <w:autoSpaceDN w:val="0"/>
              <w:adjustRightInd w:val="0"/>
              <w:spacing w:before="0" w:after="0" w:line="240" w:lineRule="auto"/>
              <w:jc w:val="both"/>
              <w:rPr>
                <w:rFonts w:cs="Calibri"/>
                <w:b/>
                <w:bCs/>
                <w:noProof/>
                <w:szCs w:val="22"/>
              </w:rPr>
            </w:pPr>
            <w:r>
              <w:t>27 May</w:t>
            </w:r>
            <w:r w:rsidR="00C80506">
              <w:t>, 2018,</w:t>
            </w:r>
            <w:r w:rsidR="0067772C" w:rsidRPr="008F6C0C">
              <w:t xml:space="preserve"> Dhaka</w:t>
            </w:r>
          </w:p>
        </w:tc>
      </w:tr>
    </w:tbl>
    <w:p w:rsidR="0067772C" w:rsidRPr="00947662" w:rsidRDefault="0067772C" w:rsidP="0067772C">
      <w:pPr>
        <w:pStyle w:val="IntenseQuote"/>
        <w:spacing w:before="0" w:after="0"/>
        <w:ind w:left="0"/>
        <w:jc w:val="both"/>
        <w:rPr>
          <w:rFonts w:cs="Arial Unicode MS"/>
          <w:i/>
          <w:iCs/>
          <w:color w:val="auto"/>
        </w:rPr>
        <w:sectPr w:rsidR="0067772C" w:rsidRPr="00947662" w:rsidSect="00D813D8">
          <w:footerReference w:type="default" r:id="rId11"/>
          <w:footerReference w:type="first" r:id="rId12"/>
          <w:pgSz w:w="11909" w:h="16834" w:code="9"/>
          <w:pgMar w:top="1440" w:right="1440" w:bottom="1440" w:left="1440" w:header="720" w:footer="720" w:gutter="0"/>
          <w:cols w:space="720"/>
          <w:titlePg/>
          <w:docGrid w:linePitch="360"/>
        </w:sectPr>
      </w:pPr>
    </w:p>
    <w:tbl>
      <w:tblPr>
        <w:tblW w:w="0" w:type="auto"/>
        <w:tblLook w:val="04A0" w:firstRow="1" w:lastRow="0" w:firstColumn="1" w:lastColumn="0" w:noHBand="0" w:noVBand="1"/>
      </w:tblPr>
      <w:tblGrid>
        <w:gridCol w:w="3757"/>
        <w:gridCol w:w="1458"/>
        <w:gridCol w:w="4030"/>
      </w:tblGrid>
      <w:tr w:rsidR="0067772C" w:rsidRPr="008F6C0C" w:rsidTr="000F6FB4">
        <w:trPr>
          <w:trHeight w:val="2069"/>
        </w:trPr>
        <w:tc>
          <w:tcPr>
            <w:tcW w:w="3758" w:type="dxa"/>
          </w:tcPr>
          <w:p w:rsidR="0067772C" w:rsidRPr="008F6C0C" w:rsidRDefault="009A4F00" w:rsidP="00D813D8">
            <w:pPr>
              <w:autoSpaceDE w:val="0"/>
              <w:autoSpaceDN w:val="0"/>
              <w:adjustRightInd w:val="0"/>
              <w:spacing w:after="0"/>
              <w:jc w:val="both"/>
              <w:rPr>
                <w:rFonts w:cs="Calibri"/>
                <w:b/>
                <w:bCs/>
                <w:szCs w:val="22"/>
              </w:rPr>
            </w:pPr>
            <w:r>
              <w:rPr>
                <w:rFonts w:cs="Calibri"/>
                <w:b/>
                <w:bCs/>
                <w:noProof/>
              </w:rPr>
              <w:lastRenderedPageBreak/>
              <w:drawing>
                <wp:anchor distT="0" distB="0" distL="114300" distR="114300" simplePos="0" relativeHeight="251660288" behindDoc="0" locked="0" layoutInCell="1" allowOverlap="1" wp14:anchorId="1C0D8831" wp14:editId="4E2E8675">
                  <wp:simplePos x="0" y="0"/>
                  <wp:positionH relativeFrom="column">
                    <wp:posOffset>76200</wp:posOffset>
                  </wp:positionH>
                  <wp:positionV relativeFrom="paragraph">
                    <wp:posOffset>36830</wp:posOffset>
                  </wp:positionV>
                  <wp:extent cx="2000250" cy="1219200"/>
                  <wp:effectExtent l="0" t="0" r="0" b="0"/>
                  <wp:wrapSquare wrapText="bothSides"/>
                  <wp:docPr id="4" name="Picture 1" descr="UN-REDD logo_Nasim vai-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REDD logo_Nasim vai-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0" cy="1219200"/>
                          </a:xfrm>
                          <a:prstGeom prst="rect">
                            <a:avLst/>
                          </a:prstGeom>
                          <a:noFill/>
                          <a:ln>
                            <a:noFill/>
                          </a:ln>
                        </pic:spPr>
                      </pic:pic>
                    </a:graphicData>
                  </a:graphic>
                </wp:anchor>
              </w:drawing>
            </w:r>
            <w:r w:rsidR="0067772C" w:rsidRPr="008F6C0C">
              <w:rPr>
                <w:rFonts w:cs="Calibri"/>
                <w:b/>
                <w:bCs/>
                <w:szCs w:val="22"/>
              </w:rPr>
              <w:softHyphen/>
            </w:r>
          </w:p>
        </w:tc>
        <w:tc>
          <w:tcPr>
            <w:tcW w:w="1579" w:type="dxa"/>
          </w:tcPr>
          <w:p w:rsidR="0067772C" w:rsidRPr="008F6C0C" w:rsidRDefault="0067772C" w:rsidP="00D813D8">
            <w:pPr>
              <w:autoSpaceDE w:val="0"/>
              <w:autoSpaceDN w:val="0"/>
              <w:adjustRightInd w:val="0"/>
              <w:spacing w:after="0"/>
              <w:jc w:val="both"/>
              <w:rPr>
                <w:rFonts w:cs="Calibri"/>
                <w:b/>
                <w:bCs/>
                <w:szCs w:val="22"/>
              </w:rPr>
            </w:pPr>
          </w:p>
        </w:tc>
        <w:tc>
          <w:tcPr>
            <w:tcW w:w="3908" w:type="dxa"/>
          </w:tcPr>
          <w:p w:rsidR="0067772C" w:rsidRPr="008F6C0C" w:rsidRDefault="009A4F00" w:rsidP="00D813D8">
            <w:pPr>
              <w:autoSpaceDE w:val="0"/>
              <w:autoSpaceDN w:val="0"/>
              <w:adjustRightInd w:val="0"/>
              <w:spacing w:after="0"/>
              <w:jc w:val="both"/>
              <w:rPr>
                <w:rFonts w:cs="Calibri"/>
                <w:b/>
                <w:bCs/>
                <w:szCs w:val="22"/>
              </w:rPr>
            </w:pPr>
            <w:r>
              <w:rPr>
                <w:rFonts w:cs="Calibri"/>
                <w:b/>
                <w:bCs/>
                <w:noProof/>
              </w:rPr>
              <w:drawing>
                <wp:anchor distT="0" distB="0" distL="114300" distR="114300" simplePos="0" relativeHeight="251658240" behindDoc="0" locked="0" layoutInCell="1" allowOverlap="1" wp14:anchorId="69E91B5B" wp14:editId="2ECB5EA2">
                  <wp:simplePos x="0" y="0"/>
                  <wp:positionH relativeFrom="column">
                    <wp:posOffset>1360170</wp:posOffset>
                  </wp:positionH>
                  <wp:positionV relativeFrom="paragraph">
                    <wp:posOffset>17780</wp:posOffset>
                  </wp:positionV>
                  <wp:extent cx="1123950" cy="1295400"/>
                  <wp:effectExtent l="0" t="0" r="0" b="0"/>
                  <wp:wrapSquare wrapText="bothSides"/>
                  <wp:docPr id="3" name="Picture 2" descr="Logo_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F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3950" cy="1295400"/>
                          </a:xfrm>
                          <a:prstGeom prst="rect">
                            <a:avLst/>
                          </a:prstGeom>
                          <a:noFill/>
                          <a:ln>
                            <a:noFill/>
                          </a:ln>
                        </pic:spPr>
                      </pic:pic>
                    </a:graphicData>
                  </a:graphic>
                </wp:anchor>
              </w:drawing>
            </w:r>
            <w:r>
              <w:rPr>
                <w:rFonts w:cs="Calibri"/>
                <w:b/>
                <w:bCs/>
                <w:noProof/>
              </w:rPr>
              <w:drawing>
                <wp:anchor distT="0" distB="0" distL="114300" distR="114300" simplePos="0" relativeHeight="251659264" behindDoc="0" locked="0" layoutInCell="1" allowOverlap="1" wp14:anchorId="4AFA27E5" wp14:editId="79D95B1F">
                  <wp:simplePos x="0" y="0"/>
                  <wp:positionH relativeFrom="column">
                    <wp:posOffset>7620</wp:posOffset>
                  </wp:positionH>
                  <wp:positionV relativeFrom="paragraph">
                    <wp:posOffset>17780</wp:posOffset>
                  </wp:positionV>
                  <wp:extent cx="1288415" cy="1295400"/>
                  <wp:effectExtent l="0" t="0" r="0" b="0"/>
                  <wp:wrapSquare wrapText="bothSides"/>
                  <wp:docPr id="2" name="Picture 9" descr="G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oB"/>
                          <pic:cNvPicPr>
                            <a:picLocks noChangeAspect="1" noChangeArrowheads="1"/>
                          </pic:cNvPicPr>
                        </pic:nvPicPr>
                        <pic:blipFill>
                          <a:blip r:embed="rId10" cstate="print">
                            <a:extLst>
                              <a:ext uri="{28A0092B-C50C-407E-A947-70E740481C1C}">
                                <a14:useLocalDpi xmlns:a14="http://schemas.microsoft.com/office/drawing/2010/main" val="0"/>
                              </a:ext>
                            </a:extLst>
                          </a:blip>
                          <a:srcRect l="14912" r="10526"/>
                          <a:stretch>
                            <a:fillRect/>
                          </a:stretch>
                        </pic:blipFill>
                        <pic:spPr bwMode="auto">
                          <a:xfrm>
                            <a:off x="0" y="0"/>
                            <a:ext cx="1288415" cy="1295400"/>
                          </a:xfrm>
                          <a:prstGeom prst="rect">
                            <a:avLst/>
                          </a:prstGeom>
                          <a:noFill/>
                          <a:ln>
                            <a:noFill/>
                          </a:ln>
                        </pic:spPr>
                      </pic:pic>
                    </a:graphicData>
                  </a:graphic>
                </wp:anchor>
              </w:drawing>
            </w:r>
          </w:p>
        </w:tc>
      </w:tr>
      <w:tr w:rsidR="0067772C" w:rsidRPr="008F6C0C" w:rsidTr="000F6FB4">
        <w:trPr>
          <w:trHeight w:val="332"/>
        </w:trPr>
        <w:tc>
          <w:tcPr>
            <w:tcW w:w="3758" w:type="dxa"/>
          </w:tcPr>
          <w:p w:rsidR="0067772C" w:rsidRPr="008F6C0C" w:rsidRDefault="0067772C" w:rsidP="00D813D8">
            <w:pPr>
              <w:autoSpaceDE w:val="0"/>
              <w:autoSpaceDN w:val="0"/>
              <w:adjustRightInd w:val="0"/>
              <w:spacing w:after="0"/>
              <w:jc w:val="both"/>
              <w:rPr>
                <w:rFonts w:cs="Calibri"/>
                <w:b/>
                <w:bCs/>
                <w:szCs w:val="22"/>
              </w:rPr>
            </w:pPr>
          </w:p>
        </w:tc>
        <w:tc>
          <w:tcPr>
            <w:tcW w:w="1579" w:type="dxa"/>
          </w:tcPr>
          <w:p w:rsidR="0067772C" w:rsidRPr="008F6C0C" w:rsidRDefault="0067772C" w:rsidP="00D813D8">
            <w:pPr>
              <w:autoSpaceDE w:val="0"/>
              <w:autoSpaceDN w:val="0"/>
              <w:adjustRightInd w:val="0"/>
              <w:spacing w:after="0"/>
              <w:jc w:val="both"/>
              <w:rPr>
                <w:rFonts w:cs="Calibri"/>
                <w:b/>
                <w:bCs/>
                <w:szCs w:val="22"/>
              </w:rPr>
            </w:pPr>
          </w:p>
        </w:tc>
        <w:tc>
          <w:tcPr>
            <w:tcW w:w="3908" w:type="dxa"/>
          </w:tcPr>
          <w:p w:rsidR="0067772C" w:rsidRPr="008F6C0C" w:rsidRDefault="0067772C" w:rsidP="00D813D8">
            <w:pPr>
              <w:autoSpaceDE w:val="0"/>
              <w:autoSpaceDN w:val="0"/>
              <w:adjustRightInd w:val="0"/>
              <w:spacing w:after="0"/>
              <w:jc w:val="both"/>
              <w:rPr>
                <w:rFonts w:cs="Calibri"/>
                <w:b/>
                <w:bCs/>
                <w:noProof/>
                <w:szCs w:val="22"/>
              </w:rPr>
            </w:pPr>
          </w:p>
        </w:tc>
      </w:tr>
      <w:tr w:rsidR="0067772C" w:rsidRPr="008F6C0C" w:rsidTr="000F6FB4">
        <w:trPr>
          <w:trHeight w:val="106"/>
        </w:trPr>
        <w:tc>
          <w:tcPr>
            <w:tcW w:w="3798" w:type="dxa"/>
          </w:tcPr>
          <w:p w:rsidR="0067772C" w:rsidRPr="008F6C0C" w:rsidRDefault="0067772C" w:rsidP="00D813D8">
            <w:pPr>
              <w:autoSpaceDE w:val="0"/>
              <w:autoSpaceDN w:val="0"/>
              <w:adjustRightInd w:val="0"/>
              <w:spacing w:after="0"/>
              <w:jc w:val="right"/>
              <w:rPr>
                <w:rFonts w:cs="Calibri"/>
                <w:b/>
                <w:bCs/>
                <w:szCs w:val="22"/>
                <w:lang w:val="fr-FR"/>
              </w:rPr>
            </w:pPr>
            <w:r w:rsidRPr="008F6C0C">
              <w:rPr>
                <w:rFonts w:cs="Calibri"/>
                <w:b/>
                <w:bCs/>
                <w:noProof/>
                <w:szCs w:val="22"/>
                <w:lang w:val="fr-FR"/>
              </w:rPr>
              <w:t>UN</w:t>
            </w:r>
            <w:r w:rsidRPr="008F6C0C">
              <w:rPr>
                <w:rFonts w:cs="Calibri"/>
                <w:b/>
                <w:bCs/>
                <w:noProof/>
                <w:szCs w:val="22"/>
                <w:cs/>
                <w:lang w:val="fr-FR"/>
              </w:rPr>
              <w:t>-</w:t>
            </w:r>
            <w:r w:rsidRPr="008F6C0C">
              <w:rPr>
                <w:rFonts w:cs="Calibri"/>
                <w:b/>
                <w:bCs/>
                <w:noProof/>
                <w:szCs w:val="22"/>
                <w:lang w:val="fr-FR"/>
              </w:rPr>
              <w:t>REDD Bangladesh National Program</w:t>
            </w:r>
          </w:p>
        </w:tc>
        <w:tc>
          <w:tcPr>
            <w:tcW w:w="5778" w:type="dxa"/>
            <w:gridSpan w:val="2"/>
            <w:vMerge w:val="restart"/>
          </w:tcPr>
          <w:p w:rsidR="0067772C" w:rsidRPr="008F6C0C" w:rsidRDefault="0067772C" w:rsidP="00D813D8">
            <w:pPr>
              <w:autoSpaceDE w:val="0"/>
              <w:autoSpaceDN w:val="0"/>
              <w:adjustRightInd w:val="0"/>
              <w:spacing w:after="0"/>
              <w:jc w:val="both"/>
              <w:rPr>
                <w:rFonts w:cs="Calibri"/>
                <w:bCs/>
                <w:noProof/>
                <w:szCs w:val="22"/>
              </w:rPr>
            </w:pPr>
            <w:r w:rsidRPr="008F6C0C">
              <w:rPr>
                <w:rFonts w:cs="Calibri"/>
                <w:bCs/>
                <w:noProof/>
                <w:szCs w:val="22"/>
              </w:rPr>
              <w:t>The UN</w:t>
            </w:r>
            <w:r w:rsidRPr="008F6C0C">
              <w:rPr>
                <w:rFonts w:cs="Calibri"/>
                <w:bCs/>
                <w:noProof/>
                <w:szCs w:val="22"/>
                <w:cs/>
              </w:rPr>
              <w:t>-</w:t>
            </w:r>
            <w:r w:rsidRPr="008F6C0C">
              <w:rPr>
                <w:rFonts w:cs="Calibri"/>
                <w:bCs/>
                <w:noProof/>
                <w:szCs w:val="22"/>
              </w:rPr>
              <w:t>REDD Bangladesh National Program is implemented by Bangladesh Forest Department under the leadership of Ministry of Environment and Forests</w:t>
            </w:r>
            <w:r w:rsidRPr="008F6C0C">
              <w:rPr>
                <w:rFonts w:cs="Calibri"/>
                <w:bCs/>
                <w:noProof/>
                <w:szCs w:val="22"/>
                <w:cs/>
              </w:rPr>
              <w:t xml:space="preserve">. </w:t>
            </w:r>
            <w:r w:rsidRPr="008F6C0C">
              <w:rPr>
                <w:rFonts w:cs="Calibri"/>
                <w:bCs/>
                <w:noProof/>
                <w:szCs w:val="22"/>
              </w:rPr>
              <w:t xml:space="preserve">United Nations Development Program </w:t>
            </w:r>
            <w:r w:rsidRPr="008F6C0C">
              <w:rPr>
                <w:rFonts w:cs="Calibri"/>
                <w:bCs/>
                <w:noProof/>
                <w:szCs w:val="22"/>
                <w:cs/>
              </w:rPr>
              <w:t>(</w:t>
            </w:r>
            <w:r w:rsidRPr="008F6C0C">
              <w:rPr>
                <w:rFonts w:cs="Calibri"/>
                <w:bCs/>
                <w:noProof/>
                <w:szCs w:val="22"/>
              </w:rPr>
              <w:t>UNDP</w:t>
            </w:r>
            <w:r w:rsidRPr="008F6C0C">
              <w:rPr>
                <w:rFonts w:cs="Calibri"/>
                <w:bCs/>
                <w:noProof/>
                <w:szCs w:val="22"/>
                <w:cs/>
              </w:rPr>
              <w:t xml:space="preserve">) </w:t>
            </w:r>
            <w:r w:rsidRPr="008F6C0C">
              <w:rPr>
                <w:rFonts w:cs="Calibri"/>
                <w:bCs/>
                <w:noProof/>
                <w:szCs w:val="22"/>
              </w:rPr>
              <w:t xml:space="preserve">and Food and Agriculture Organization </w:t>
            </w:r>
            <w:r w:rsidRPr="008F6C0C">
              <w:rPr>
                <w:rFonts w:cs="Calibri"/>
                <w:bCs/>
                <w:noProof/>
                <w:szCs w:val="22"/>
                <w:cs/>
              </w:rPr>
              <w:t>(</w:t>
            </w:r>
            <w:r w:rsidRPr="008F6C0C">
              <w:rPr>
                <w:rFonts w:cs="Calibri"/>
                <w:bCs/>
                <w:noProof/>
                <w:szCs w:val="22"/>
              </w:rPr>
              <w:t>FAO</w:t>
            </w:r>
            <w:r w:rsidRPr="008F6C0C">
              <w:rPr>
                <w:rFonts w:cs="Calibri"/>
                <w:bCs/>
                <w:noProof/>
                <w:szCs w:val="22"/>
                <w:cs/>
              </w:rPr>
              <w:t xml:space="preserve">) </w:t>
            </w:r>
            <w:r w:rsidRPr="008F6C0C">
              <w:rPr>
                <w:rFonts w:cs="Calibri"/>
                <w:bCs/>
                <w:noProof/>
                <w:szCs w:val="22"/>
              </w:rPr>
              <w:t>are the two implementing partners</w:t>
            </w:r>
            <w:r w:rsidRPr="008F6C0C">
              <w:rPr>
                <w:rFonts w:cs="Calibri"/>
                <w:bCs/>
                <w:noProof/>
                <w:szCs w:val="22"/>
                <w:cs/>
              </w:rPr>
              <w:t>.</w:t>
            </w:r>
          </w:p>
        </w:tc>
      </w:tr>
      <w:tr w:rsidR="0067772C" w:rsidRPr="008F6C0C" w:rsidTr="000F6FB4">
        <w:trPr>
          <w:trHeight w:val="323"/>
        </w:trPr>
        <w:tc>
          <w:tcPr>
            <w:tcW w:w="3798" w:type="dxa"/>
          </w:tcPr>
          <w:p w:rsidR="0067772C" w:rsidRPr="008F6C0C" w:rsidRDefault="0067772C" w:rsidP="00D813D8">
            <w:pPr>
              <w:autoSpaceDE w:val="0"/>
              <w:autoSpaceDN w:val="0"/>
              <w:adjustRightInd w:val="0"/>
              <w:spacing w:after="0"/>
              <w:jc w:val="both"/>
              <w:rPr>
                <w:rFonts w:cs="Calibri"/>
                <w:b/>
                <w:bCs/>
                <w:szCs w:val="22"/>
              </w:rPr>
            </w:pPr>
          </w:p>
        </w:tc>
        <w:tc>
          <w:tcPr>
            <w:tcW w:w="5778" w:type="dxa"/>
            <w:gridSpan w:val="2"/>
            <w:vMerge/>
          </w:tcPr>
          <w:p w:rsidR="0067772C" w:rsidRPr="008F6C0C" w:rsidRDefault="0067772C" w:rsidP="00D813D8">
            <w:pPr>
              <w:autoSpaceDE w:val="0"/>
              <w:autoSpaceDN w:val="0"/>
              <w:adjustRightInd w:val="0"/>
              <w:spacing w:after="0"/>
              <w:jc w:val="both"/>
              <w:rPr>
                <w:rFonts w:cs="Calibri"/>
                <w:b/>
                <w:bCs/>
                <w:noProof/>
                <w:szCs w:val="22"/>
              </w:rPr>
            </w:pPr>
          </w:p>
        </w:tc>
      </w:tr>
      <w:tr w:rsidR="0067772C" w:rsidRPr="008F6C0C" w:rsidTr="000F6FB4">
        <w:trPr>
          <w:trHeight w:val="323"/>
        </w:trPr>
        <w:tc>
          <w:tcPr>
            <w:tcW w:w="3798" w:type="dxa"/>
          </w:tcPr>
          <w:p w:rsidR="0067772C" w:rsidRPr="008F6C0C" w:rsidRDefault="0067772C" w:rsidP="00D813D8">
            <w:pPr>
              <w:autoSpaceDE w:val="0"/>
              <w:autoSpaceDN w:val="0"/>
              <w:adjustRightInd w:val="0"/>
              <w:spacing w:after="0"/>
              <w:jc w:val="both"/>
              <w:rPr>
                <w:rFonts w:cs="Calibri"/>
                <w:b/>
                <w:bCs/>
                <w:szCs w:val="22"/>
              </w:rPr>
            </w:pPr>
          </w:p>
        </w:tc>
        <w:tc>
          <w:tcPr>
            <w:tcW w:w="5778" w:type="dxa"/>
            <w:gridSpan w:val="2"/>
            <w:vMerge/>
          </w:tcPr>
          <w:p w:rsidR="0067772C" w:rsidRPr="008F6C0C" w:rsidRDefault="0067772C" w:rsidP="00D813D8">
            <w:pPr>
              <w:autoSpaceDE w:val="0"/>
              <w:autoSpaceDN w:val="0"/>
              <w:adjustRightInd w:val="0"/>
              <w:spacing w:after="0"/>
              <w:jc w:val="both"/>
              <w:rPr>
                <w:rFonts w:cs="Calibri"/>
                <w:b/>
                <w:bCs/>
                <w:noProof/>
                <w:szCs w:val="22"/>
              </w:rPr>
            </w:pPr>
          </w:p>
        </w:tc>
      </w:tr>
      <w:tr w:rsidR="0067772C" w:rsidRPr="008F6C0C" w:rsidTr="000F6FB4">
        <w:trPr>
          <w:trHeight w:val="323"/>
        </w:trPr>
        <w:tc>
          <w:tcPr>
            <w:tcW w:w="3798" w:type="dxa"/>
          </w:tcPr>
          <w:p w:rsidR="0067772C" w:rsidRPr="008F6C0C" w:rsidRDefault="0067772C" w:rsidP="00D813D8">
            <w:pPr>
              <w:autoSpaceDE w:val="0"/>
              <w:autoSpaceDN w:val="0"/>
              <w:adjustRightInd w:val="0"/>
              <w:spacing w:after="0"/>
              <w:jc w:val="both"/>
              <w:rPr>
                <w:rFonts w:cs="Calibri"/>
                <w:b/>
                <w:bCs/>
                <w:szCs w:val="22"/>
              </w:rPr>
            </w:pPr>
          </w:p>
        </w:tc>
        <w:tc>
          <w:tcPr>
            <w:tcW w:w="5778" w:type="dxa"/>
            <w:gridSpan w:val="2"/>
            <w:vMerge/>
          </w:tcPr>
          <w:p w:rsidR="0067772C" w:rsidRPr="008F6C0C" w:rsidRDefault="0067772C" w:rsidP="00D813D8">
            <w:pPr>
              <w:autoSpaceDE w:val="0"/>
              <w:autoSpaceDN w:val="0"/>
              <w:adjustRightInd w:val="0"/>
              <w:spacing w:after="0"/>
              <w:jc w:val="both"/>
              <w:rPr>
                <w:rFonts w:cs="Calibri"/>
                <w:b/>
                <w:bCs/>
                <w:noProof/>
                <w:szCs w:val="22"/>
              </w:rPr>
            </w:pPr>
          </w:p>
        </w:tc>
      </w:tr>
      <w:tr w:rsidR="0067772C" w:rsidRPr="008F6C0C" w:rsidTr="000F6FB4">
        <w:trPr>
          <w:trHeight w:val="57"/>
        </w:trPr>
        <w:tc>
          <w:tcPr>
            <w:tcW w:w="3798" w:type="dxa"/>
          </w:tcPr>
          <w:p w:rsidR="0067772C" w:rsidRPr="008F6C0C" w:rsidRDefault="0067772C" w:rsidP="00D813D8">
            <w:pPr>
              <w:autoSpaceDE w:val="0"/>
              <w:autoSpaceDN w:val="0"/>
              <w:adjustRightInd w:val="0"/>
              <w:spacing w:after="0"/>
              <w:jc w:val="both"/>
              <w:rPr>
                <w:rFonts w:cs="Calibri"/>
                <w:b/>
                <w:bCs/>
                <w:szCs w:val="22"/>
              </w:rPr>
            </w:pPr>
          </w:p>
        </w:tc>
        <w:tc>
          <w:tcPr>
            <w:tcW w:w="5778" w:type="dxa"/>
            <w:gridSpan w:val="2"/>
            <w:vMerge/>
          </w:tcPr>
          <w:p w:rsidR="0067772C" w:rsidRPr="008F6C0C" w:rsidRDefault="0067772C" w:rsidP="00D813D8">
            <w:pPr>
              <w:autoSpaceDE w:val="0"/>
              <w:autoSpaceDN w:val="0"/>
              <w:adjustRightInd w:val="0"/>
              <w:spacing w:after="0"/>
              <w:jc w:val="both"/>
              <w:rPr>
                <w:rFonts w:cs="Calibri"/>
                <w:b/>
                <w:bCs/>
                <w:noProof/>
                <w:szCs w:val="22"/>
              </w:rPr>
            </w:pPr>
          </w:p>
        </w:tc>
      </w:tr>
      <w:tr w:rsidR="0067772C" w:rsidRPr="008F6C0C" w:rsidTr="000F6FB4">
        <w:trPr>
          <w:trHeight w:val="323"/>
        </w:trPr>
        <w:tc>
          <w:tcPr>
            <w:tcW w:w="3798" w:type="dxa"/>
          </w:tcPr>
          <w:p w:rsidR="0067772C" w:rsidRPr="008F6C0C" w:rsidRDefault="0067772C" w:rsidP="00D813D8">
            <w:pPr>
              <w:autoSpaceDE w:val="0"/>
              <w:autoSpaceDN w:val="0"/>
              <w:adjustRightInd w:val="0"/>
              <w:spacing w:after="0"/>
              <w:jc w:val="both"/>
              <w:rPr>
                <w:rFonts w:cs="Calibri"/>
                <w:b/>
                <w:bCs/>
                <w:szCs w:val="22"/>
              </w:rPr>
            </w:pPr>
          </w:p>
        </w:tc>
        <w:tc>
          <w:tcPr>
            <w:tcW w:w="5778" w:type="dxa"/>
            <w:gridSpan w:val="2"/>
          </w:tcPr>
          <w:p w:rsidR="0067772C" w:rsidRPr="008F6C0C" w:rsidRDefault="0067772C" w:rsidP="00D813D8">
            <w:pPr>
              <w:autoSpaceDE w:val="0"/>
              <w:autoSpaceDN w:val="0"/>
              <w:adjustRightInd w:val="0"/>
              <w:spacing w:after="0"/>
              <w:jc w:val="both"/>
              <w:rPr>
                <w:rFonts w:cs="Calibri"/>
                <w:b/>
                <w:bCs/>
                <w:noProof/>
                <w:szCs w:val="22"/>
              </w:rPr>
            </w:pPr>
          </w:p>
        </w:tc>
      </w:tr>
      <w:tr w:rsidR="0067772C" w:rsidRPr="008F6C0C" w:rsidTr="000F6FB4">
        <w:trPr>
          <w:trHeight w:val="323"/>
        </w:trPr>
        <w:tc>
          <w:tcPr>
            <w:tcW w:w="3798" w:type="dxa"/>
          </w:tcPr>
          <w:p w:rsidR="0067772C" w:rsidRPr="008F6C0C" w:rsidRDefault="0067772C" w:rsidP="00D813D8">
            <w:pPr>
              <w:autoSpaceDE w:val="0"/>
              <w:autoSpaceDN w:val="0"/>
              <w:adjustRightInd w:val="0"/>
              <w:spacing w:after="0"/>
              <w:jc w:val="both"/>
              <w:rPr>
                <w:rFonts w:cs="Calibri"/>
                <w:b/>
                <w:bCs/>
                <w:szCs w:val="22"/>
              </w:rPr>
            </w:pPr>
          </w:p>
        </w:tc>
        <w:tc>
          <w:tcPr>
            <w:tcW w:w="5778" w:type="dxa"/>
            <w:gridSpan w:val="2"/>
          </w:tcPr>
          <w:p w:rsidR="0067772C" w:rsidRPr="008F6C0C" w:rsidRDefault="0067772C" w:rsidP="00D813D8">
            <w:pPr>
              <w:autoSpaceDE w:val="0"/>
              <w:autoSpaceDN w:val="0"/>
              <w:adjustRightInd w:val="0"/>
              <w:spacing w:after="0"/>
              <w:jc w:val="both"/>
              <w:rPr>
                <w:rFonts w:cs="Calibri"/>
                <w:b/>
                <w:bCs/>
                <w:noProof/>
                <w:szCs w:val="22"/>
              </w:rPr>
            </w:pPr>
          </w:p>
        </w:tc>
      </w:tr>
      <w:tr w:rsidR="0067772C" w:rsidRPr="008F6C0C" w:rsidTr="000F6FB4">
        <w:trPr>
          <w:trHeight w:val="323"/>
        </w:trPr>
        <w:tc>
          <w:tcPr>
            <w:tcW w:w="3758" w:type="dxa"/>
          </w:tcPr>
          <w:p w:rsidR="0067772C" w:rsidRPr="008F6C0C" w:rsidRDefault="0067772C" w:rsidP="00D813D8">
            <w:pPr>
              <w:autoSpaceDE w:val="0"/>
              <w:autoSpaceDN w:val="0"/>
              <w:adjustRightInd w:val="0"/>
              <w:spacing w:after="0"/>
              <w:jc w:val="right"/>
              <w:rPr>
                <w:rFonts w:cs="Calibri"/>
                <w:b/>
                <w:bCs/>
                <w:noProof/>
                <w:szCs w:val="22"/>
                <w:lang w:val="fr-FR"/>
              </w:rPr>
            </w:pPr>
            <w:r w:rsidRPr="008F6C0C">
              <w:rPr>
                <w:rFonts w:cs="Calibri"/>
                <w:b/>
                <w:bCs/>
                <w:noProof/>
                <w:szCs w:val="22"/>
                <w:lang w:val="fr-FR"/>
              </w:rPr>
              <w:t>Citation</w:t>
            </w:r>
          </w:p>
        </w:tc>
        <w:tc>
          <w:tcPr>
            <w:tcW w:w="5487" w:type="dxa"/>
            <w:gridSpan w:val="2"/>
          </w:tcPr>
          <w:p w:rsidR="0067772C" w:rsidRPr="008F6C0C" w:rsidRDefault="006F2605" w:rsidP="00D813D8">
            <w:pPr>
              <w:autoSpaceDE w:val="0"/>
              <w:autoSpaceDN w:val="0"/>
              <w:adjustRightInd w:val="0"/>
              <w:spacing w:after="0"/>
              <w:jc w:val="both"/>
              <w:rPr>
                <w:rFonts w:cs="Calibri"/>
                <w:bCs/>
                <w:noProof/>
                <w:szCs w:val="22"/>
              </w:rPr>
            </w:pPr>
            <w:r w:rsidRPr="008F6C0C">
              <w:rPr>
                <w:rFonts w:cs="Calibri"/>
                <w:szCs w:val="22"/>
              </w:rPr>
              <w:t>Rashid</w:t>
            </w:r>
            <w:r w:rsidR="0067772C" w:rsidRPr="008F6C0C">
              <w:rPr>
                <w:rFonts w:cs="Calibri"/>
                <w:szCs w:val="22"/>
                <w:cs/>
              </w:rPr>
              <w:t xml:space="preserve">, </w:t>
            </w:r>
            <w:r w:rsidRPr="008F6C0C">
              <w:rPr>
                <w:rFonts w:cs="Calibri"/>
                <w:szCs w:val="22"/>
              </w:rPr>
              <w:t>A. Z. M. M</w:t>
            </w:r>
            <w:r w:rsidR="0067772C" w:rsidRPr="008F6C0C">
              <w:rPr>
                <w:rFonts w:cs="Calibri"/>
                <w:szCs w:val="22"/>
              </w:rPr>
              <w:t>.</w:t>
            </w:r>
            <w:r w:rsidR="0067772C" w:rsidRPr="008F6C0C">
              <w:rPr>
                <w:rFonts w:cs="Calibri"/>
                <w:szCs w:val="22"/>
                <w:cs/>
              </w:rPr>
              <w:t xml:space="preserve"> </w:t>
            </w:r>
            <w:r w:rsidR="0067772C" w:rsidRPr="008F6C0C">
              <w:rPr>
                <w:rFonts w:cs="Calibri"/>
                <w:szCs w:val="22"/>
              </w:rPr>
              <w:t>2017</w:t>
            </w:r>
            <w:r w:rsidR="0067772C" w:rsidRPr="008F6C0C">
              <w:rPr>
                <w:rFonts w:cs="Calibri"/>
                <w:szCs w:val="22"/>
                <w:cs/>
              </w:rPr>
              <w:t xml:space="preserve">. </w:t>
            </w:r>
            <w:r w:rsidRPr="008F6C0C">
              <w:rPr>
                <w:rFonts w:cs="Calibri"/>
              </w:rPr>
              <w:t>Literature Review of Gender dimensions in forest use, management, governance</w:t>
            </w:r>
            <w:r w:rsidR="001D22B6" w:rsidRPr="008F6C0C">
              <w:rPr>
                <w:rFonts w:cs="Calibri"/>
              </w:rPr>
              <w:t>, land</w:t>
            </w:r>
            <w:r w:rsidRPr="008F6C0C">
              <w:rPr>
                <w:rFonts w:cs="Calibri"/>
              </w:rPr>
              <w:t xml:space="preserve"> tenure arrangements and safeguards in support of REDD+ in Bangladesh</w:t>
            </w:r>
            <w:r w:rsidR="0067772C" w:rsidRPr="008F6C0C">
              <w:rPr>
                <w:rFonts w:cs="Calibri"/>
                <w:cs/>
              </w:rPr>
              <w:t xml:space="preserve">. </w:t>
            </w:r>
            <w:r w:rsidR="0067772C" w:rsidRPr="008F6C0C">
              <w:rPr>
                <w:rFonts w:cs="Calibri"/>
              </w:rPr>
              <w:t>UN</w:t>
            </w:r>
            <w:r w:rsidR="0067772C" w:rsidRPr="008F6C0C">
              <w:rPr>
                <w:rFonts w:cs="Calibri"/>
                <w:cs/>
              </w:rPr>
              <w:t>-</w:t>
            </w:r>
            <w:r w:rsidR="0067772C" w:rsidRPr="008F6C0C">
              <w:rPr>
                <w:rFonts w:cs="Calibri"/>
              </w:rPr>
              <w:t>REDD Bangladesh National Program, Bangladesh Forest Department</w:t>
            </w:r>
            <w:r w:rsidR="0067772C" w:rsidRPr="008F6C0C">
              <w:rPr>
                <w:rFonts w:cs="Calibri"/>
                <w:cs/>
              </w:rPr>
              <w:t xml:space="preserve">. </w:t>
            </w:r>
            <w:r w:rsidR="0067772C" w:rsidRPr="008F6C0C">
              <w:rPr>
                <w:rFonts w:cs="Calibri"/>
              </w:rPr>
              <w:t>Technical Report</w:t>
            </w:r>
            <w:r w:rsidR="00C50A1C" w:rsidRPr="008F6C0C">
              <w:rPr>
                <w:rFonts w:cs="Calibri"/>
              </w:rPr>
              <w:t>, 12</w:t>
            </w:r>
            <w:r w:rsidRPr="008F6C0C">
              <w:rPr>
                <w:rFonts w:cs="Calibri"/>
              </w:rPr>
              <w:t xml:space="preserve"> December</w:t>
            </w:r>
            <w:r w:rsidR="0067772C" w:rsidRPr="008F6C0C">
              <w:rPr>
                <w:rFonts w:cs="Calibri"/>
              </w:rPr>
              <w:t xml:space="preserve"> 2017, Dhaka</w:t>
            </w:r>
            <w:r w:rsidR="0067772C" w:rsidRPr="008F6C0C">
              <w:rPr>
                <w:rFonts w:cs="Calibri"/>
                <w:cs/>
              </w:rPr>
              <w:t>.</w:t>
            </w:r>
            <w:r w:rsidR="0067772C" w:rsidRPr="008F6C0C">
              <w:rPr>
                <w:rFonts w:cs="Calibri"/>
                <w:bCs/>
                <w:noProof/>
                <w:szCs w:val="22"/>
                <w:cs/>
              </w:rPr>
              <w:t xml:space="preserve"> </w:t>
            </w:r>
          </w:p>
        </w:tc>
      </w:tr>
      <w:tr w:rsidR="0067772C" w:rsidRPr="008F6C0C" w:rsidTr="000F6FB4">
        <w:trPr>
          <w:trHeight w:val="323"/>
        </w:trPr>
        <w:tc>
          <w:tcPr>
            <w:tcW w:w="3758" w:type="dxa"/>
          </w:tcPr>
          <w:p w:rsidR="0067772C" w:rsidRPr="008F6C0C" w:rsidRDefault="0067772C" w:rsidP="00D813D8">
            <w:pPr>
              <w:autoSpaceDE w:val="0"/>
              <w:autoSpaceDN w:val="0"/>
              <w:adjustRightInd w:val="0"/>
              <w:spacing w:after="0"/>
              <w:jc w:val="both"/>
              <w:rPr>
                <w:rFonts w:cs="Calibri"/>
                <w:b/>
                <w:bCs/>
                <w:szCs w:val="22"/>
              </w:rPr>
            </w:pPr>
          </w:p>
        </w:tc>
        <w:tc>
          <w:tcPr>
            <w:tcW w:w="5487" w:type="dxa"/>
            <w:gridSpan w:val="2"/>
          </w:tcPr>
          <w:p w:rsidR="0067772C" w:rsidRPr="008F6C0C" w:rsidRDefault="0067772C" w:rsidP="00D813D8">
            <w:pPr>
              <w:autoSpaceDE w:val="0"/>
              <w:autoSpaceDN w:val="0"/>
              <w:adjustRightInd w:val="0"/>
              <w:spacing w:after="0"/>
              <w:jc w:val="both"/>
              <w:rPr>
                <w:rFonts w:cs="Calibri"/>
                <w:b/>
                <w:bCs/>
                <w:noProof/>
                <w:szCs w:val="22"/>
              </w:rPr>
            </w:pPr>
          </w:p>
        </w:tc>
      </w:tr>
      <w:tr w:rsidR="0067772C" w:rsidRPr="008F6C0C" w:rsidTr="000F6FB4">
        <w:trPr>
          <w:trHeight w:val="323"/>
        </w:trPr>
        <w:tc>
          <w:tcPr>
            <w:tcW w:w="3758" w:type="dxa"/>
          </w:tcPr>
          <w:p w:rsidR="0067772C" w:rsidRPr="008F6C0C" w:rsidRDefault="0067772C" w:rsidP="00D813D8">
            <w:pPr>
              <w:autoSpaceDE w:val="0"/>
              <w:autoSpaceDN w:val="0"/>
              <w:adjustRightInd w:val="0"/>
              <w:spacing w:after="0"/>
              <w:jc w:val="both"/>
              <w:rPr>
                <w:rFonts w:cs="Calibri"/>
                <w:b/>
                <w:bCs/>
                <w:szCs w:val="22"/>
              </w:rPr>
            </w:pPr>
          </w:p>
        </w:tc>
        <w:tc>
          <w:tcPr>
            <w:tcW w:w="5487" w:type="dxa"/>
            <w:gridSpan w:val="2"/>
          </w:tcPr>
          <w:p w:rsidR="0067772C" w:rsidRPr="008F6C0C" w:rsidRDefault="0067772C" w:rsidP="00D813D8">
            <w:pPr>
              <w:autoSpaceDE w:val="0"/>
              <w:autoSpaceDN w:val="0"/>
              <w:adjustRightInd w:val="0"/>
              <w:spacing w:after="0"/>
              <w:jc w:val="both"/>
              <w:rPr>
                <w:rFonts w:cs="Calibri"/>
                <w:b/>
                <w:bCs/>
                <w:noProof/>
                <w:szCs w:val="22"/>
              </w:rPr>
            </w:pPr>
          </w:p>
        </w:tc>
      </w:tr>
      <w:tr w:rsidR="0067772C" w:rsidRPr="008F6C0C" w:rsidTr="000F6FB4">
        <w:trPr>
          <w:trHeight w:val="323"/>
        </w:trPr>
        <w:tc>
          <w:tcPr>
            <w:tcW w:w="3758" w:type="dxa"/>
          </w:tcPr>
          <w:p w:rsidR="00114B3C" w:rsidRDefault="00114B3C" w:rsidP="00D813D8">
            <w:pPr>
              <w:autoSpaceDE w:val="0"/>
              <w:autoSpaceDN w:val="0"/>
              <w:adjustRightInd w:val="0"/>
              <w:spacing w:after="0"/>
              <w:jc w:val="right"/>
              <w:rPr>
                <w:rFonts w:cs="Calibri"/>
                <w:b/>
                <w:bCs/>
                <w:noProof/>
                <w:szCs w:val="22"/>
                <w:lang w:val="fr-FR"/>
              </w:rPr>
            </w:pPr>
          </w:p>
          <w:p w:rsidR="0067772C" w:rsidRPr="008F6C0C" w:rsidRDefault="0067772C" w:rsidP="00D813D8">
            <w:pPr>
              <w:autoSpaceDE w:val="0"/>
              <w:autoSpaceDN w:val="0"/>
              <w:adjustRightInd w:val="0"/>
              <w:spacing w:after="0"/>
              <w:jc w:val="right"/>
              <w:rPr>
                <w:rFonts w:cs="Calibri"/>
                <w:b/>
                <w:bCs/>
                <w:szCs w:val="22"/>
              </w:rPr>
            </w:pPr>
            <w:r w:rsidRPr="008F6C0C">
              <w:rPr>
                <w:rFonts w:cs="Calibri"/>
                <w:b/>
                <w:bCs/>
                <w:noProof/>
                <w:szCs w:val="22"/>
                <w:lang w:val="fr-FR"/>
              </w:rPr>
              <w:t>Disclaimer</w:t>
            </w:r>
          </w:p>
        </w:tc>
        <w:tc>
          <w:tcPr>
            <w:tcW w:w="5487" w:type="dxa"/>
            <w:gridSpan w:val="2"/>
            <w:vMerge w:val="restart"/>
          </w:tcPr>
          <w:p w:rsidR="0067772C" w:rsidRPr="00EA3242" w:rsidRDefault="0067772C" w:rsidP="00EA3242">
            <w:pPr>
              <w:spacing w:after="0"/>
              <w:jc w:val="both"/>
            </w:pPr>
            <w:r w:rsidRPr="00EA3242">
              <w:t>The materials</w:t>
            </w:r>
            <w:r w:rsidRPr="00EA3242">
              <w:rPr>
                <w:cs/>
                <w:lang w:bidi="bn-BD"/>
              </w:rPr>
              <w:t>/</w:t>
            </w:r>
            <w:r w:rsidRPr="00EA3242">
              <w:t>information presented on this meeting</w:t>
            </w:r>
            <w:r w:rsidRPr="00EA3242">
              <w:rPr>
                <w:cs/>
                <w:lang w:bidi="bn-BD"/>
              </w:rPr>
              <w:t>/</w:t>
            </w:r>
            <w:r w:rsidRPr="00EA3242">
              <w:t>event report</w:t>
            </w:r>
            <w:r w:rsidRPr="00EA3242">
              <w:rPr>
                <w:cs/>
                <w:lang w:bidi="bn-BD"/>
              </w:rPr>
              <w:t>/</w:t>
            </w:r>
            <w:r w:rsidRPr="00EA3242">
              <w:t>publication is the presenters</w:t>
            </w:r>
            <w:r w:rsidRPr="00EA3242">
              <w:rPr>
                <w:cs/>
                <w:lang w:bidi="bn-BD"/>
              </w:rPr>
              <w:t>’/</w:t>
            </w:r>
            <w:r w:rsidRPr="00EA3242">
              <w:t>participants</w:t>
            </w:r>
            <w:r w:rsidRPr="00EA3242">
              <w:rPr>
                <w:cs/>
                <w:lang w:bidi="bn-BD"/>
              </w:rPr>
              <w:t xml:space="preserve">’. </w:t>
            </w:r>
            <w:r w:rsidRPr="00EA3242">
              <w:t>UN</w:t>
            </w:r>
            <w:r w:rsidRPr="00EA3242">
              <w:rPr>
                <w:cs/>
                <w:lang w:bidi="bn-BD"/>
              </w:rPr>
              <w:t>-</w:t>
            </w:r>
            <w:r w:rsidRPr="00EA3242">
              <w:t>REDD Bangladesh National Program makes no statements, representations, or warranties about the presented opinions and this do not necessarily represent those of the United Nations, UN</w:t>
            </w:r>
            <w:r w:rsidRPr="00EA3242">
              <w:rPr>
                <w:cs/>
                <w:lang w:bidi="bn-BD"/>
              </w:rPr>
              <w:t>-</w:t>
            </w:r>
            <w:r w:rsidRPr="00EA3242">
              <w:t>REDD program</w:t>
            </w:r>
            <w:r w:rsidRPr="00EA3242">
              <w:rPr>
                <w:cs/>
                <w:lang w:bidi="bn-BD"/>
              </w:rPr>
              <w:t>’</w:t>
            </w:r>
            <w:r w:rsidRPr="00EA3242">
              <w:t>s implementing agencies including UNDP, FAO and UNEP or its Member States</w:t>
            </w:r>
            <w:r w:rsidRPr="00EA3242">
              <w:rPr>
                <w:cs/>
                <w:lang w:bidi="bn-BD"/>
              </w:rPr>
              <w:t>.</w:t>
            </w:r>
          </w:p>
        </w:tc>
      </w:tr>
      <w:tr w:rsidR="0067772C" w:rsidRPr="008F6C0C" w:rsidTr="000F6FB4">
        <w:trPr>
          <w:trHeight w:val="323"/>
        </w:trPr>
        <w:tc>
          <w:tcPr>
            <w:tcW w:w="3758" w:type="dxa"/>
          </w:tcPr>
          <w:p w:rsidR="0067772C" w:rsidRPr="008F6C0C" w:rsidRDefault="0067772C" w:rsidP="00D813D8">
            <w:pPr>
              <w:autoSpaceDE w:val="0"/>
              <w:autoSpaceDN w:val="0"/>
              <w:adjustRightInd w:val="0"/>
              <w:spacing w:after="0"/>
              <w:jc w:val="both"/>
              <w:rPr>
                <w:rFonts w:cs="Calibri"/>
                <w:b/>
                <w:bCs/>
                <w:szCs w:val="22"/>
              </w:rPr>
            </w:pPr>
          </w:p>
        </w:tc>
        <w:tc>
          <w:tcPr>
            <w:tcW w:w="5487" w:type="dxa"/>
            <w:gridSpan w:val="2"/>
            <w:vMerge/>
          </w:tcPr>
          <w:p w:rsidR="0067772C" w:rsidRPr="008F6C0C" w:rsidRDefault="0067772C" w:rsidP="00D813D8">
            <w:pPr>
              <w:autoSpaceDE w:val="0"/>
              <w:autoSpaceDN w:val="0"/>
              <w:adjustRightInd w:val="0"/>
              <w:spacing w:after="0"/>
              <w:jc w:val="both"/>
              <w:rPr>
                <w:rFonts w:cs="Calibri"/>
                <w:b/>
                <w:bCs/>
                <w:noProof/>
                <w:szCs w:val="22"/>
              </w:rPr>
            </w:pPr>
          </w:p>
        </w:tc>
      </w:tr>
      <w:tr w:rsidR="0067772C" w:rsidRPr="008F6C0C" w:rsidTr="000F6FB4">
        <w:trPr>
          <w:trHeight w:val="323"/>
        </w:trPr>
        <w:tc>
          <w:tcPr>
            <w:tcW w:w="3758" w:type="dxa"/>
          </w:tcPr>
          <w:p w:rsidR="0067772C" w:rsidRPr="008F6C0C" w:rsidRDefault="0067772C" w:rsidP="00D813D8">
            <w:pPr>
              <w:autoSpaceDE w:val="0"/>
              <w:autoSpaceDN w:val="0"/>
              <w:adjustRightInd w:val="0"/>
              <w:spacing w:after="0"/>
              <w:jc w:val="both"/>
              <w:rPr>
                <w:rFonts w:cs="Calibri"/>
                <w:b/>
                <w:bCs/>
                <w:szCs w:val="22"/>
              </w:rPr>
            </w:pPr>
          </w:p>
        </w:tc>
        <w:tc>
          <w:tcPr>
            <w:tcW w:w="5487" w:type="dxa"/>
            <w:gridSpan w:val="2"/>
            <w:vMerge/>
          </w:tcPr>
          <w:p w:rsidR="0067772C" w:rsidRPr="008F6C0C" w:rsidRDefault="0067772C" w:rsidP="00D813D8">
            <w:pPr>
              <w:autoSpaceDE w:val="0"/>
              <w:autoSpaceDN w:val="0"/>
              <w:adjustRightInd w:val="0"/>
              <w:spacing w:after="0"/>
              <w:jc w:val="both"/>
              <w:rPr>
                <w:rFonts w:cs="Calibri"/>
                <w:b/>
                <w:bCs/>
                <w:noProof/>
                <w:szCs w:val="22"/>
              </w:rPr>
            </w:pPr>
          </w:p>
        </w:tc>
      </w:tr>
      <w:tr w:rsidR="0067772C" w:rsidRPr="008F6C0C" w:rsidTr="000F6FB4">
        <w:trPr>
          <w:trHeight w:val="323"/>
        </w:trPr>
        <w:tc>
          <w:tcPr>
            <w:tcW w:w="3758" w:type="dxa"/>
          </w:tcPr>
          <w:p w:rsidR="0067772C" w:rsidRPr="008F6C0C" w:rsidRDefault="0067772C" w:rsidP="00D813D8">
            <w:pPr>
              <w:autoSpaceDE w:val="0"/>
              <w:autoSpaceDN w:val="0"/>
              <w:adjustRightInd w:val="0"/>
              <w:spacing w:after="0"/>
              <w:jc w:val="both"/>
              <w:rPr>
                <w:rFonts w:cs="Calibri"/>
                <w:b/>
                <w:bCs/>
                <w:szCs w:val="22"/>
              </w:rPr>
            </w:pPr>
          </w:p>
        </w:tc>
        <w:tc>
          <w:tcPr>
            <w:tcW w:w="5487" w:type="dxa"/>
            <w:gridSpan w:val="2"/>
            <w:vMerge/>
          </w:tcPr>
          <w:p w:rsidR="0067772C" w:rsidRPr="008F6C0C" w:rsidRDefault="0067772C" w:rsidP="00D813D8">
            <w:pPr>
              <w:autoSpaceDE w:val="0"/>
              <w:autoSpaceDN w:val="0"/>
              <w:adjustRightInd w:val="0"/>
              <w:spacing w:after="0"/>
              <w:jc w:val="both"/>
              <w:rPr>
                <w:rFonts w:cs="Calibri"/>
                <w:b/>
                <w:bCs/>
                <w:noProof/>
                <w:szCs w:val="22"/>
              </w:rPr>
            </w:pPr>
          </w:p>
        </w:tc>
      </w:tr>
      <w:tr w:rsidR="0067772C" w:rsidRPr="008F6C0C" w:rsidTr="000F6FB4">
        <w:trPr>
          <w:trHeight w:val="323"/>
        </w:trPr>
        <w:tc>
          <w:tcPr>
            <w:tcW w:w="3758" w:type="dxa"/>
          </w:tcPr>
          <w:p w:rsidR="0067772C" w:rsidRPr="008F6C0C" w:rsidRDefault="0067772C" w:rsidP="00D813D8">
            <w:pPr>
              <w:autoSpaceDE w:val="0"/>
              <w:autoSpaceDN w:val="0"/>
              <w:adjustRightInd w:val="0"/>
              <w:spacing w:after="0"/>
              <w:jc w:val="both"/>
              <w:rPr>
                <w:rFonts w:cs="Calibri"/>
                <w:b/>
                <w:bCs/>
                <w:szCs w:val="22"/>
              </w:rPr>
            </w:pPr>
          </w:p>
        </w:tc>
        <w:tc>
          <w:tcPr>
            <w:tcW w:w="5487" w:type="dxa"/>
            <w:gridSpan w:val="2"/>
            <w:vMerge/>
          </w:tcPr>
          <w:p w:rsidR="0067772C" w:rsidRPr="008F6C0C" w:rsidRDefault="0067772C" w:rsidP="00D813D8">
            <w:pPr>
              <w:autoSpaceDE w:val="0"/>
              <w:autoSpaceDN w:val="0"/>
              <w:adjustRightInd w:val="0"/>
              <w:spacing w:after="0"/>
              <w:jc w:val="both"/>
              <w:rPr>
                <w:rFonts w:cs="Calibri"/>
                <w:b/>
                <w:bCs/>
                <w:noProof/>
                <w:szCs w:val="22"/>
              </w:rPr>
            </w:pPr>
          </w:p>
        </w:tc>
      </w:tr>
      <w:tr w:rsidR="0067772C" w:rsidRPr="008F6C0C" w:rsidTr="000F6FB4">
        <w:trPr>
          <w:trHeight w:val="323"/>
        </w:trPr>
        <w:tc>
          <w:tcPr>
            <w:tcW w:w="3758" w:type="dxa"/>
          </w:tcPr>
          <w:p w:rsidR="0067772C" w:rsidRPr="008F6C0C" w:rsidRDefault="0067772C" w:rsidP="00D813D8">
            <w:pPr>
              <w:autoSpaceDE w:val="0"/>
              <w:autoSpaceDN w:val="0"/>
              <w:adjustRightInd w:val="0"/>
              <w:spacing w:after="0"/>
              <w:jc w:val="both"/>
              <w:rPr>
                <w:rFonts w:cs="Calibri"/>
                <w:b/>
                <w:bCs/>
                <w:szCs w:val="22"/>
              </w:rPr>
            </w:pPr>
          </w:p>
        </w:tc>
        <w:tc>
          <w:tcPr>
            <w:tcW w:w="5487" w:type="dxa"/>
            <w:gridSpan w:val="2"/>
            <w:vMerge/>
          </w:tcPr>
          <w:p w:rsidR="0067772C" w:rsidRPr="008F6C0C" w:rsidRDefault="0067772C" w:rsidP="00D813D8">
            <w:pPr>
              <w:autoSpaceDE w:val="0"/>
              <w:autoSpaceDN w:val="0"/>
              <w:adjustRightInd w:val="0"/>
              <w:spacing w:after="0"/>
              <w:jc w:val="both"/>
              <w:rPr>
                <w:rFonts w:cs="Calibri"/>
                <w:b/>
                <w:bCs/>
                <w:noProof/>
                <w:szCs w:val="22"/>
              </w:rPr>
            </w:pPr>
          </w:p>
        </w:tc>
      </w:tr>
      <w:tr w:rsidR="0067772C" w:rsidRPr="008F6C0C" w:rsidTr="000F6FB4">
        <w:trPr>
          <w:trHeight w:val="323"/>
        </w:trPr>
        <w:tc>
          <w:tcPr>
            <w:tcW w:w="3758" w:type="dxa"/>
          </w:tcPr>
          <w:p w:rsidR="0067772C" w:rsidRPr="008F6C0C" w:rsidRDefault="0067772C" w:rsidP="00D813D8">
            <w:pPr>
              <w:autoSpaceDE w:val="0"/>
              <w:autoSpaceDN w:val="0"/>
              <w:adjustRightInd w:val="0"/>
              <w:spacing w:after="0"/>
              <w:jc w:val="both"/>
              <w:rPr>
                <w:rFonts w:cs="Calibri"/>
                <w:b/>
                <w:bCs/>
                <w:szCs w:val="22"/>
              </w:rPr>
            </w:pPr>
          </w:p>
        </w:tc>
        <w:tc>
          <w:tcPr>
            <w:tcW w:w="5487" w:type="dxa"/>
            <w:gridSpan w:val="2"/>
            <w:vMerge/>
          </w:tcPr>
          <w:p w:rsidR="0067772C" w:rsidRPr="008F6C0C" w:rsidRDefault="0067772C" w:rsidP="00D813D8">
            <w:pPr>
              <w:autoSpaceDE w:val="0"/>
              <w:autoSpaceDN w:val="0"/>
              <w:adjustRightInd w:val="0"/>
              <w:spacing w:after="0"/>
              <w:jc w:val="both"/>
              <w:rPr>
                <w:rFonts w:cs="Calibri"/>
                <w:b/>
                <w:bCs/>
                <w:noProof/>
                <w:szCs w:val="22"/>
              </w:rPr>
            </w:pPr>
          </w:p>
        </w:tc>
      </w:tr>
      <w:tr w:rsidR="0067772C" w:rsidRPr="008F6C0C" w:rsidTr="000F6FB4">
        <w:trPr>
          <w:trHeight w:val="170"/>
        </w:trPr>
        <w:tc>
          <w:tcPr>
            <w:tcW w:w="3758" w:type="dxa"/>
          </w:tcPr>
          <w:p w:rsidR="0067772C" w:rsidRPr="008F6C0C" w:rsidRDefault="0067772C" w:rsidP="00D813D8">
            <w:pPr>
              <w:autoSpaceDE w:val="0"/>
              <w:autoSpaceDN w:val="0"/>
              <w:adjustRightInd w:val="0"/>
              <w:spacing w:after="0"/>
              <w:jc w:val="both"/>
              <w:rPr>
                <w:rFonts w:cs="Calibri"/>
                <w:b/>
                <w:bCs/>
                <w:szCs w:val="22"/>
              </w:rPr>
            </w:pPr>
          </w:p>
        </w:tc>
        <w:tc>
          <w:tcPr>
            <w:tcW w:w="5487" w:type="dxa"/>
            <w:gridSpan w:val="2"/>
            <w:vMerge/>
          </w:tcPr>
          <w:p w:rsidR="0067772C" w:rsidRPr="008F6C0C" w:rsidRDefault="0067772C" w:rsidP="00D813D8">
            <w:pPr>
              <w:autoSpaceDE w:val="0"/>
              <w:autoSpaceDN w:val="0"/>
              <w:adjustRightInd w:val="0"/>
              <w:spacing w:after="0"/>
              <w:jc w:val="both"/>
              <w:rPr>
                <w:rFonts w:cs="Calibri"/>
                <w:b/>
                <w:bCs/>
                <w:noProof/>
                <w:szCs w:val="22"/>
              </w:rPr>
            </w:pPr>
          </w:p>
        </w:tc>
      </w:tr>
      <w:tr w:rsidR="0067772C" w:rsidRPr="008F6C0C" w:rsidTr="000F6FB4">
        <w:trPr>
          <w:trHeight w:val="323"/>
        </w:trPr>
        <w:tc>
          <w:tcPr>
            <w:tcW w:w="3758" w:type="dxa"/>
          </w:tcPr>
          <w:p w:rsidR="0067772C" w:rsidRPr="008F6C0C" w:rsidRDefault="0067772C" w:rsidP="00D813D8">
            <w:pPr>
              <w:autoSpaceDE w:val="0"/>
              <w:autoSpaceDN w:val="0"/>
              <w:adjustRightInd w:val="0"/>
              <w:spacing w:after="0"/>
              <w:jc w:val="both"/>
              <w:rPr>
                <w:rFonts w:cs="Calibri"/>
                <w:b/>
                <w:bCs/>
                <w:szCs w:val="22"/>
              </w:rPr>
            </w:pPr>
          </w:p>
        </w:tc>
        <w:tc>
          <w:tcPr>
            <w:tcW w:w="5487" w:type="dxa"/>
            <w:gridSpan w:val="2"/>
          </w:tcPr>
          <w:p w:rsidR="0067772C" w:rsidRPr="008F6C0C" w:rsidRDefault="0067772C" w:rsidP="00D813D8">
            <w:pPr>
              <w:autoSpaceDE w:val="0"/>
              <w:autoSpaceDN w:val="0"/>
              <w:adjustRightInd w:val="0"/>
              <w:spacing w:after="0"/>
              <w:jc w:val="both"/>
              <w:rPr>
                <w:rFonts w:cs="Calibri"/>
                <w:b/>
                <w:bCs/>
                <w:noProof/>
                <w:szCs w:val="22"/>
              </w:rPr>
            </w:pPr>
          </w:p>
        </w:tc>
      </w:tr>
      <w:tr w:rsidR="0067772C" w:rsidRPr="008F6C0C" w:rsidTr="000F6FB4">
        <w:trPr>
          <w:trHeight w:val="323"/>
        </w:trPr>
        <w:tc>
          <w:tcPr>
            <w:tcW w:w="3758" w:type="dxa"/>
          </w:tcPr>
          <w:p w:rsidR="0067772C" w:rsidRPr="008F6C0C" w:rsidRDefault="0067772C" w:rsidP="00D813D8">
            <w:pPr>
              <w:autoSpaceDE w:val="0"/>
              <w:autoSpaceDN w:val="0"/>
              <w:adjustRightInd w:val="0"/>
              <w:spacing w:after="0"/>
              <w:jc w:val="both"/>
              <w:rPr>
                <w:rFonts w:cs="Calibri"/>
                <w:b/>
                <w:bCs/>
                <w:szCs w:val="22"/>
              </w:rPr>
            </w:pPr>
          </w:p>
        </w:tc>
        <w:tc>
          <w:tcPr>
            <w:tcW w:w="5487" w:type="dxa"/>
            <w:gridSpan w:val="2"/>
          </w:tcPr>
          <w:p w:rsidR="0067772C" w:rsidRPr="008F6C0C" w:rsidRDefault="0067772C" w:rsidP="00D813D8">
            <w:pPr>
              <w:autoSpaceDE w:val="0"/>
              <w:autoSpaceDN w:val="0"/>
              <w:adjustRightInd w:val="0"/>
              <w:spacing w:after="0"/>
              <w:jc w:val="both"/>
              <w:rPr>
                <w:rFonts w:cs="Calibri"/>
                <w:b/>
                <w:bCs/>
                <w:noProof/>
                <w:szCs w:val="22"/>
              </w:rPr>
            </w:pPr>
          </w:p>
        </w:tc>
      </w:tr>
      <w:tr w:rsidR="0067772C" w:rsidRPr="008F6C0C" w:rsidTr="000F6FB4">
        <w:trPr>
          <w:trHeight w:val="323"/>
        </w:trPr>
        <w:tc>
          <w:tcPr>
            <w:tcW w:w="3758" w:type="dxa"/>
          </w:tcPr>
          <w:p w:rsidR="0067772C" w:rsidRPr="008F6C0C" w:rsidRDefault="0067772C" w:rsidP="00D813D8">
            <w:pPr>
              <w:autoSpaceDE w:val="0"/>
              <w:autoSpaceDN w:val="0"/>
              <w:adjustRightInd w:val="0"/>
              <w:spacing w:after="0"/>
              <w:jc w:val="both"/>
              <w:rPr>
                <w:rFonts w:cs="Calibri"/>
                <w:b/>
                <w:bCs/>
                <w:szCs w:val="22"/>
              </w:rPr>
            </w:pPr>
          </w:p>
        </w:tc>
        <w:tc>
          <w:tcPr>
            <w:tcW w:w="5487" w:type="dxa"/>
            <w:gridSpan w:val="2"/>
          </w:tcPr>
          <w:p w:rsidR="0067772C" w:rsidRPr="008F6C0C" w:rsidRDefault="0067772C" w:rsidP="00C80506">
            <w:pPr>
              <w:autoSpaceDE w:val="0"/>
              <w:autoSpaceDN w:val="0"/>
              <w:adjustRightInd w:val="0"/>
              <w:spacing w:after="0"/>
              <w:jc w:val="both"/>
              <w:rPr>
                <w:rFonts w:cs="Calibri"/>
                <w:b/>
                <w:bCs/>
                <w:noProof/>
                <w:szCs w:val="22"/>
              </w:rPr>
            </w:pPr>
          </w:p>
        </w:tc>
      </w:tr>
    </w:tbl>
    <w:p w:rsidR="00DB19C8" w:rsidRDefault="00DB19C8">
      <w:pPr>
        <w:pStyle w:val="TOCHeading"/>
      </w:pPr>
    </w:p>
    <w:p w:rsidR="006C2E72" w:rsidRDefault="006C2E72" w:rsidP="00072E08">
      <w:pPr>
        <w:spacing w:after="0"/>
        <w:rPr>
          <w:rFonts w:ascii="Times New Roman" w:hAnsi="Times New Roman"/>
          <w:b/>
          <w:sz w:val="28"/>
          <w:szCs w:val="28"/>
        </w:rPr>
      </w:pPr>
    </w:p>
    <w:sdt>
      <w:sdtPr>
        <w:rPr>
          <w:rFonts w:ascii="Calibri" w:hAnsi="Calibri"/>
          <w:b w:val="0"/>
          <w:bCs w:val="0"/>
          <w:color w:val="auto"/>
          <w:sz w:val="24"/>
          <w:szCs w:val="24"/>
        </w:rPr>
        <w:id w:val="-1286654399"/>
        <w:docPartObj>
          <w:docPartGallery w:val="Table of Contents"/>
          <w:docPartUnique/>
        </w:docPartObj>
      </w:sdtPr>
      <w:sdtEndPr>
        <w:rPr>
          <w:noProof/>
        </w:rPr>
      </w:sdtEndPr>
      <w:sdtContent>
        <w:p w:rsidR="00173781" w:rsidRDefault="00173781">
          <w:pPr>
            <w:pStyle w:val="TOCHeading"/>
          </w:pPr>
          <w:r>
            <w:t>Contents</w:t>
          </w:r>
        </w:p>
        <w:p w:rsidR="00833507" w:rsidRDefault="00173781">
          <w:pPr>
            <w:pStyle w:val="TOC1"/>
            <w:tabs>
              <w:tab w:val="left" w:pos="660"/>
              <w:tab w:val="right" w:leader="dot" w:pos="9019"/>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15223788" w:history="1">
            <w:r w:rsidR="00833507" w:rsidRPr="0047683D">
              <w:rPr>
                <w:rStyle w:val="Hyperlink"/>
                <w:noProof/>
              </w:rPr>
              <w:t xml:space="preserve">1. </w:t>
            </w:r>
            <w:r w:rsidR="00833507">
              <w:rPr>
                <w:rFonts w:asciiTheme="minorHAnsi" w:eastAsiaTheme="minorEastAsia" w:hAnsiTheme="minorHAnsi" w:cstheme="minorBidi"/>
                <w:noProof/>
                <w:sz w:val="22"/>
                <w:szCs w:val="22"/>
              </w:rPr>
              <w:tab/>
            </w:r>
            <w:r w:rsidR="00833507" w:rsidRPr="0047683D">
              <w:rPr>
                <w:rStyle w:val="Hyperlink"/>
                <w:noProof/>
              </w:rPr>
              <w:t>UN-REDD Bangladesh National Programme</w:t>
            </w:r>
            <w:r w:rsidR="00833507">
              <w:rPr>
                <w:noProof/>
                <w:webHidden/>
              </w:rPr>
              <w:tab/>
            </w:r>
            <w:r w:rsidR="00833507">
              <w:rPr>
                <w:noProof/>
                <w:webHidden/>
              </w:rPr>
              <w:fldChar w:fldCharType="begin"/>
            </w:r>
            <w:r w:rsidR="00833507">
              <w:rPr>
                <w:noProof/>
                <w:webHidden/>
              </w:rPr>
              <w:instrText xml:space="preserve"> PAGEREF _Toc515223788 \h </w:instrText>
            </w:r>
            <w:r w:rsidR="00833507">
              <w:rPr>
                <w:noProof/>
                <w:webHidden/>
              </w:rPr>
            </w:r>
            <w:r w:rsidR="00833507">
              <w:rPr>
                <w:noProof/>
                <w:webHidden/>
              </w:rPr>
              <w:fldChar w:fldCharType="separate"/>
            </w:r>
            <w:r w:rsidR="00833507">
              <w:rPr>
                <w:noProof/>
                <w:webHidden/>
              </w:rPr>
              <w:t>4</w:t>
            </w:r>
            <w:r w:rsidR="00833507">
              <w:rPr>
                <w:noProof/>
                <w:webHidden/>
              </w:rPr>
              <w:fldChar w:fldCharType="end"/>
            </w:r>
          </w:hyperlink>
        </w:p>
        <w:p w:rsidR="00833507" w:rsidRDefault="00C264EE">
          <w:pPr>
            <w:pStyle w:val="TOC2"/>
            <w:tabs>
              <w:tab w:val="left" w:pos="880"/>
              <w:tab w:val="right" w:leader="dot" w:pos="9019"/>
            </w:tabs>
            <w:rPr>
              <w:rFonts w:asciiTheme="minorHAnsi" w:eastAsiaTheme="minorEastAsia" w:hAnsiTheme="minorHAnsi" w:cstheme="minorBidi"/>
              <w:noProof/>
              <w:sz w:val="22"/>
              <w:szCs w:val="22"/>
            </w:rPr>
          </w:pPr>
          <w:hyperlink w:anchor="_Toc515223789" w:history="1">
            <w:r w:rsidR="00833507" w:rsidRPr="0047683D">
              <w:rPr>
                <w:rStyle w:val="Hyperlink"/>
                <w:noProof/>
              </w:rPr>
              <w:t>1.1</w:t>
            </w:r>
            <w:r w:rsidR="00833507">
              <w:rPr>
                <w:rFonts w:asciiTheme="minorHAnsi" w:eastAsiaTheme="minorEastAsia" w:hAnsiTheme="minorHAnsi" w:cstheme="minorBidi"/>
                <w:noProof/>
                <w:sz w:val="22"/>
                <w:szCs w:val="22"/>
              </w:rPr>
              <w:tab/>
            </w:r>
            <w:r w:rsidR="00833507" w:rsidRPr="0047683D">
              <w:rPr>
                <w:rStyle w:val="Hyperlink"/>
                <w:noProof/>
              </w:rPr>
              <w:t xml:space="preserve"> Background</w:t>
            </w:r>
            <w:r w:rsidR="00833507">
              <w:rPr>
                <w:noProof/>
                <w:webHidden/>
              </w:rPr>
              <w:tab/>
            </w:r>
            <w:r w:rsidR="00833507">
              <w:rPr>
                <w:noProof/>
                <w:webHidden/>
              </w:rPr>
              <w:fldChar w:fldCharType="begin"/>
            </w:r>
            <w:r w:rsidR="00833507">
              <w:rPr>
                <w:noProof/>
                <w:webHidden/>
              </w:rPr>
              <w:instrText xml:space="preserve"> PAGEREF _Toc515223789 \h </w:instrText>
            </w:r>
            <w:r w:rsidR="00833507">
              <w:rPr>
                <w:noProof/>
                <w:webHidden/>
              </w:rPr>
            </w:r>
            <w:r w:rsidR="00833507">
              <w:rPr>
                <w:noProof/>
                <w:webHidden/>
              </w:rPr>
              <w:fldChar w:fldCharType="separate"/>
            </w:r>
            <w:r w:rsidR="00833507">
              <w:rPr>
                <w:noProof/>
                <w:webHidden/>
              </w:rPr>
              <w:t>4</w:t>
            </w:r>
            <w:r w:rsidR="00833507">
              <w:rPr>
                <w:noProof/>
                <w:webHidden/>
              </w:rPr>
              <w:fldChar w:fldCharType="end"/>
            </w:r>
          </w:hyperlink>
        </w:p>
        <w:p w:rsidR="00833507" w:rsidRDefault="00C264EE">
          <w:pPr>
            <w:pStyle w:val="TOC2"/>
            <w:tabs>
              <w:tab w:val="left" w:pos="880"/>
              <w:tab w:val="right" w:leader="dot" w:pos="9019"/>
            </w:tabs>
            <w:rPr>
              <w:rFonts w:asciiTheme="minorHAnsi" w:eastAsiaTheme="minorEastAsia" w:hAnsiTheme="minorHAnsi" w:cstheme="minorBidi"/>
              <w:noProof/>
              <w:sz w:val="22"/>
              <w:szCs w:val="22"/>
            </w:rPr>
          </w:pPr>
          <w:hyperlink w:anchor="_Toc515223790" w:history="1">
            <w:r w:rsidR="00833507" w:rsidRPr="0047683D">
              <w:rPr>
                <w:rStyle w:val="Hyperlink"/>
                <w:noProof/>
              </w:rPr>
              <w:t xml:space="preserve">1.2 </w:t>
            </w:r>
            <w:r w:rsidR="00833507">
              <w:rPr>
                <w:rFonts w:asciiTheme="minorHAnsi" w:eastAsiaTheme="minorEastAsia" w:hAnsiTheme="minorHAnsi" w:cstheme="minorBidi"/>
                <w:noProof/>
                <w:sz w:val="22"/>
                <w:szCs w:val="22"/>
              </w:rPr>
              <w:tab/>
            </w:r>
            <w:r w:rsidR="00833507" w:rsidRPr="0047683D">
              <w:rPr>
                <w:rStyle w:val="Hyperlink"/>
                <w:noProof/>
              </w:rPr>
              <w:t>Scope of the report</w:t>
            </w:r>
            <w:r w:rsidR="00833507">
              <w:rPr>
                <w:noProof/>
                <w:webHidden/>
              </w:rPr>
              <w:tab/>
            </w:r>
            <w:r w:rsidR="00833507">
              <w:rPr>
                <w:noProof/>
                <w:webHidden/>
              </w:rPr>
              <w:fldChar w:fldCharType="begin"/>
            </w:r>
            <w:r w:rsidR="00833507">
              <w:rPr>
                <w:noProof/>
                <w:webHidden/>
              </w:rPr>
              <w:instrText xml:space="preserve"> PAGEREF _Toc515223790 \h </w:instrText>
            </w:r>
            <w:r w:rsidR="00833507">
              <w:rPr>
                <w:noProof/>
                <w:webHidden/>
              </w:rPr>
            </w:r>
            <w:r w:rsidR="00833507">
              <w:rPr>
                <w:noProof/>
                <w:webHidden/>
              </w:rPr>
              <w:fldChar w:fldCharType="separate"/>
            </w:r>
            <w:r w:rsidR="00833507">
              <w:rPr>
                <w:noProof/>
                <w:webHidden/>
              </w:rPr>
              <w:t>5</w:t>
            </w:r>
            <w:r w:rsidR="00833507">
              <w:rPr>
                <w:noProof/>
                <w:webHidden/>
              </w:rPr>
              <w:fldChar w:fldCharType="end"/>
            </w:r>
          </w:hyperlink>
        </w:p>
        <w:p w:rsidR="00833507" w:rsidRDefault="00C264EE">
          <w:pPr>
            <w:pStyle w:val="TOC2"/>
            <w:tabs>
              <w:tab w:val="left" w:pos="880"/>
              <w:tab w:val="right" w:leader="dot" w:pos="9019"/>
            </w:tabs>
            <w:rPr>
              <w:rFonts w:asciiTheme="minorHAnsi" w:eastAsiaTheme="minorEastAsia" w:hAnsiTheme="minorHAnsi" w:cstheme="minorBidi"/>
              <w:noProof/>
              <w:sz w:val="22"/>
              <w:szCs w:val="22"/>
            </w:rPr>
          </w:pPr>
          <w:hyperlink w:anchor="_Toc515223791" w:history="1">
            <w:r w:rsidR="00833507" w:rsidRPr="0047683D">
              <w:rPr>
                <w:rStyle w:val="Hyperlink"/>
                <w:noProof/>
              </w:rPr>
              <w:t xml:space="preserve">1.3 </w:t>
            </w:r>
            <w:r w:rsidR="00833507">
              <w:rPr>
                <w:rFonts w:asciiTheme="minorHAnsi" w:eastAsiaTheme="minorEastAsia" w:hAnsiTheme="minorHAnsi" w:cstheme="minorBidi"/>
                <w:noProof/>
                <w:sz w:val="22"/>
                <w:szCs w:val="22"/>
              </w:rPr>
              <w:tab/>
            </w:r>
            <w:r w:rsidR="00833507" w:rsidRPr="0047683D">
              <w:rPr>
                <w:rStyle w:val="Hyperlink"/>
                <w:noProof/>
              </w:rPr>
              <w:t>Organization of the report</w:t>
            </w:r>
            <w:r w:rsidR="00833507">
              <w:rPr>
                <w:noProof/>
                <w:webHidden/>
              </w:rPr>
              <w:tab/>
            </w:r>
            <w:r w:rsidR="00833507">
              <w:rPr>
                <w:noProof/>
                <w:webHidden/>
              </w:rPr>
              <w:fldChar w:fldCharType="begin"/>
            </w:r>
            <w:r w:rsidR="00833507">
              <w:rPr>
                <w:noProof/>
                <w:webHidden/>
              </w:rPr>
              <w:instrText xml:space="preserve"> PAGEREF _Toc515223791 \h </w:instrText>
            </w:r>
            <w:r w:rsidR="00833507">
              <w:rPr>
                <w:noProof/>
                <w:webHidden/>
              </w:rPr>
            </w:r>
            <w:r w:rsidR="00833507">
              <w:rPr>
                <w:noProof/>
                <w:webHidden/>
              </w:rPr>
              <w:fldChar w:fldCharType="separate"/>
            </w:r>
            <w:r w:rsidR="00833507">
              <w:rPr>
                <w:noProof/>
                <w:webHidden/>
              </w:rPr>
              <w:t>5</w:t>
            </w:r>
            <w:r w:rsidR="00833507">
              <w:rPr>
                <w:noProof/>
                <w:webHidden/>
              </w:rPr>
              <w:fldChar w:fldCharType="end"/>
            </w:r>
          </w:hyperlink>
        </w:p>
        <w:p w:rsidR="00833507" w:rsidRDefault="00C264EE">
          <w:pPr>
            <w:pStyle w:val="TOC1"/>
            <w:tabs>
              <w:tab w:val="right" w:leader="dot" w:pos="9019"/>
            </w:tabs>
            <w:rPr>
              <w:rFonts w:asciiTheme="minorHAnsi" w:eastAsiaTheme="minorEastAsia" w:hAnsiTheme="minorHAnsi" w:cstheme="minorBidi"/>
              <w:noProof/>
              <w:sz w:val="22"/>
              <w:szCs w:val="22"/>
            </w:rPr>
          </w:pPr>
          <w:hyperlink w:anchor="_Toc515223792" w:history="1">
            <w:r w:rsidR="00833507" w:rsidRPr="0047683D">
              <w:rPr>
                <w:rStyle w:val="Hyperlink"/>
                <w:noProof/>
              </w:rPr>
              <w:t>2. REDD+ and Gender</w:t>
            </w:r>
            <w:r w:rsidR="00833507">
              <w:rPr>
                <w:noProof/>
                <w:webHidden/>
              </w:rPr>
              <w:tab/>
            </w:r>
            <w:r w:rsidR="00833507">
              <w:rPr>
                <w:noProof/>
                <w:webHidden/>
              </w:rPr>
              <w:fldChar w:fldCharType="begin"/>
            </w:r>
            <w:r w:rsidR="00833507">
              <w:rPr>
                <w:noProof/>
                <w:webHidden/>
              </w:rPr>
              <w:instrText xml:space="preserve"> PAGEREF _Toc515223792 \h </w:instrText>
            </w:r>
            <w:r w:rsidR="00833507">
              <w:rPr>
                <w:noProof/>
                <w:webHidden/>
              </w:rPr>
            </w:r>
            <w:r w:rsidR="00833507">
              <w:rPr>
                <w:noProof/>
                <w:webHidden/>
              </w:rPr>
              <w:fldChar w:fldCharType="separate"/>
            </w:r>
            <w:r w:rsidR="00833507">
              <w:rPr>
                <w:noProof/>
                <w:webHidden/>
              </w:rPr>
              <w:t>5</w:t>
            </w:r>
            <w:r w:rsidR="00833507">
              <w:rPr>
                <w:noProof/>
                <w:webHidden/>
              </w:rPr>
              <w:fldChar w:fldCharType="end"/>
            </w:r>
          </w:hyperlink>
        </w:p>
        <w:p w:rsidR="00833507" w:rsidRDefault="00C264EE">
          <w:pPr>
            <w:pStyle w:val="TOC1"/>
            <w:tabs>
              <w:tab w:val="right" w:leader="dot" w:pos="9019"/>
            </w:tabs>
            <w:rPr>
              <w:rFonts w:asciiTheme="minorHAnsi" w:eastAsiaTheme="minorEastAsia" w:hAnsiTheme="minorHAnsi" w:cstheme="minorBidi"/>
              <w:noProof/>
              <w:sz w:val="22"/>
              <w:szCs w:val="22"/>
            </w:rPr>
          </w:pPr>
          <w:hyperlink w:anchor="_Toc515223793" w:history="1">
            <w:r w:rsidR="00833507" w:rsidRPr="0047683D">
              <w:rPr>
                <w:rStyle w:val="Hyperlink"/>
                <w:noProof/>
              </w:rPr>
              <w:t>3. Reflection of Gender Dimension in the Legal and Policy Frameworks: A brief Summary</w:t>
            </w:r>
            <w:r w:rsidR="00833507">
              <w:rPr>
                <w:noProof/>
                <w:webHidden/>
              </w:rPr>
              <w:tab/>
            </w:r>
            <w:r w:rsidR="00833507">
              <w:rPr>
                <w:noProof/>
                <w:webHidden/>
              </w:rPr>
              <w:fldChar w:fldCharType="begin"/>
            </w:r>
            <w:r w:rsidR="00833507">
              <w:rPr>
                <w:noProof/>
                <w:webHidden/>
              </w:rPr>
              <w:instrText xml:space="preserve"> PAGEREF _Toc515223793 \h </w:instrText>
            </w:r>
            <w:r w:rsidR="00833507">
              <w:rPr>
                <w:noProof/>
                <w:webHidden/>
              </w:rPr>
            </w:r>
            <w:r w:rsidR="00833507">
              <w:rPr>
                <w:noProof/>
                <w:webHidden/>
              </w:rPr>
              <w:fldChar w:fldCharType="separate"/>
            </w:r>
            <w:r w:rsidR="00833507">
              <w:rPr>
                <w:noProof/>
                <w:webHidden/>
              </w:rPr>
              <w:t>7</w:t>
            </w:r>
            <w:r w:rsidR="00833507">
              <w:rPr>
                <w:noProof/>
                <w:webHidden/>
              </w:rPr>
              <w:fldChar w:fldCharType="end"/>
            </w:r>
          </w:hyperlink>
        </w:p>
        <w:p w:rsidR="00833507" w:rsidRDefault="00C264EE">
          <w:pPr>
            <w:pStyle w:val="TOC1"/>
            <w:tabs>
              <w:tab w:val="right" w:leader="dot" w:pos="9019"/>
            </w:tabs>
            <w:rPr>
              <w:rFonts w:asciiTheme="minorHAnsi" w:eastAsiaTheme="minorEastAsia" w:hAnsiTheme="minorHAnsi" w:cstheme="minorBidi"/>
              <w:noProof/>
              <w:sz w:val="22"/>
              <w:szCs w:val="22"/>
            </w:rPr>
          </w:pPr>
          <w:hyperlink w:anchor="_Toc515223794" w:history="1">
            <w:r w:rsidR="00833507" w:rsidRPr="0047683D">
              <w:rPr>
                <w:rStyle w:val="Hyperlink"/>
                <w:noProof/>
              </w:rPr>
              <w:t>4.  Gender role in Forestry Sector of Bangladesh: A brief Account of the Selected Literatures</w:t>
            </w:r>
            <w:r w:rsidR="00833507">
              <w:rPr>
                <w:noProof/>
                <w:webHidden/>
              </w:rPr>
              <w:tab/>
            </w:r>
            <w:r w:rsidR="00833507">
              <w:rPr>
                <w:noProof/>
                <w:webHidden/>
              </w:rPr>
              <w:fldChar w:fldCharType="begin"/>
            </w:r>
            <w:r w:rsidR="00833507">
              <w:rPr>
                <w:noProof/>
                <w:webHidden/>
              </w:rPr>
              <w:instrText xml:space="preserve"> PAGEREF _Toc515223794 \h </w:instrText>
            </w:r>
            <w:r w:rsidR="00833507">
              <w:rPr>
                <w:noProof/>
                <w:webHidden/>
              </w:rPr>
            </w:r>
            <w:r w:rsidR="00833507">
              <w:rPr>
                <w:noProof/>
                <w:webHidden/>
              </w:rPr>
              <w:fldChar w:fldCharType="separate"/>
            </w:r>
            <w:r w:rsidR="00833507">
              <w:rPr>
                <w:noProof/>
                <w:webHidden/>
              </w:rPr>
              <w:t>10</w:t>
            </w:r>
            <w:r w:rsidR="00833507">
              <w:rPr>
                <w:noProof/>
                <w:webHidden/>
              </w:rPr>
              <w:fldChar w:fldCharType="end"/>
            </w:r>
          </w:hyperlink>
        </w:p>
        <w:p w:rsidR="00833507" w:rsidRDefault="00C264EE">
          <w:pPr>
            <w:pStyle w:val="TOC2"/>
            <w:tabs>
              <w:tab w:val="right" w:leader="dot" w:pos="9019"/>
            </w:tabs>
            <w:rPr>
              <w:rFonts w:asciiTheme="minorHAnsi" w:eastAsiaTheme="minorEastAsia" w:hAnsiTheme="minorHAnsi" w:cstheme="minorBidi"/>
              <w:noProof/>
              <w:sz w:val="22"/>
              <w:szCs w:val="22"/>
            </w:rPr>
          </w:pPr>
          <w:hyperlink w:anchor="_Toc515223795" w:history="1">
            <w:r w:rsidR="00833507" w:rsidRPr="0047683D">
              <w:rPr>
                <w:rStyle w:val="Hyperlink"/>
                <w:noProof/>
              </w:rPr>
              <w:t>4.1. Gender context of fuel wood collection- findings of various studies</w:t>
            </w:r>
            <w:r w:rsidR="00833507">
              <w:rPr>
                <w:noProof/>
                <w:webHidden/>
              </w:rPr>
              <w:tab/>
            </w:r>
            <w:r w:rsidR="00833507">
              <w:rPr>
                <w:noProof/>
                <w:webHidden/>
              </w:rPr>
              <w:fldChar w:fldCharType="begin"/>
            </w:r>
            <w:r w:rsidR="00833507">
              <w:rPr>
                <w:noProof/>
                <w:webHidden/>
              </w:rPr>
              <w:instrText xml:space="preserve"> PAGEREF _Toc515223795 \h </w:instrText>
            </w:r>
            <w:r w:rsidR="00833507">
              <w:rPr>
                <w:noProof/>
                <w:webHidden/>
              </w:rPr>
            </w:r>
            <w:r w:rsidR="00833507">
              <w:rPr>
                <w:noProof/>
                <w:webHidden/>
              </w:rPr>
              <w:fldChar w:fldCharType="separate"/>
            </w:r>
            <w:r w:rsidR="00833507">
              <w:rPr>
                <w:noProof/>
                <w:webHidden/>
              </w:rPr>
              <w:t>11</w:t>
            </w:r>
            <w:r w:rsidR="00833507">
              <w:rPr>
                <w:noProof/>
                <w:webHidden/>
              </w:rPr>
              <w:fldChar w:fldCharType="end"/>
            </w:r>
          </w:hyperlink>
        </w:p>
        <w:p w:rsidR="00833507" w:rsidRDefault="00C264EE">
          <w:pPr>
            <w:pStyle w:val="TOC2"/>
            <w:tabs>
              <w:tab w:val="right" w:leader="dot" w:pos="9019"/>
            </w:tabs>
            <w:rPr>
              <w:rFonts w:asciiTheme="minorHAnsi" w:eastAsiaTheme="minorEastAsia" w:hAnsiTheme="minorHAnsi" w:cstheme="minorBidi"/>
              <w:noProof/>
              <w:sz w:val="22"/>
              <w:szCs w:val="22"/>
            </w:rPr>
          </w:pPr>
          <w:hyperlink w:anchor="_Toc515223796" w:history="1">
            <w:r w:rsidR="00833507" w:rsidRPr="0047683D">
              <w:rPr>
                <w:rStyle w:val="Hyperlink"/>
                <w:noProof/>
              </w:rPr>
              <w:t>4.2. Non-wood forest products extraction and community livelihood</w:t>
            </w:r>
            <w:r w:rsidR="00833507">
              <w:rPr>
                <w:noProof/>
                <w:webHidden/>
              </w:rPr>
              <w:tab/>
            </w:r>
            <w:r w:rsidR="00833507">
              <w:rPr>
                <w:noProof/>
                <w:webHidden/>
              </w:rPr>
              <w:fldChar w:fldCharType="begin"/>
            </w:r>
            <w:r w:rsidR="00833507">
              <w:rPr>
                <w:noProof/>
                <w:webHidden/>
              </w:rPr>
              <w:instrText xml:space="preserve"> PAGEREF _Toc515223796 \h </w:instrText>
            </w:r>
            <w:r w:rsidR="00833507">
              <w:rPr>
                <w:noProof/>
                <w:webHidden/>
              </w:rPr>
            </w:r>
            <w:r w:rsidR="00833507">
              <w:rPr>
                <w:noProof/>
                <w:webHidden/>
              </w:rPr>
              <w:fldChar w:fldCharType="separate"/>
            </w:r>
            <w:r w:rsidR="00833507">
              <w:rPr>
                <w:noProof/>
                <w:webHidden/>
              </w:rPr>
              <w:t>11</w:t>
            </w:r>
            <w:r w:rsidR="00833507">
              <w:rPr>
                <w:noProof/>
                <w:webHidden/>
              </w:rPr>
              <w:fldChar w:fldCharType="end"/>
            </w:r>
          </w:hyperlink>
        </w:p>
        <w:p w:rsidR="00833507" w:rsidRDefault="00C264EE">
          <w:pPr>
            <w:pStyle w:val="TOC2"/>
            <w:tabs>
              <w:tab w:val="right" w:leader="dot" w:pos="9019"/>
            </w:tabs>
            <w:rPr>
              <w:rFonts w:asciiTheme="minorHAnsi" w:eastAsiaTheme="minorEastAsia" w:hAnsiTheme="minorHAnsi" w:cstheme="minorBidi"/>
              <w:noProof/>
              <w:sz w:val="22"/>
              <w:szCs w:val="22"/>
            </w:rPr>
          </w:pPr>
          <w:hyperlink w:anchor="_Toc515223797" w:history="1">
            <w:r w:rsidR="00833507" w:rsidRPr="0047683D">
              <w:rPr>
                <w:rStyle w:val="Hyperlink"/>
                <w:noProof/>
              </w:rPr>
              <w:t>4.3. Gender context in biodiversity conservation</w:t>
            </w:r>
            <w:r w:rsidR="00833507">
              <w:rPr>
                <w:noProof/>
                <w:webHidden/>
              </w:rPr>
              <w:tab/>
            </w:r>
            <w:r w:rsidR="00833507">
              <w:rPr>
                <w:noProof/>
                <w:webHidden/>
              </w:rPr>
              <w:fldChar w:fldCharType="begin"/>
            </w:r>
            <w:r w:rsidR="00833507">
              <w:rPr>
                <w:noProof/>
                <w:webHidden/>
              </w:rPr>
              <w:instrText xml:space="preserve"> PAGEREF _Toc515223797 \h </w:instrText>
            </w:r>
            <w:r w:rsidR="00833507">
              <w:rPr>
                <w:noProof/>
                <w:webHidden/>
              </w:rPr>
            </w:r>
            <w:r w:rsidR="00833507">
              <w:rPr>
                <w:noProof/>
                <w:webHidden/>
              </w:rPr>
              <w:fldChar w:fldCharType="separate"/>
            </w:r>
            <w:r w:rsidR="00833507">
              <w:rPr>
                <w:noProof/>
                <w:webHidden/>
              </w:rPr>
              <w:t>12</w:t>
            </w:r>
            <w:r w:rsidR="00833507">
              <w:rPr>
                <w:noProof/>
                <w:webHidden/>
              </w:rPr>
              <w:fldChar w:fldCharType="end"/>
            </w:r>
          </w:hyperlink>
        </w:p>
        <w:p w:rsidR="00833507" w:rsidRDefault="00C264EE">
          <w:pPr>
            <w:pStyle w:val="TOC2"/>
            <w:tabs>
              <w:tab w:val="right" w:leader="dot" w:pos="9019"/>
            </w:tabs>
            <w:rPr>
              <w:rFonts w:asciiTheme="minorHAnsi" w:eastAsiaTheme="minorEastAsia" w:hAnsiTheme="minorHAnsi" w:cstheme="minorBidi"/>
              <w:noProof/>
              <w:sz w:val="22"/>
              <w:szCs w:val="22"/>
            </w:rPr>
          </w:pPr>
          <w:hyperlink w:anchor="_Toc515223798" w:history="1">
            <w:r w:rsidR="00833507" w:rsidRPr="0047683D">
              <w:rPr>
                <w:rStyle w:val="Hyperlink"/>
                <w:noProof/>
              </w:rPr>
              <w:t>4.4. Plantation management and governance</w:t>
            </w:r>
            <w:r w:rsidR="00833507">
              <w:rPr>
                <w:noProof/>
                <w:webHidden/>
              </w:rPr>
              <w:tab/>
            </w:r>
            <w:r w:rsidR="00833507">
              <w:rPr>
                <w:noProof/>
                <w:webHidden/>
              </w:rPr>
              <w:fldChar w:fldCharType="begin"/>
            </w:r>
            <w:r w:rsidR="00833507">
              <w:rPr>
                <w:noProof/>
                <w:webHidden/>
              </w:rPr>
              <w:instrText xml:space="preserve"> PAGEREF _Toc515223798 \h </w:instrText>
            </w:r>
            <w:r w:rsidR="00833507">
              <w:rPr>
                <w:noProof/>
                <w:webHidden/>
              </w:rPr>
            </w:r>
            <w:r w:rsidR="00833507">
              <w:rPr>
                <w:noProof/>
                <w:webHidden/>
              </w:rPr>
              <w:fldChar w:fldCharType="separate"/>
            </w:r>
            <w:r w:rsidR="00833507">
              <w:rPr>
                <w:noProof/>
                <w:webHidden/>
              </w:rPr>
              <w:t>12</w:t>
            </w:r>
            <w:r w:rsidR="00833507">
              <w:rPr>
                <w:noProof/>
                <w:webHidden/>
              </w:rPr>
              <w:fldChar w:fldCharType="end"/>
            </w:r>
          </w:hyperlink>
        </w:p>
        <w:p w:rsidR="00833507" w:rsidRDefault="00C264EE">
          <w:pPr>
            <w:pStyle w:val="TOC2"/>
            <w:tabs>
              <w:tab w:val="right" w:leader="dot" w:pos="9019"/>
            </w:tabs>
            <w:rPr>
              <w:rFonts w:asciiTheme="minorHAnsi" w:eastAsiaTheme="minorEastAsia" w:hAnsiTheme="minorHAnsi" w:cstheme="minorBidi"/>
              <w:noProof/>
              <w:sz w:val="22"/>
              <w:szCs w:val="22"/>
            </w:rPr>
          </w:pPr>
          <w:hyperlink w:anchor="_Toc515223799" w:history="1">
            <w:r w:rsidR="00833507" w:rsidRPr="0047683D">
              <w:rPr>
                <w:rStyle w:val="Hyperlink"/>
                <w:noProof/>
              </w:rPr>
              <w:t>4.5 Role of women in collaborative forestry programs</w:t>
            </w:r>
            <w:r w:rsidR="00833507">
              <w:rPr>
                <w:noProof/>
                <w:webHidden/>
              </w:rPr>
              <w:tab/>
            </w:r>
            <w:r w:rsidR="00833507">
              <w:rPr>
                <w:noProof/>
                <w:webHidden/>
              </w:rPr>
              <w:fldChar w:fldCharType="begin"/>
            </w:r>
            <w:r w:rsidR="00833507">
              <w:rPr>
                <w:noProof/>
                <w:webHidden/>
              </w:rPr>
              <w:instrText xml:space="preserve"> PAGEREF _Toc515223799 \h </w:instrText>
            </w:r>
            <w:r w:rsidR="00833507">
              <w:rPr>
                <w:noProof/>
                <w:webHidden/>
              </w:rPr>
            </w:r>
            <w:r w:rsidR="00833507">
              <w:rPr>
                <w:noProof/>
                <w:webHidden/>
              </w:rPr>
              <w:fldChar w:fldCharType="separate"/>
            </w:r>
            <w:r w:rsidR="00833507">
              <w:rPr>
                <w:noProof/>
                <w:webHidden/>
              </w:rPr>
              <w:t>13</w:t>
            </w:r>
            <w:r w:rsidR="00833507">
              <w:rPr>
                <w:noProof/>
                <w:webHidden/>
              </w:rPr>
              <w:fldChar w:fldCharType="end"/>
            </w:r>
          </w:hyperlink>
        </w:p>
        <w:p w:rsidR="00833507" w:rsidRDefault="00C264EE">
          <w:pPr>
            <w:pStyle w:val="TOC3"/>
            <w:tabs>
              <w:tab w:val="right" w:leader="dot" w:pos="9019"/>
            </w:tabs>
            <w:rPr>
              <w:rFonts w:asciiTheme="minorHAnsi" w:eastAsiaTheme="minorEastAsia" w:hAnsiTheme="minorHAnsi" w:cstheme="minorBidi"/>
              <w:noProof/>
              <w:sz w:val="22"/>
              <w:szCs w:val="22"/>
            </w:rPr>
          </w:pPr>
          <w:hyperlink w:anchor="_Toc515223800" w:history="1">
            <w:r w:rsidR="00833507" w:rsidRPr="0047683D">
              <w:rPr>
                <w:rStyle w:val="Hyperlink"/>
                <w:noProof/>
              </w:rPr>
              <w:t>4.5.1 Gender dimension under various forest co-management regime</w:t>
            </w:r>
            <w:r w:rsidR="00833507">
              <w:rPr>
                <w:noProof/>
                <w:webHidden/>
              </w:rPr>
              <w:tab/>
            </w:r>
            <w:r w:rsidR="00833507">
              <w:rPr>
                <w:noProof/>
                <w:webHidden/>
              </w:rPr>
              <w:fldChar w:fldCharType="begin"/>
            </w:r>
            <w:r w:rsidR="00833507">
              <w:rPr>
                <w:noProof/>
                <w:webHidden/>
              </w:rPr>
              <w:instrText xml:space="preserve"> PAGEREF _Toc515223800 \h </w:instrText>
            </w:r>
            <w:r w:rsidR="00833507">
              <w:rPr>
                <w:noProof/>
                <w:webHidden/>
              </w:rPr>
            </w:r>
            <w:r w:rsidR="00833507">
              <w:rPr>
                <w:noProof/>
                <w:webHidden/>
              </w:rPr>
              <w:fldChar w:fldCharType="separate"/>
            </w:r>
            <w:r w:rsidR="00833507">
              <w:rPr>
                <w:noProof/>
                <w:webHidden/>
              </w:rPr>
              <w:t>14</w:t>
            </w:r>
            <w:r w:rsidR="00833507">
              <w:rPr>
                <w:noProof/>
                <w:webHidden/>
              </w:rPr>
              <w:fldChar w:fldCharType="end"/>
            </w:r>
          </w:hyperlink>
        </w:p>
        <w:p w:rsidR="00833507" w:rsidRDefault="00C264EE">
          <w:pPr>
            <w:pStyle w:val="TOC1"/>
            <w:tabs>
              <w:tab w:val="right" w:leader="dot" w:pos="9019"/>
            </w:tabs>
            <w:rPr>
              <w:rFonts w:asciiTheme="minorHAnsi" w:eastAsiaTheme="minorEastAsia" w:hAnsiTheme="minorHAnsi" w:cstheme="minorBidi"/>
              <w:noProof/>
              <w:sz w:val="22"/>
              <w:szCs w:val="22"/>
            </w:rPr>
          </w:pPr>
          <w:hyperlink w:anchor="_Toc515223801" w:history="1">
            <w:r w:rsidR="00833507" w:rsidRPr="0047683D">
              <w:rPr>
                <w:rStyle w:val="Hyperlink"/>
                <w:noProof/>
              </w:rPr>
              <w:t>5. Gender Dimension in the Sundarban Mangrove Forest</w:t>
            </w:r>
            <w:r w:rsidR="00833507">
              <w:rPr>
                <w:noProof/>
                <w:webHidden/>
              </w:rPr>
              <w:tab/>
            </w:r>
            <w:r w:rsidR="00833507">
              <w:rPr>
                <w:noProof/>
                <w:webHidden/>
              </w:rPr>
              <w:fldChar w:fldCharType="begin"/>
            </w:r>
            <w:r w:rsidR="00833507">
              <w:rPr>
                <w:noProof/>
                <w:webHidden/>
              </w:rPr>
              <w:instrText xml:space="preserve"> PAGEREF _Toc515223801 \h </w:instrText>
            </w:r>
            <w:r w:rsidR="00833507">
              <w:rPr>
                <w:noProof/>
                <w:webHidden/>
              </w:rPr>
            </w:r>
            <w:r w:rsidR="00833507">
              <w:rPr>
                <w:noProof/>
                <w:webHidden/>
              </w:rPr>
              <w:fldChar w:fldCharType="separate"/>
            </w:r>
            <w:r w:rsidR="00833507">
              <w:rPr>
                <w:noProof/>
                <w:webHidden/>
              </w:rPr>
              <w:t>17</w:t>
            </w:r>
            <w:r w:rsidR="00833507">
              <w:rPr>
                <w:noProof/>
                <w:webHidden/>
              </w:rPr>
              <w:fldChar w:fldCharType="end"/>
            </w:r>
          </w:hyperlink>
        </w:p>
        <w:p w:rsidR="00833507" w:rsidRDefault="00C264EE">
          <w:pPr>
            <w:pStyle w:val="TOC1"/>
            <w:tabs>
              <w:tab w:val="right" w:leader="dot" w:pos="9019"/>
            </w:tabs>
            <w:rPr>
              <w:rFonts w:asciiTheme="minorHAnsi" w:eastAsiaTheme="minorEastAsia" w:hAnsiTheme="minorHAnsi" w:cstheme="minorBidi"/>
              <w:noProof/>
              <w:sz w:val="22"/>
              <w:szCs w:val="22"/>
            </w:rPr>
          </w:pPr>
          <w:hyperlink w:anchor="_Toc515223802" w:history="1">
            <w:r w:rsidR="00833507" w:rsidRPr="0047683D">
              <w:rPr>
                <w:rStyle w:val="Hyperlink"/>
                <w:noProof/>
              </w:rPr>
              <w:t>6.  Recommendations</w:t>
            </w:r>
            <w:r w:rsidR="00833507">
              <w:rPr>
                <w:noProof/>
                <w:webHidden/>
              </w:rPr>
              <w:tab/>
            </w:r>
            <w:r w:rsidR="00833507">
              <w:rPr>
                <w:noProof/>
                <w:webHidden/>
              </w:rPr>
              <w:fldChar w:fldCharType="begin"/>
            </w:r>
            <w:r w:rsidR="00833507">
              <w:rPr>
                <w:noProof/>
                <w:webHidden/>
              </w:rPr>
              <w:instrText xml:space="preserve"> PAGEREF _Toc515223802 \h </w:instrText>
            </w:r>
            <w:r w:rsidR="00833507">
              <w:rPr>
                <w:noProof/>
                <w:webHidden/>
              </w:rPr>
            </w:r>
            <w:r w:rsidR="00833507">
              <w:rPr>
                <w:noProof/>
                <w:webHidden/>
              </w:rPr>
              <w:fldChar w:fldCharType="separate"/>
            </w:r>
            <w:r w:rsidR="00833507">
              <w:rPr>
                <w:noProof/>
                <w:webHidden/>
              </w:rPr>
              <w:t>18</w:t>
            </w:r>
            <w:r w:rsidR="00833507">
              <w:rPr>
                <w:noProof/>
                <w:webHidden/>
              </w:rPr>
              <w:fldChar w:fldCharType="end"/>
            </w:r>
          </w:hyperlink>
        </w:p>
        <w:p w:rsidR="00833507" w:rsidRDefault="00C264EE">
          <w:pPr>
            <w:pStyle w:val="TOC1"/>
            <w:tabs>
              <w:tab w:val="right" w:leader="dot" w:pos="9019"/>
            </w:tabs>
            <w:rPr>
              <w:rFonts w:asciiTheme="minorHAnsi" w:eastAsiaTheme="minorEastAsia" w:hAnsiTheme="minorHAnsi" w:cstheme="minorBidi"/>
              <w:noProof/>
              <w:sz w:val="22"/>
              <w:szCs w:val="22"/>
            </w:rPr>
          </w:pPr>
          <w:hyperlink w:anchor="_Toc515223803" w:history="1">
            <w:r w:rsidR="00833507" w:rsidRPr="0047683D">
              <w:rPr>
                <w:rStyle w:val="Hyperlink"/>
                <w:noProof/>
              </w:rPr>
              <w:t>7. Conclusion</w:t>
            </w:r>
            <w:r w:rsidR="00833507">
              <w:rPr>
                <w:noProof/>
                <w:webHidden/>
              </w:rPr>
              <w:tab/>
            </w:r>
            <w:r w:rsidR="00833507">
              <w:rPr>
                <w:noProof/>
                <w:webHidden/>
              </w:rPr>
              <w:fldChar w:fldCharType="begin"/>
            </w:r>
            <w:r w:rsidR="00833507">
              <w:rPr>
                <w:noProof/>
                <w:webHidden/>
              </w:rPr>
              <w:instrText xml:space="preserve"> PAGEREF _Toc515223803 \h </w:instrText>
            </w:r>
            <w:r w:rsidR="00833507">
              <w:rPr>
                <w:noProof/>
                <w:webHidden/>
              </w:rPr>
            </w:r>
            <w:r w:rsidR="00833507">
              <w:rPr>
                <w:noProof/>
                <w:webHidden/>
              </w:rPr>
              <w:fldChar w:fldCharType="separate"/>
            </w:r>
            <w:r w:rsidR="00833507">
              <w:rPr>
                <w:noProof/>
                <w:webHidden/>
              </w:rPr>
              <w:t>21</w:t>
            </w:r>
            <w:r w:rsidR="00833507">
              <w:rPr>
                <w:noProof/>
                <w:webHidden/>
              </w:rPr>
              <w:fldChar w:fldCharType="end"/>
            </w:r>
          </w:hyperlink>
        </w:p>
        <w:p w:rsidR="00833507" w:rsidRDefault="00C264EE">
          <w:pPr>
            <w:pStyle w:val="TOC1"/>
            <w:tabs>
              <w:tab w:val="right" w:leader="dot" w:pos="9019"/>
            </w:tabs>
            <w:rPr>
              <w:rFonts w:asciiTheme="minorHAnsi" w:eastAsiaTheme="minorEastAsia" w:hAnsiTheme="minorHAnsi" w:cstheme="minorBidi"/>
              <w:noProof/>
              <w:sz w:val="22"/>
              <w:szCs w:val="22"/>
            </w:rPr>
          </w:pPr>
          <w:hyperlink w:anchor="_Toc515223804" w:history="1">
            <w:r w:rsidR="00833507" w:rsidRPr="0047683D">
              <w:rPr>
                <w:rStyle w:val="Hyperlink"/>
                <w:noProof/>
              </w:rPr>
              <w:t>8. References</w:t>
            </w:r>
            <w:r w:rsidR="00833507">
              <w:rPr>
                <w:noProof/>
                <w:webHidden/>
              </w:rPr>
              <w:tab/>
            </w:r>
            <w:r w:rsidR="00833507">
              <w:rPr>
                <w:noProof/>
                <w:webHidden/>
              </w:rPr>
              <w:fldChar w:fldCharType="begin"/>
            </w:r>
            <w:r w:rsidR="00833507">
              <w:rPr>
                <w:noProof/>
                <w:webHidden/>
              </w:rPr>
              <w:instrText xml:space="preserve"> PAGEREF _Toc515223804 \h </w:instrText>
            </w:r>
            <w:r w:rsidR="00833507">
              <w:rPr>
                <w:noProof/>
                <w:webHidden/>
              </w:rPr>
            </w:r>
            <w:r w:rsidR="00833507">
              <w:rPr>
                <w:noProof/>
                <w:webHidden/>
              </w:rPr>
              <w:fldChar w:fldCharType="separate"/>
            </w:r>
            <w:r w:rsidR="00833507">
              <w:rPr>
                <w:noProof/>
                <w:webHidden/>
              </w:rPr>
              <w:t>21</w:t>
            </w:r>
            <w:r w:rsidR="00833507">
              <w:rPr>
                <w:noProof/>
                <w:webHidden/>
              </w:rPr>
              <w:fldChar w:fldCharType="end"/>
            </w:r>
          </w:hyperlink>
        </w:p>
        <w:p w:rsidR="00173781" w:rsidRDefault="00173781">
          <w:r>
            <w:rPr>
              <w:b/>
              <w:bCs/>
              <w:noProof/>
            </w:rPr>
            <w:fldChar w:fldCharType="end"/>
          </w:r>
        </w:p>
      </w:sdtContent>
    </w:sdt>
    <w:p w:rsidR="00DB19C8" w:rsidRDefault="00DB19C8" w:rsidP="00072E08">
      <w:pPr>
        <w:spacing w:after="0"/>
        <w:rPr>
          <w:rFonts w:ascii="Times New Roman" w:hAnsi="Times New Roman"/>
          <w:b/>
          <w:sz w:val="28"/>
          <w:szCs w:val="28"/>
        </w:rPr>
      </w:pPr>
      <w:r>
        <w:rPr>
          <w:rFonts w:ascii="Times New Roman" w:hAnsi="Times New Roman"/>
          <w:b/>
          <w:sz w:val="28"/>
          <w:szCs w:val="28"/>
        </w:rPr>
        <w:br w:type="page"/>
      </w:r>
    </w:p>
    <w:p w:rsidR="008D0F14" w:rsidRPr="00173781" w:rsidRDefault="008D0F14" w:rsidP="00173781">
      <w:pPr>
        <w:pStyle w:val="Heading1"/>
      </w:pPr>
      <w:bookmarkStart w:id="0" w:name="_Toc480269218"/>
      <w:bookmarkStart w:id="1" w:name="_Toc469087356"/>
      <w:bookmarkStart w:id="2" w:name="_Toc466192994"/>
      <w:bookmarkStart w:id="3" w:name="_Toc515223788"/>
      <w:r w:rsidRPr="00173781">
        <w:lastRenderedPageBreak/>
        <w:t>1</w:t>
      </w:r>
      <w:r w:rsidRPr="00173781">
        <w:rPr>
          <w:rFonts w:hint="cs"/>
          <w:szCs w:val="28"/>
          <w:cs/>
        </w:rPr>
        <w:t xml:space="preserve">. </w:t>
      </w:r>
      <w:r w:rsidRPr="00173781">
        <w:rPr>
          <w:rFonts w:hint="eastAsia"/>
          <w:szCs w:val="28"/>
          <w:cs/>
        </w:rPr>
        <w:tab/>
      </w:r>
      <w:r w:rsidRPr="00173781">
        <w:t>UN</w:t>
      </w:r>
      <w:r w:rsidRPr="00173781">
        <w:rPr>
          <w:rFonts w:hint="cs"/>
          <w:szCs w:val="28"/>
          <w:cs/>
        </w:rPr>
        <w:t>-</w:t>
      </w:r>
      <w:r w:rsidRPr="00173781">
        <w:t>REDD Bangladesh National Programme</w:t>
      </w:r>
      <w:bookmarkEnd w:id="0"/>
      <w:bookmarkEnd w:id="1"/>
      <w:bookmarkEnd w:id="2"/>
      <w:bookmarkEnd w:id="3"/>
    </w:p>
    <w:p w:rsidR="008D0F14" w:rsidRDefault="008D0F14" w:rsidP="008D0F14">
      <w:pPr>
        <w:spacing w:after="0"/>
        <w:rPr>
          <w:rFonts w:asciiTheme="minorHAnsi" w:hAnsiTheme="minorHAnsi"/>
          <w:sz w:val="22"/>
          <w:szCs w:val="22"/>
        </w:rPr>
      </w:pPr>
    </w:p>
    <w:p w:rsidR="008D0F14" w:rsidRPr="00173781" w:rsidRDefault="008D0F14" w:rsidP="00173781">
      <w:pPr>
        <w:pStyle w:val="Heading2"/>
      </w:pPr>
      <w:bookmarkStart w:id="4" w:name="_Toc480269219"/>
      <w:bookmarkStart w:id="5" w:name="_Toc469087357"/>
      <w:bookmarkStart w:id="6" w:name="_Toc466192995"/>
      <w:bookmarkStart w:id="7" w:name="_Toc515223789"/>
      <w:bookmarkStart w:id="8" w:name="_Toc356128321"/>
      <w:bookmarkStart w:id="9" w:name="_Toc359334211"/>
      <w:bookmarkStart w:id="10" w:name="_Toc247019565"/>
      <w:r w:rsidRPr="00173781">
        <w:t>1</w:t>
      </w:r>
      <w:r w:rsidRPr="00173781">
        <w:rPr>
          <w:rFonts w:hint="cs"/>
          <w:szCs w:val="24"/>
          <w:cs/>
        </w:rPr>
        <w:t>.</w:t>
      </w:r>
      <w:r w:rsidRPr="00173781">
        <w:t>1</w:t>
      </w:r>
      <w:r w:rsidRPr="00173781">
        <w:tab/>
        <w:t xml:space="preserve"> Background</w:t>
      </w:r>
      <w:bookmarkEnd w:id="4"/>
      <w:bookmarkEnd w:id="5"/>
      <w:bookmarkEnd w:id="6"/>
      <w:bookmarkEnd w:id="7"/>
      <w:r w:rsidRPr="00173781">
        <w:t xml:space="preserve"> </w:t>
      </w:r>
      <w:bookmarkEnd w:id="8"/>
      <w:bookmarkEnd w:id="9"/>
      <w:bookmarkEnd w:id="10"/>
    </w:p>
    <w:p w:rsidR="008D0F14" w:rsidRPr="00B42ED4" w:rsidRDefault="008D0F14" w:rsidP="008D0F14">
      <w:pPr>
        <w:spacing w:after="0"/>
        <w:jc w:val="both"/>
        <w:rPr>
          <w:rFonts w:asciiTheme="minorHAnsi" w:hAnsiTheme="minorHAnsi"/>
        </w:rPr>
      </w:pPr>
      <w:r w:rsidRPr="00B42ED4">
        <w:rPr>
          <w:rFonts w:asciiTheme="minorHAnsi" w:hAnsiTheme="minorHAnsi"/>
        </w:rPr>
        <w:t>In August of 2010, Government of the People</w:t>
      </w:r>
      <w:r w:rsidRPr="00B42ED4">
        <w:rPr>
          <w:rFonts w:asciiTheme="minorHAnsi" w:hAnsiTheme="minorHAnsi"/>
          <w:cs/>
        </w:rPr>
        <w:t>’</w:t>
      </w:r>
      <w:r w:rsidRPr="00B42ED4">
        <w:rPr>
          <w:rFonts w:asciiTheme="minorHAnsi" w:hAnsiTheme="minorHAnsi"/>
        </w:rPr>
        <w:t>s Republic of Bangladesh became a partner country of the UN</w:t>
      </w:r>
      <w:r w:rsidRPr="00B42ED4">
        <w:rPr>
          <w:rFonts w:asciiTheme="minorHAnsi" w:hAnsiTheme="minorHAnsi"/>
          <w:cs/>
        </w:rPr>
        <w:t>-</w:t>
      </w:r>
      <w:r w:rsidRPr="00B42ED4">
        <w:rPr>
          <w:rFonts w:asciiTheme="minorHAnsi" w:hAnsiTheme="minorHAnsi"/>
        </w:rPr>
        <w:t>REDD Programme</w:t>
      </w:r>
      <w:r w:rsidR="005A5263" w:rsidRPr="00B42ED4">
        <w:rPr>
          <w:rFonts w:asciiTheme="minorHAnsi" w:hAnsiTheme="minorHAnsi"/>
          <w:cs/>
        </w:rPr>
        <w:t xml:space="preserve">. </w:t>
      </w:r>
      <w:r w:rsidRPr="00B42ED4">
        <w:rPr>
          <w:rFonts w:asciiTheme="minorHAnsi" w:hAnsiTheme="minorHAnsi"/>
        </w:rPr>
        <w:t>The UN</w:t>
      </w:r>
      <w:r w:rsidRPr="00B42ED4">
        <w:rPr>
          <w:rFonts w:asciiTheme="minorHAnsi" w:hAnsiTheme="minorHAnsi"/>
          <w:cs/>
        </w:rPr>
        <w:t>-</w:t>
      </w:r>
      <w:r w:rsidRPr="00B42ED4">
        <w:rPr>
          <w:rFonts w:asciiTheme="minorHAnsi" w:hAnsiTheme="minorHAnsi"/>
        </w:rPr>
        <w:t xml:space="preserve">REDD Programme is the United Nations collaborative </w:t>
      </w:r>
      <w:proofErr w:type="spellStart"/>
      <w:r w:rsidRPr="00B42ED4">
        <w:rPr>
          <w:rFonts w:asciiTheme="minorHAnsi" w:hAnsiTheme="minorHAnsi"/>
        </w:rPr>
        <w:t>programme</w:t>
      </w:r>
      <w:proofErr w:type="spellEnd"/>
      <w:r w:rsidRPr="00B42ED4">
        <w:rPr>
          <w:rFonts w:asciiTheme="minorHAnsi" w:hAnsiTheme="minorHAnsi"/>
        </w:rPr>
        <w:t xml:space="preserve"> on reducing emission from deforestation and forest degradation</w:t>
      </w:r>
      <w:r w:rsidRPr="00B42ED4">
        <w:rPr>
          <w:rFonts w:asciiTheme="minorHAnsi" w:hAnsiTheme="minorHAnsi"/>
          <w:cs/>
        </w:rPr>
        <w:t xml:space="preserve">. </w:t>
      </w:r>
      <w:r w:rsidRPr="00B42ED4">
        <w:rPr>
          <w:rFonts w:asciiTheme="minorHAnsi" w:hAnsiTheme="minorHAnsi"/>
        </w:rPr>
        <w:t>The program assists developing countries like Bangladesh to build capacity to reduce emissions and to participate in a future REDD</w:t>
      </w:r>
      <w:r w:rsidR="006B743E" w:rsidRPr="00B42ED4">
        <w:rPr>
          <w:rFonts w:asciiTheme="minorHAnsi" w:hAnsiTheme="minorHAnsi"/>
          <w:cs/>
        </w:rPr>
        <w:t xml:space="preserve">+ </w:t>
      </w:r>
      <w:r w:rsidRPr="00B42ED4">
        <w:rPr>
          <w:rFonts w:asciiTheme="minorHAnsi" w:hAnsiTheme="minorHAnsi"/>
        </w:rPr>
        <w:t>mechanism</w:t>
      </w:r>
      <w:r w:rsidRPr="00B42ED4">
        <w:rPr>
          <w:rFonts w:asciiTheme="minorHAnsi" w:hAnsiTheme="minorHAnsi"/>
          <w:cs/>
        </w:rPr>
        <w:t>.</w:t>
      </w:r>
      <w:r w:rsidR="006B743E" w:rsidRPr="00B42ED4">
        <w:rPr>
          <w:rFonts w:asciiTheme="minorHAnsi" w:hAnsiTheme="minorHAnsi"/>
          <w:cs/>
        </w:rPr>
        <w:t xml:space="preserve"> </w:t>
      </w:r>
      <w:r w:rsidR="00673D12" w:rsidRPr="00B42ED4">
        <w:rPr>
          <w:rFonts w:asciiTheme="minorHAnsi" w:hAnsiTheme="minorHAnsi"/>
          <w:cs/>
        </w:rPr>
        <w:t xml:space="preserve">REDD stands for the reducing emssions from deforestation and forest degrdation in developing countries while REDD+ </w:t>
      </w:r>
      <w:r w:rsidR="00434585" w:rsidRPr="00B42ED4">
        <w:rPr>
          <w:rFonts w:asciiTheme="minorHAnsi" w:hAnsiTheme="minorHAnsi"/>
          <w:cs/>
        </w:rPr>
        <w:t xml:space="preserve">goes beyong the </w:t>
      </w:r>
    </w:p>
    <w:p w:rsidR="008D0F14" w:rsidRPr="00B42ED4" w:rsidRDefault="008D0F14" w:rsidP="008D0F14">
      <w:pPr>
        <w:jc w:val="both"/>
        <w:rPr>
          <w:rFonts w:asciiTheme="minorHAnsi" w:hAnsiTheme="minorHAnsi"/>
        </w:rPr>
      </w:pPr>
      <w:r w:rsidRPr="00B42ED4">
        <w:rPr>
          <w:rFonts w:asciiTheme="minorHAnsi" w:hAnsiTheme="minorHAnsi"/>
        </w:rPr>
        <w:t xml:space="preserve">In </w:t>
      </w:r>
      <w:r w:rsidR="00673D12" w:rsidRPr="00B42ED4">
        <w:rPr>
          <w:rFonts w:asciiTheme="minorHAnsi" w:hAnsiTheme="minorHAnsi"/>
        </w:rPr>
        <w:t>subsequent years</w:t>
      </w:r>
      <w:r w:rsidRPr="00B42ED4">
        <w:rPr>
          <w:rFonts w:asciiTheme="minorHAnsi" w:hAnsiTheme="minorHAnsi"/>
        </w:rPr>
        <w:t xml:space="preserve">, Bangladesh took several </w:t>
      </w:r>
      <w:r w:rsidR="00A62FF5" w:rsidRPr="00B42ED4">
        <w:rPr>
          <w:rFonts w:asciiTheme="minorHAnsi" w:hAnsiTheme="minorHAnsi"/>
        </w:rPr>
        <w:t xml:space="preserve">initiatives </w:t>
      </w:r>
      <w:r w:rsidRPr="00B42ED4">
        <w:rPr>
          <w:rFonts w:asciiTheme="minorHAnsi" w:hAnsiTheme="minorHAnsi"/>
        </w:rPr>
        <w:t>i</w:t>
      </w:r>
      <w:r w:rsidRPr="00B42ED4">
        <w:rPr>
          <w:rFonts w:asciiTheme="minorHAnsi" w:hAnsiTheme="minorHAnsi"/>
          <w:cs/>
        </w:rPr>
        <w:t>.</w:t>
      </w:r>
      <w:r w:rsidRPr="00B42ED4">
        <w:rPr>
          <w:rFonts w:asciiTheme="minorHAnsi" w:hAnsiTheme="minorHAnsi"/>
        </w:rPr>
        <w:t>e</w:t>
      </w:r>
      <w:r w:rsidRPr="00B42ED4">
        <w:rPr>
          <w:rFonts w:asciiTheme="minorHAnsi" w:hAnsiTheme="minorHAnsi"/>
          <w:cs/>
        </w:rPr>
        <w:t>.</w:t>
      </w:r>
      <w:r w:rsidRPr="00B42ED4">
        <w:rPr>
          <w:rFonts w:asciiTheme="minorHAnsi" w:hAnsiTheme="minorHAnsi"/>
        </w:rPr>
        <w:t>, established the National REDD</w:t>
      </w:r>
      <w:r w:rsidRPr="00B42ED4">
        <w:rPr>
          <w:rFonts w:asciiTheme="minorHAnsi" w:hAnsiTheme="minorHAnsi"/>
          <w:cs/>
        </w:rPr>
        <w:t xml:space="preserve">+ </w:t>
      </w:r>
      <w:r w:rsidRPr="00B42ED4">
        <w:rPr>
          <w:rFonts w:asciiTheme="minorHAnsi" w:hAnsiTheme="minorHAnsi"/>
        </w:rPr>
        <w:t>Steering Committee; the REDD</w:t>
      </w:r>
      <w:r w:rsidRPr="00B42ED4">
        <w:rPr>
          <w:rFonts w:asciiTheme="minorHAnsi" w:hAnsiTheme="minorHAnsi"/>
          <w:cs/>
        </w:rPr>
        <w:t xml:space="preserve">+ </w:t>
      </w:r>
      <w:r w:rsidRPr="00B42ED4">
        <w:rPr>
          <w:rFonts w:asciiTheme="minorHAnsi" w:hAnsiTheme="minorHAnsi"/>
        </w:rPr>
        <w:t xml:space="preserve">Preparation Proposal </w:t>
      </w:r>
      <w:r w:rsidRPr="00B42ED4">
        <w:rPr>
          <w:rFonts w:asciiTheme="minorHAnsi" w:hAnsiTheme="minorHAnsi"/>
          <w:cs/>
        </w:rPr>
        <w:t>(</w:t>
      </w:r>
      <w:r w:rsidRPr="00B42ED4">
        <w:rPr>
          <w:rFonts w:asciiTheme="minorHAnsi" w:hAnsiTheme="minorHAnsi"/>
        </w:rPr>
        <w:t>R</w:t>
      </w:r>
      <w:r w:rsidRPr="00B42ED4">
        <w:rPr>
          <w:rFonts w:asciiTheme="minorHAnsi" w:hAnsiTheme="minorHAnsi"/>
          <w:cs/>
        </w:rPr>
        <w:t>-</w:t>
      </w:r>
      <w:r w:rsidRPr="00B42ED4">
        <w:rPr>
          <w:rFonts w:asciiTheme="minorHAnsi" w:hAnsiTheme="minorHAnsi"/>
        </w:rPr>
        <w:t>PP</w:t>
      </w:r>
      <w:r w:rsidRPr="00B42ED4">
        <w:rPr>
          <w:rFonts w:asciiTheme="minorHAnsi" w:hAnsiTheme="minorHAnsi"/>
          <w:cs/>
        </w:rPr>
        <w:t xml:space="preserve">) </w:t>
      </w:r>
      <w:r w:rsidRPr="00B42ED4">
        <w:rPr>
          <w:rFonts w:asciiTheme="minorHAnsi" w:hAnsiTheme="minorHAnsi"/>
        </w:rPr>
        <w:t>was approved in end of 2013 by UN</w:t>
      </w:r>
      <w:r w:rsidRPr="00B42ED4">
        <w:rPr>
          <w:rFonts w:asciiTheme="minorHAnsi" w:hAnsiTheme="minorHAnsi"/>
          <w:cs/>
        </w:rPr>
        <w:t>-</w:t>
      </w:r>
      <w:r w:rsidRPr="00B42ED4">
        <w:rPr>
          <w:rFonts w:asciiTheme="minorHAnsi" w:hAnsiTheme="minorHAnsi"/>
        </w:rPr>
        <w:t>REDD Policy Board</w:t>
      </w:r>
      <w:r w:rsidRPr="00B42ED4">
        <w:rPr>
          <w:rFonts w:asciiTheme="minorHAnsi" w:hAnsiTheme="minorHAnsi"/>
          <w:cs/>
        </w:rPr>
        <w:t xml:space="preserve">. </w:t>
      </w:r>
      <w:r w:rsidRPr="00B42ED4">
        <w:rPr>
          <w:rFonts w:asciiTheme="minorHAnsi" w:hAnsiTheme="minorHAnsi"/>
        </w:rPr>
        <w:t>The UN</w:t>
      </w:r>
      <w:r w:rsidRPr="00B42ED4">
        <w:rPr>
          <w:rFonts w:asciiTheme="minorHAnsi" w:hAnsiTheme="minorHAnsi"/>
          <w:cs/>
        </w:rPr>
        <w:t>-</w:t>
      </w:r>
      <w:r w:rsidRPr="00B42ED4">
        <w:rPr>
          <w:rFonts w:asciiTheme="minorHAnsi" w:hAnsiTheme="minorHAnsi"/>
        </w:rPr>
        <w:t xml:space="preserve">REDD National Programme Document was approved by national counterparts </w:t>
      </w:r>
      <w:r w:rsidR="00673D12" w:rsidRPr="00B42ED4">
        <w:rPr>
          <w:rFonts w:asciiTheme="minorHAnsi" w:hAnsiTheme="minorHAnsi"/>
        </w:rPr>
        <w:t>and participating</w:t>
      </w:r>
      <w:r w:rsidRPr="00B42ED4">
        <w:rPr>
          <w:rFonts w:asciiTheme="minorHAnsi" w:hAnsiTheme="minorHAnsi"/>
        </w:rPr>
        <w:t xml:space="preserve"> UN organization in 2015</w:t>
      </w:r>
      <w:r w:rsidRPr="00B42ED4">
        <w:rPr>
          <w:rFonts w:asciiTheme="minorHAnsi" w:hAnsiTheme="minorHAnsi"/>
          <w:cs/>
        </w:rPr>
        <w:t xml:space="preserve">. </w:t>
      </w:r>
      <w:r w:rsidR="00673D12" w:rsidRPr="00B42ED4">
        <w:rPr>
          <w:rFonts w:asciiTheme="minorHAnsi" w:hAnsiTheme="minorHAnsi"/>
          <w:cs/>
        </w:rPr>
        <w:t xml:space="preserve">After consecutive procedural formalities, </w:t>
      </w:r>
      <w:r w:rsidRPr="00B42ED4">
        <w:rPr>
          <w:rFonts w:asciiTheme="minorHAnsi" w:hAnsiTheme="minorHAnsi"/>
        </w:rPr>
        <w:t xml:space="preserve">, the government </w:t>
      </w:r>
      <w:r w:rsidR="00A62FF5" w:rsidRPr="00B42ED4">
        <w:rPr>
          <w:rFonts w:asciiTheme="minorHAnsi" w:hAnsiTheme="minorHAnsi"/>
        </w:rPr>
        <w:t xml:space="preserve">of Bangladesh has </w:t>
      </w:r>
      <w:r w:rsidRPr="00B42ED4">
        <w:rPr>
          <w:rFonts w:asciiTheme="minorHAnsi" w:hAnsiTheme="minorHAnsi"/>
        </w:rPr>
        <w:t>approved the UN</w:t>
      </w:r>
      <w:r w:rsidRPr="00B42ED4">
        <w:rPr>
          <w:rFonts w:asciiTheme="minorHAnsi" w:hAnsiTheme="minorHAnsi"/>
          <w:cs/>
        </w:rPr>
        <w:t>-</w:t>
      </w:r>
      <w:r w:rsidRPr="00B42ED4">
        <w:rPr>
          <w:rFonts w:asciiTheme="minorHAnsi" w:hAnsiTheme="minorHAnsi"/>
        </w:rPr>
        <w:t>REDD Bangladesh National Programme in 19 June 2016</w:t>
      </w:r>
      <w:r w:rsidRPr="00B42ED4">
        <w:rPr>
          <w:rFonts w:asciiTheme="minorHAnsi" w:hAnsiTheme="minorHAnsi"/>
          <w:cs/>
        </w:rPr>
        <w:t xml:space="preserve">. </w:t>
      </w:r>
    </w:p>
    <w:p w:rsidR="008D0F14" w:rsidRPr="00B42ED4" w:rsidRDefault="00673D12" w:rsidP="008D0F14">
      <w:pPr>
        <w:jc w:val="both"/>
        <w:rPr>
          <w:rFonts w:asciiTheme="minorHAnsi" w:hAnsiTheme="minorHAnsi"/>
        </w:rPr>
      </w:pPr>
      <w:r w:rsidRPr="00B42ED4">
        <w:rPr>
          <w:rFonts w:asciiTheme="minorHAnsi" w:hAnsiTheme="minorHAnsi"/>
        </w:rPr>
        <w:t xml:space="preserve">Bangladesh </w:t>
      </w:r>
      <w:r w:rsidR="008D0F14" w:rsidRPr="00B42ED4">
        <w:rPr>
          <w:rFonts w:asciiTheme="minorHAnsi" w:hAnsiTheme="minorHAnsi"/>
        </w:rPr>
        <w:t xml:space="preserve"> Forest Department </w:t>
      </w:r>
      <w:r w:rsidR="008D0F14" w:rsidRPr="00B42ED4">
        <w:rPr>
          <w:rFonts w:asciiTheme="minorHAnsi" w:hAnsiTheme="minorHAnsi"/>
          <w:cs/>
        </w:rPr>
        <w:t>(</w:t>
      </w:r>
      <w:r w:rsidR="00DF49F8" w:rsidRPr="00B42ED4">
        <w:rPr>
          <w:rFonts w:asciiTheme="minorHAnsi" w:hAnsiTheme="minorHAnsi"/>
          <w:cs/>
        </w:rPr>
        <w:t>BFD</w:t>
      </w:r>
      <w:r w:rsidR="008D0F14" w:rsidRPr="00B42ED4">
        <w:rPr>
          <w:rFonts w:asciiTheme="minorHAnsi" w:hAnsiTheme="minorHAnsi"/>
          <w:cs/>
        </w:rPr>
        <w:t>)</w:t>
      </w:r>
      <w:r w:rsidRPr="00B42ED4">
        <w:rPr>
          <w:rFonts w:asciiTheme="minorHAnsi" w:hAnsiTheme="minorHAnsi"/>
          <w:cs/>
        </w:rPr>
        <w:t xml:space="preserve">, a state </w:t>
      </w:r>
      <w:r w:rsidR="00A62FF5" w:rsidRPr="00B42ED4">
        <w:rPr>
          <w:rFonts w:asciiTheme="minorHAnsi" w:hAnsiTheme="minorHAnsi"/>
          <w:cs/>
        </w:rPr>
        <w:t xml:space="preserve">oranization </w:t>
      </w:r>
      <w:r w:rsidRPr="00B42ED4">
        <w:rPr>
          <w:rFonts w:asciiTheme="minorHAnsi" w:hAnsiTheme="minorHAnsi"/>
          <w:cs/>
        </w:rPr>
        <w:t xml:space="preserve">under the </w:t>
      </w:r>
      <w:r w:rsidR="008D0F14" w:rsidRPr="00B42ED4">
        <w:rPr>
          <w:rFonts w:asciiTheme="minorHAnsi" w:hAnsiTheme="minorHAnsi"/>
        </w:rPr>
        <w:t xml:space="preserve"> the Ministry of Environment and Forests </w:t>
      </w:r>
      <w:r w:rsidR="008D0F14" w:rsidRPr="00B42ED4">
        <w:rPr>
          <w:rFonts w:asciiTheme="minorHAnsi" w:hAnsiTheme="minorHAnsi"/>
          <w:cs/>
        </w:rPr>
        <w:t>(</w:t>
      </w:r>
      <w:proofErr w:type="spellStart"/>
      <w:r w:rsidR="008D0F14" w:rsidRPr="00B42ED4">
        <w:rPr>
          <w:rFonts w:asciiTheme="minorHAnsi" w:hAnsiTheme="minorHAnsi"/>
        </w:rPr>
        <w:t>MoEF</w:t>
      </w:r>
      <w:proofErr w:type="spellEnd"/>
      <w:r w:rsidR="008D0F14" w:rsidRPr="00B42ED4">
        <w:rPr>
          <w:rFonts w:asciiTheme="minorHAnsi" w:hAnsiTheme="minorHAnsi"/>
          <w:cs/>
        </w:rPr>
        <w:t xml:space="preserve">) </w:t>
      </w:r>
      <w:r w:rsidR="008D0F14" w:rsidRPr="00B42ED4">
        <w:rPr>
          <w:rFonts w:asciiTheme="minorHAnsi" w:hAnsiTheme="minorHAnsi"/>
        </w:rPr>
        <w:t>is the lead Implementing Partner for the UN</w:t>
      </w:r>
      <w:r w:rsidR="008D0F14" w:rsidRPr="00B42ED4">
        <w:rPr>
          <w:rFonts w:asciiTheme="minorHAnsi" w:hAnsiTheme="minorHAnsi"/>
          <w:cs/>
        </w:rPr>
        <w:t>-</w:t>
      </w:r>
      <w:r w:rsidR="008D0F14" w:rsidRPr="00B42ED4">
        <w:rPr>
          <w:rFonts w:asciiTheme="minorHAnsi" w:hAnsiTheme="minorHAnsi"/>
        </w:rPr>
        <w:t>REDD National Programme</w:t>
      </w:r>
      <w:r w:rsidR="00A62FF5" w:rsidRPr="00B42ED4">
        <w:rPr>
          <w:rFonts w:asciiTheme="minorHAnsi" w:hAnsiTheme="minorHAnsi"/>
        </w:rPr>
        <w:t xml:space="preserve"> which is </w:t>
      </w:r>
      <w:r w:rsidR="008D0F14" w:rsidRPr="00B42ED4">
        <w:rPr>
          <w:rFonts w:asciiTheme="minorHAnsi" w:hAnsiTheme="minorHAnsi"/>
        </w:rPr>
        <w:t xml:space="preserve"> headed by a National Project Director </w:t>
      </w:r>
      <w:r w:rsidR="008D0F14" w:rsidRPr="00B42ED4">
        <w:rPr>
          <w:rFonts w:asciiTheme="minorHAnsi" w:hAnsiTheme="minorHAnsi"/>
          <w:cs/>
        </w:rPr>
        <w:t>(</w:t>
      </w:r>
      <w:r w:rsidR="008D0F14" w:rsidRPr="00B42ED4">
        <w:rPr>
          <w:rFonts w:asciiTheme="minorHAnsi" w:hAnsiTheme="minorHAnsi"/>
        </w:rPr>
        <w:t>NPD</w:t>
      </w:r>
      <w:r w:rsidR="008D0F14" w:rsidRPr="00B42ED4">
        <w:rPr>
          <w:rFonts w:asciiTheme="minorHAnsi" w:hAnsiTheme="minorHAnsi"/>
          <w:cs/>
        </w:rPr>
        <w:t>)</w:t>
      </w:r>
      <w:r w:rsidRPr="00B42ED4">
        <w:rPr>
          <w:rFonts w:asciiTheme="minorHAnsi" w:hAnsiTheme="minorHAnsi"/>
          <w:cs/>
        </w:rPr>
        <w:t xml:space="preserve">and </w:t>
      </w:r>
      <w:r w:rsidR="008D0F14" w:rsidRPr="00B42ED4">
        <w:rPr>
          <w:rFonts w:asciiTheme="minorHAnsi" w:hAnsiTheme="minorHAnsi"/>
        </w:rPr>
        <w:t xml:space="preserve"> supported by </w:t>
      </w:r>
      <w:r w:rsidRPr="00B42ED4">
        <w:rPr>
          <w:rFonts w:asciiTheme="minorHAnsi" w:hAnsiTheme="minorHAnsi"/>
        </w:rPr>
        <w:t xml:space="preserve">the </w:t>
      </w:r>
      <w:r w:rsidR="008D0F14" w:rsidRPr="00B42ED4">
        <w:rPr>
          <w:rFonts w:asciiTheme="minorHAnsi" w:hAnsiTheme="minorHAnsi"/>
        </w:rPr>
        <w:t xml:space="preserve">Programme Management Unit </w:t>
      </w:r>
      <w:r w:rsidR="008D0F14" w:rsidRPr="00B42ED4">
        <w:rPr>
          <w:rFonts w:asciiTheme="minorHAnsi" w:hAnsiTheme="minorHAnsi"/>
          <w:cs/>
        </w:rPr>
        <w:t>(</w:t>
      </w:r>
      <w:r w:rsidR="008D0F14" w:rsidRPr="00B42ED4">
        <w:rPr>
          <w:rFonts w:asciiTheme="minorHAnsi" w:hAnsiTheme="minorHAnsi"/>
        </w:rPr>
        <w:t>PMU</w:t>
      </w:r>
      <w:r w:rsidR="008D0F14" w:rsidRPr="00B42ED4">
        <w:rPr>
          <w:rFonts w:asciiTheme="minorHAnsi" w:hAnsiTheme="minorHAnsi"/>
          <w:cs/>
        </w:rPr>
        <w:t xml:space="preserve">). </w:t>
      </w:r>
      <w:r w:rsidR="008D0F14" w:rsidRPr="00B42ED4">
        <w:rPr>
          <w:rFonts w:asciiTheme="minorHAnsi" w:hAnsiTheme="minorHAnsi"/>
        </w:rPr>
        <w:t xml:space="preserve">The </w:t>
      </w:r>
      <w:r w:rsidR="008D0F14" w:rsidRPr="00B42ED4">
        <w:rPr>
          <w:rFonts w:asciiTheme="minorHAnsi" w:hAnsiTheme="minorHAnsi"/>
          <w:bCs/>
          <w:noProof/>
        </w:rPr>
        <w:t xml:space="preserve">United Nations Development Programme </w:t>
      </w:r>
      <w:r w:rsidR="008D0F14" w:rsidRPr="00B42ED4">
        <w:rPr>
          <w:rFonts w:asciiTheme="minorHAnsi" w:hAnsiTheme="minorHAnsi"/>
          <w:bCs/>
          <w:noProof/>
          <w:cs/>
        </w:rPr>
        <w:t>(</w:t>
      </w:r>
      <w:r w:rsidR="008D0F14" w:rsidRPr="00B42ED4">
        <w:rPr>
          <w:rFonts w:asciiTheme="minorHAnsi" w:hAnsiTheme="minorHAnsi"/>
          <w:bCs/>
          <w:noProof/>
        </w:rPr>
        <w:t>UNDP</w:t>
      </w:r>
      <w:r w:rsidR="008D0F14" w:rsidRPr="00B42ED4">
        <w:rPr>
          <w:rFonts w:asciiTheme="minorHAnsi" w:hAnsiTheme="minorHAnsi"/>
          <w:bCs/>
          <w:noProof/>
          <w:cs/>
        </w:rPr>
        <w:t xml:space="preserve">) </w:t>
      </w:r>
      <w:r w:rsidR="008D0F14" w:rsidRPr="00B42ED4">
        <w:rPr>
          <w:rFonts w:asciiTheme="minorHAnsi" w:hAnsiTheme="minorHAnsi"/>
          <w:bCs/>
          <w:noProof/>
        </w:rPr>
        <w:t xml:space="preserve">and Food and Agriculture Organization </w:t>
      </w:r>
      <w:r w:rsidR="008D0F14" w:rsidRPr="00B42ED4">
        <w:rPr>
          <w:rFonts w:asciiTheme="minorHAnsi" w:hAnsiTheme="minorHAnsi"/>
          <w:bCs/>
          <w:noProof/>
          <w:cs/>
        </w:rPr>
        <w:t>(</w:t>
      </w:r>
      <w:r w:rsidR="008D0F14" w:rsidRPr="00B42ED4">
        <w:rPr>
          <w:rFonts w:asciiTheme="minorHAnsi" w:hAnsiTheme="minorHAnsi"/>
          <w:bCs/>
          <w:noProof/>
        </w:rPr>
        <w:t>FAO</w:t>
      </w:r>
      <w:r w:rsidR="008D0F14" w:rsidRPr="00B42ED4">
        <w:rPr>
          <w:rFonts w:asciiTheme="minorHAnsi" w:hAnsiTheme="minorHAnsi"/>
          <w:bCs/>
          <w:noProof/>
          <w:cs/>
        </w:rPr>
        <w:t xml:space="preserve">) </w:t>
      </w:r>
      <w:r w:rsidR="008D0F14" w:rsidRPr="00B42ED4">
        <w:rPr>
          <w:rFonts w:asciiTheme="minorHAnsi" w:hAnsiTheme="minorHAnsi"/>
          <w:bCs/>
          <w:noProof/>
        </w:rPr>
        <w:t>are the two co</w:t>
      </w:r>
      <w:r w:rsidR="00A62FF5" w:rsidRPr="00B42ED4">
        <w:rPr>
          <w:rFonts w:asciiTheme="minorHAnsi" w:hAnsiTheme="minorHAnsi"/>
          <w:bCs/>
          <w:noProof/>
        </w:rPr>
        <w:t>-</w:t>
      </w:r>
      <w:r w:rsidR="008D0F14" w:rsidRPr="00B42ED4">
        <w:rPr>
          <w:rFonts w:asciiTheme="minorHAnsi" w:hAnsiTheme="minorHAnsi"/>
          <w:bCs/>
          <w:noProof/>
        </w:rPr>
        <w:t xml:space="preserve">implementing partners </w:t>
      </w:r>
      <w:r w:rsidRPr="00B42ED4">
        <w:rPr>
          <w:rFonts w:asciiTheme="minorHAnsi" w:hAnsiTheme="minorHAnsi"/>
          <w:bCs/>
          <w:noProof/>
        </w:rPr>
        <w:t xml:space="preserve">providing all out assitance to </w:t>
      </w:r>
      <w:r w:rsidR="008D0F14" w:rsidRPr="00B42ED4">
        <w:rPr>
          <w:rFonts w:asciiTheme="minorHAnsi" w:hAnsiTheme="minorHAnsi"/>
          <w:bCs/>
          <w:noProof/>
        </w:rPr>
        <w:t xml:space="preserve"> the PMU</w:t>
      </w:r>
      <w:r w:rsidR="008D0F14" w:rsidRPr="00B42ED4">
        <w:rPr>
          <w:rFonts w:asciiTheme="minorHAnsi" w:hAnsiTheme="minorHAnsi"/>
          <w:bCs/>
          <w:noProof/>
          <w:cs/>
        </w:rPr>
        <w:t xml:space="preserve">. </w:t>
      </w:r>
      <w:r w:rsidR="008D0F14" w:rsidRPr="00B42ED4">
        <w:rPr>
          <w:rFonts w:asciiTheme="minorHAnsi" w:hAnsiTheme="minorHAnsi"/>
        </w:rPr>
        <w:t>The duration of the NP is from July 2015 to June 2018</w:t>
      </w:r>
      <w:r w:rsidR="008D0F14" w:rsidRPr="00B42ED4">
        <w:rPr>
          <w:rFonts w:asciiTheme="minorHAnsi" w:hAnsiTheme="minorHAnsi"/>
          <w:cs/>
        </w:rPr>
        <w:t>.</w:t>
      </w:r>
    </w:p>
    <w:p w:rsidR="00673D12" w:rsidRPr="00B42ED4" w:rsidRDefault="008D0F14" w:rsidP="008D0F14">
      <w:pPr>
        <w:jc w:val="both"/>
        <w:rPr>
          <w:rFonts w:asciiTheme="minorHAnsi" w:hAnsiTheme="minorHAnsi"/>
          <w:cs/>
        </w:rPr>
      </w:pPr>
      <w:r w:rsidRPr="00B42ED4">
        <w:rPr>
          <w:rFonts w:asciiTheme="minorHAnsi" w:hAnsiTheme="minorHAnsi"/>
        </w:rPr>
        <w:t>The UN</w:t>
      </w:r>
      <w:r w:rsidRPr="00B42ED4">
        <w:rPr>
          <w:rFonts w:asciiTheme="minorHAnsi" w:hAnsiTheme="minorHAnsi"/>
          <w:cs/>
        </w:rPr>
        <w:t>-</w:t>
      </w:r>
      <w:r w:rsidRPr="00B42ED4">
        <w:rPr>
          <w:rFonts w:asciiTheme="minorHAnsi" w:hAnsiTheme="minorHAnsi"/>
        </w:rPr>
        <w:t>REDD Bangladesh National Programme has the objective</w:t>
      </w:r>
      <w:r w:rsidR="00A62FF5" w:rsidRPr="00B42ED4">
        <w:rPr>
          <w:rFonts w:asciiTheme="minorHAnsi" w:hAnsiTheme="minorHAnsi"/>
        </w:rPr>
        <w:t>s</w:t>
      </w:r>
      <w:r w:rsidRPr="00B42ED4">
        <w:rPr>
          <w:rFonts w:asciiTheme="minorHAnsi" w:hAnsiTheme="minorHAnsi"/>
        </w:rPr>
        <w:t xml:space="preserve"> to support the Government of Bangladesh in initiating the implementation of its REDD</w:t>
      </w:r>
      <w:r w:rsidRPr="00B42ED4">
        <w:rPr>
          <w:rFonts w:asciiTheme="minorHAnsi" w:hAnsiTheme="minorHAnsi"/>
          <w:cs/>
        </w:rPr>
        <w:t xml:space="preserve">+ </w:t>
      </w:r>
      <w:r w:rsidRPr="00B42ED4">
        <w:rPr>
          <w:rFonts w:asciiTheme="minorHAnsi" w:hAnsiTheme="minorHAnsi"/>
        </w:rPr>
        <w:t xml:space="preserve">Readiness Roadmap </w:t>
      </w:r>
      <w:r w:rsidRPr="00B42ED4">
        <w:rPr>
          <w:rFonts w:asciiTheme="minorHAnsi" w:hAnsiTheme="minorHAnsi"/>
          <w:cs/>
        </w:rPr>
        <w:t>(</w:t>
      </w:r>
      <w:r w:rsidRPr="00B42ED4">
        <w:rPr>
          <w:rFonts w:asciiTheme="minorHAnsi" w:hAnsiTheme="minorHAnsi"/>
        </w:rPr>
        <w:t>i</w:t>
      </w:r>
      <w:r w:rsidRPr="00B42ED4">
        <w:rPr>
          <w:rFonts w:asciiTheme="minorHAnsi" w:hAnsiTheme="minorHAnsi"/>
          <w:cs/>
        </w:rPr>
        <w:t>.</w:t>
      </w:r>
      <w:r w:rsidRPr="00B42ED4">
        <w:rPr>
          <w:rFonts w:asciiTheme="minorHAnsi" w:hAnsiTheme="minorHAnsi"/>
        </w:rPr>
        <w:t>e</w:t>
      </w:r>
      <w:r w:rsidRPr="00B42ED4">
        <w:rPr>
          <w:rFonts w:asciiTheme="minorHAnsi" w:hAnsiTheme="minorHAnsi"/>
          <w:cs/>
        </w:rPr>
        <w:t>.</w:t>
      </w:r>
      <w:r w:rsidRPr="00B42ED4">
        <w:rPr>
          <w:rFonts w:asciiTheme="minorHAnsi" w:hAnsiTheme="minorHAnsi"/>
        </w:rPr>
        <w:t>, R</w:t>
      </w:r>
      <w:r w:rsidRPr="00B42ED4">
        <w:rPr>
          <w:rFonts w:asciiTheme="minorHAnsi" w:hAnsiTheme="minorHAnsi"/>
          <w:cs/>
        </w:rPr>
        <w:t>-</w:t>
      </w:r>
      <w:r w:rsidRPr="00B42ED4">
        <w:rPr>
          <w:rFonts w:asciiTheme="minorHAnsi" w:hAnsiTheme="minorHAnsi"/>
        </w:rPr>
        <w:t>PP</w:t>
      </w:r>
      <w:r w:rsidRPr="00B42ED4">
        <w:rPr>
          <w:rFonts w:asciiTheme="minorHAnsi" w:hAnsiTheme="minorHAnsi"/>
          <w:cs/>
        </w:rPr>
        <w:t xml:space="preserve">) </w:t>
      </w:r>
      <w:r w:rsidRPr="00B42ED4">
        <w:rPr>
          <w:rFonts w:asciiTheme="minorHAnsi" w:hAnsiTheme="minorHAnsi"/>
        </w:rPr>
        <w:t>by establishing necessary REDD</w:t>
      </w:r>
      <w:r w:rsidRPr="00B42ED4">
        <w:rPr>
          <w:rFonts w:asciiTheme="minorHAnsi" w:hAnsiTheme="minorHAnsi"/>
          <w:cs/>
        </w:rPr>
        <w:t xml:space="preserve">+ </w:t>
      </w:r>
      <w:r w:rsidRPr="00B42ED4">
        <w:rPr>
          <w:rFonts w:asciiTheme="minorHAnsi" w:hAnsiTheme="minorHAnsi"/>
        </w:rPr>
        <w:t>management processes, identifying strategic readiness options for completing its National REDD</w:t>
      </w:r>
      <w:r w:rsidRPr="00B42ED4">
        <w:rPr>
          <w:rFonts w:asciiTheme="minorHAnsi" w:hAnsiTheme="minorHAnsi"/>
          <w:cs/>
        </w:rPr>
        <w:t xml:space="preserve">+ </w:t>
      </w:r>
      <w:r w:rsidRPr="00B42ED4">
        <w:rPr>
          <w:rFonts w:asciiTheme="minorHAnsi" w:hAnsiTheme="minorHAnsi"/>
        </w:rPr>
        <w:t xml:space="preserve">strategy, and developing </w:t>
      </w:r>
      <w:r w:rsidR="00031760" w:rsidRPr="00B42ED4">
        <w:rPr>
          <w:rFonts w:asciiTheme="minorHAnsi" w:hAnsiTheme="minorHAnsi"/>
        </w:rPr>
        <w:t>necessary capacities</w:t>
      </w:r>
      <w:r w:rsidRPr="00B42ED4">
        <w:rPr>
          <w:rFonts w:asciiTheme="minorHAnsi" w:hAnsiTheme="minorHAnsi"/>
        </w:rPr>
        <w:t xml:space="preserve"> to </w:t>
      </w:r>
      <w:r w:rsidR="00A62FF5" w:rsidRPr="00B42ED4">
        <w:rPr>
          <w:rFonts w:asciiTheme="minorHAnsi" w:hAnsiTheme="minorHAnsi"/>
        </w:rPr>
        <w:t>start</w:t>
      </w:r>
      <w:r w:rsidR="00673D12" w:rsidRPr="00B42ED4">
        <w:rPr>
          <w:rFonts w:asciiTheme="minorHAnsi" w:hAnsiTheme="minorHAnsi"/>
        </w:rPr>
        <w:t xml:space="preserve"> the implementation</w:t>
      </w:r>
      <w:r w:rsidRPr="00B42ED4">
        <w:rPr>
          <w:rFonts w:asciiTheme="minorHAnsi" w:hAnsiTheme="minorHAnsi"/>
        </w:rPr>
        <w:t xml:space="preserve"> </w:t>
      </w:r>
      <w:r w:rsidR="00673D12" w:rsidRPr="00B42ED4">
        <w:rPr>
          <w:rFonts w:asciiTheme="minorHAnsi" w:hAnsiTheme="minorHAnsi"/>
        </w:rPr>
        <w:t xml:space="preserve">process </w:t>
      </w:r>
      <w:r w:rsidRPr="00B42ED4">
        <w:rPr>
          <w:rFonts w:asciiTheme="minorHAnsi" w:hAnsiTheme="minorHAnsi"/>
        </w:rPr>
        <w:t>of REDD</w:t>
      </w:r>
      <w:r w:rsidRPr="00B42ED4">
        <w:rPr>
          <w:rFonts w:asciiTheme="minorHAnsi" w:hAnsiTheme="minorHAnsi"/>
          <w:cs/>
        </w:rPr>
        <w:t>+.</w:t>
      </w:r>
    </w:p>
    <w:p w:rsidR="00434585" w:rsidRPr="00B42ED4" w:rsidRDefault="00434585" w:rsidP="008D0F14">
      <w:pPr>
        <w:jc w:val="both"/>
        <w:rPr>
          <w:rFonts w:asciiTheme="minorHAnsi" w:hAnsiTheme="minorHAnsi"/>
        </w:rPr>
      </w:pPr>
      <w:r w:rsidRPr="00B42ED4">
        <w:rPr>
          <w:rFonts w:asciiTheme="minorHAnsi" w:hAnsiTheme="minorHAnsi"/>
          <w:cs/>
        </w:rPr>
        <w:t xml:space="preserve">Since </w:t>
      </w:r>
      <w:r w:rsidR="008B3BB6" w:rsidRPr="00B42ED4">
        <w:rPr>
          <w:rFonts w:asciiTheme="minorHAnsi" w:hAnsiTheme="minorHAnsi"/>
          <w:cs/>
        </w:rPr>
        <w:t xml:space="preserve">the </w:t>
      </w:r>
      <w:r w:rsidRPr="00B42ED4">
        <w:rPr>
          <w:rFonts w:asciiTheme="minorHAnsi" w:hAnsiTheme="minorHAnsi"/>
          <w:cs/>
        </w:rPr>
        <w:t>REDD+ program goes beyond the context of deforestation and forest degradation and encomp</w:t>
      </w:r>
      <w:r w:rsidR="004D7292" w:rsidRPr="00B42ED4">
        <w:rPr>
          <w:rFonts w:asciiTheme="minorHAnsi" w:hAnsiTheme="minorHAnsi"/>
          <w:cs/>
        </w:rPr>
        <w:t>asses the role of conservation,</w:t>
      </w:r>
      <w:r w:rsidRPr="00B42ED4">
        <w:rPr>
          <w:rFonts w:asciiTheme="minorHAnsi" w:hAnsiTheme="minorHAnsi"/>
          <w:cs/>
        </w:rPr>
        <w:t xml:space="preserve"> sustainable mangemnet of forests and enghancemnet of the forest carbon stocks</w:t>
      </w:r>
      <w:r w:rsidR="004D7292" w:rsidRPr="00B42ED4">
        <w:rPr>
          <w:rFonts w:asciiTheme="minorHAnsi" w:hAnsiTheme="minorHAnsi"/>
          <w:cs/>
        </w:rPr>
        <w:t>, it is imperative to examine mutlidimensional attributes such as forest managem</w:t>
      </w:r>
      <w:r w:rsidR="002A7ABC" w:rsidRPr="00B42ED4">
        <w:rPr>
          <w:rFonts w:asciiTheme="minorHAnsi" w:hAnsiTheme="minorHAnsi"/>
          <w:cs/>
        </w:rPr>
        <w:t>ent</w:t>
      </w:r>
      <w:r w:rsidR="004D7292" w:rsidRPr="00B42ED4">
        <w:rPr>
          <w:rFonts w:asciiTheme="minorHAnsi" w:hAnsiTheme="minorHAnsi"/>
          <w:cs/>
        </w:rPr>
        <w:t>, governance, land tenure and safe guard in support of REDD+ in Bangladesh</w:t>
      </w:r>
      <w:r w:rsidR="00031760" w:rsidRPr="00B42ED4">
        <w:rPr>
          <w:rFonts w:asciiTheme="minorHAnsi" w:hAnsiTheme="minorHAnsi"/>
          <w:cs/>
        </w:rPr>
        <w:t>.</w:t>
      </w:r>
      <w:r w:rsidR="004D7292" w:rsidRPr="00B42ED4">
        <w:rPr>
          <w:rFonts w:asciiTheme="minorHAnsi" w:hAnsiTheme="minorHAnsi"/>
          <w:cs/>
        </w:rPr>
        <w:t xml:space="preserve"> </w:t>
      </w:r>
    </w:p>
    <w:p w:rsidR="008D0F14" w:rsidRPr="00173781" w:rsidRDefault="008D0F14" w:rsidP="00173781">
      <w:pPr>
        <w:pStyle w:val="Heading2"/>
      </w:pPr>
      <w:bookmarkStart w:id="11" w:name="_Toc359334212"/>
      <w:bookmarkStart w:id="12" w:name="_Toc356128322"/>
      <w:bookmarkStart w:id="13" w:name="_Toc247019566"/>
      <w:bookmarkStart w:id="14" w:name="_Toc480269220"/>
      <w:bookmarkStart w:id="15" w:name="_Toc469087358"/>
      <w:bookmarkStart w:id="16" w:name="_Toc466192996"/>
      <w:bookmarkStart w:id="17" w:name="_Toc515223790"/>
      <w:r w:rsidRPr="00173781">
        <w:t>1</w:t>
      </w:r>
      <w:r w:rsidRPr="00173781">
        <w:rPr>
          <w:rFonts w:hint="cs"/>
          <w:szCs w:val="24"/>
          <w:cs/>
        </w:rPr>
        <w:t>.</w:t>
      </w:r>
      <w:r w:rsidRPr="00173781">
        <w:t xml:space="preserve">2 </w:t>
      </w:r>
      <w:r w:rsidRPr="00173781">
        <w:tab/>
      </w:r>
      <w:r w:rsidRPr="00BF69EA">
        <w:t xml:space="preserve">Scope of the </w:t>
      </w:r>
      <w:bookmarkEnd w:id="11"/>
      <w:bookmarkEnd w:id="12"/>
      <w:bookmarkEnd w:id="13"/>
      <w:r w:rsidR="00BF69EA" w:rsidRPr="00BF69EA">
        <w:t>r</w:t>
      </w:r>
      <w:r w:rsidRPr="00BF69EA">
        <w:t>eport</w:t>
      </w:r>
      <w:bookmarkEnd w:id="14"/>
      <w:bookmarkEnd w:id="15"/>
      <w:bookmarkEnd w:id="16"/>
      <w:bookmarkEnd w:id="17"/>
    </w:p>
    <w:p w:rsidR="008D0F14" w:rsidRPr="00093584" w:rsidRDefault="00E77358" w:rsidP="00093584">
      <w:pPr>
        <w:spacing w:after="0" w:line="360" w:lineRule="auto"/>
        <w:jc w:val="both"/>
      </w:pPr>
      <w:r w:rsidRPr="00B807E2">
        <w:t xml:space="preserve">As mentioned earlier that the REDD+ program </w:t>
      </w:r>
      <w:r w:rsidR="008B3BB6" w:rsidRPr="00B807E2">
        <w:t xml:space="preserve">has been </w:t>
      </w:r>
      <w:r w:rsidR="00F62F07" w:rsidRPr="00B807E2">
        <w:t xml:space="preserve">developed to </w:t>
      </w:r>
      <w:r w:rsidR="003523E5" w:rsidRPr="00B807E2">
        <w:t>go beyond</w:t>
      </w:r>
      <w:r w:rsidRPr="00B807E2">
        <w:t xml:space="preserve"> the setting of deforestation and forests degradation only</w:t>
      </w:r>
      <w:r w:rsidR="008B3BB6" w:rsidRPr="00B807E2">
        <w:t xml:space="preserve">, </w:t>
      </w:r>
      <w:r w:rsidR="00B807E2" w:rsidRPr="00B807E2">
        <w:t>thus covered</w:t>
      </w:r>
      <w:r w:rsidR="00F62F07" w:rsidRPr="00B807E2">
        <w:t xml:space="preserve"> many other aspects of which </w:t>
      </w:r>
      <w:r w:rsidR="00F62F07" w:rsidRPr="00B807E2">
        <w:lastRenderedPageBreak/>
        <w:t xml:space="preserve">gender </w:t>
      </w:r>
      <w:r w:rsidR="003523E5" w:rsidRPr="00B807E2">
        <w:t>dimension is</w:t>
      </w:r>
      <w:r w:rsidR="00F62F07" w:rsidRPr="00B807E2">
        <w:t xml:space="preserve"> worth mentioning. </w:t>
      </w:r>
      <w:r w:rsidR="008D0F14" w:rsidRPr="00B807E2">
        <w:t xml:space="preserve">The primary aim of this report is to document the gender dimensions in forestry sector </w:t>
      </w:r>
      <w:r w:rsidR="00B807E2">
        <w:t xml:space="preserve">of </w:t>
      </w:r>
      <w:r w:rsidR="008D0F14" w:rsidRPr="00B807E2">
        <w:t>Bangladesh based on literature review. The literature includes publish research articles, project and/or government reports and any other such information to allow a depiction of the role both male and female members plays in our forestry sector.</w:t>
      </w:r>
      <w:bookmarkStart w:id="18" w:name="_Toc247019567"/>
      <w:bookmarkStart w:id="19" w:name="_Toc356128323"/>
      <w:bookmarkStart w:id="20" w:name="_Toc359334213"/>
      <w:r w:rsidR="00093584">
        <w:t xml:space="preserve"> </w:t>
      </w:r>
    </w:p>
    <w:p w:rsidR="008D0F14" w:rsidRPr="00173781" w:rsidRDefault="008D0F14" w:rsidP="00173781">
      <w:pPr>
        <w:pStyle w:val="Heading2"/>
      </w:pPr>
      <w:bookmarkStart w:id="21" w:name="_Toc480269221"/>
      <w:bookmarkStart w:id="22" w:name="_Toc469087359"/>
      <w:bookmarkStart w:id="23" w:name="_Toc466192997"/>
      <w:bookmarkStart w:id="24" w:name="_Toc515223791"/>
      <w:r w:rsidRPr="00173781">
        <w:t>1</w:t>
      </w:r>
      <w:r w:rsidRPr="00173781">
        <w:rPr>
          <w:rFonts w:hint="cs"/>
          <w:szCs w:val="24"/>
          <w:cs/>
        </w:rPr>
        <w:t>.</w:t>
      </w:r>
      <w:r w:rsidRPr="00173781">
        <w:t xml:space="preserve">3 </w:t>
      </w:r>
      <w:r w:rsidRPr="00173781">
        <w:tab/>
        <w:t>Organization</w:t>
      </w:r>
      <w:bookmarkEnd w:id="18"/>
      <w:r w:rsidRPr="00173781">
        <w:t xml:space="preserve"> of the </w:t>
      </w:r>
      <w:bookmarkEnd w:id="19"/>
      <w:r w:rsidR="00BF69EA">
        <w:t>r</w:t>
      </w:r>
      <w:r w:rsidRPr="00173781">
        <w:t>eport</w:t>
      </w:r>
      <w:bookmarkEnd w:id="20"/>
      <w:bookmarkEnd w:id="21"/>
      <w:bookmarkEnd w:id="22"/>
      <w:bookmarkEnd w:id="23"/>
      <w:bookmarkEnd w:id="24"/>
    </w:p>
    <w:p w:rsidR="008D0F14" w:rsidRPr="00173781" w:rsidRDefault="00B807E2" w:rsidP="00173781">
      <w:pPr>
        <w:spacing w:after="0" w:line="360" w:lineRule="auto"/>
        <w:jc w:val="both"/>
        <w:rPr>
          <w:rFonts w:asciiTheme="minorHAnsi" w:hAnsiTheme="minorHAnsi"/>
        </w:rPr>
      </w:pPr>
      <w:r w:rsidRPr="00CB406C">
        <w:rPr>
          <w:rFonts w:asciiTheme="minorHAnsi" w:hAnsiTheme="minorHAnsi"/>
        </w:rPr>
        <w:t xml:space="preserve">This report attempts to present </w:t>
      </w:r>
      <w:r w:rsidR="00CB406C">
        <w:rPr>
          <w:rFonts w:asciiTheme="minorHAnsi" w:hAnsiTheme="minorHAnsi"/>
        </w:rPr>
        <w:t xml:space="preserve">the </w:t>
      </w:r>
      <w:r w:rsidRPr="00CB406C">
        <w:rPr>
          <w:rFonts w:asciiTheme="minorHAnsi" w:hAnsiTheme="minorHAnsi"/>
        </w:rPr>
        <w:t xml:space="preserve">background, scopes and </w:t>
      </w:r>
      <w:r w:rsidR="0002536B" w:rsidRPr="00CB406C">
        <w:rPr>
          <w:rFonts w:asciiTheme="minorHAnsi" w:hAnsiTheme="minorHAnsi"/>
        </w:rPr>
        <w:t xml:space="preserve">chronologic </w:t>
      </w:r>
      <w:r w:rsidRPr="00CB406C">
        <w:rPr>
          <w:rFonts w:asciiTheme="minorHAnsi" w:hAnsiTheme="minorHAnsi"/>
        </w:rPr>
        <w:t>situation analysis of the gender dimension in forestry sector of Bangladesh</w:t>
      </w:r>
      <w:r w:rsidR="009C12BF" w:rsidRPr="00CB406C">
        <w:rPr>
          <w:rFonts w:asciiTheme="minorHAnsi" w:hAnsiTheme="minorHAnsi"/>
        </w:rPr>
        <w:t>.</w:t>
      </w:r>
      <w:r w:rsidRPr="00CB406C">
        <w:rPr>
          <w:rFonts w:asciiTheme="minorHAnsi" w:hAnsiTheme="minorHAnsi"/>
        </w:rPr>
        <w:t xml:space="preserve"> </w:t>
      </w:r>
      <w:r w:rsidR="00AC6EE0" w:rsidRPr="00CB406C">
        <w:rPr>
          <w:rFonts w:asciiTheme="minorHAnsi" w:hAnsiTheme="minorHAnsi"/>
        </w:rPr>
        <w:t xml:space="preserve">Section </w:t>
      </w:r>
      <w:r w:rsidR="00CB406C">
        <w:rPr>
          <w:rFonts w:asciiTheme="minorHAnsi" w:hAnsiTheme="minorHAnsi"/>
        </w:rPr>
        <w:t>1</w:t>
      </w:r>
      <w:r w:rsidR="00AC6EE0" w:rsidRPr="00CB406C">
        <w:rPr>
          <w:rFonts w:asciiTheme="minorHAnsi" w:hAnsiTheme="minorHAnsi"/>
        </w:rPr>
        <w:t xml:space="preserve"> introduces the b</w:t>
      </w:r>
      <w:r w:rsidR="008D0F14" w:rsidRPr="00CB406C">
        <w:rPr>
          <w:rFonts w:asciiTheme="minorHAnsi" w:hAnsiTheme="minorHAnsi"/>
        </w:rPr>
        <w:t xml:space="preserve">ackground </w:t>
      </w:r>
      <w:r w:rsidRPr="00CB406C">
        <w:rPr>
          <w:rFonts w:asciiTheme="minorHAnsi" w:hAnsiTheme="minorHAnsi"/>
        </w:rPr>
        <w:t>and scope</w:t>
      </w:r>
      <w:r w:rsidR="00CB406C">
        <w:rPr>
          <w:rFonts w:asciiTheme="minorHAnsi" w:hAnsiTheme="minorHAnsi"/>
        </w:rPr>
        <w:t>s</w:t>
      </w:r>
      <w:r w:rsidRPr="00CB406C">
        <w:rPr>
          <w:rFonts w:asciiTheme="minorHAnsi" w:hAnsiTheme="minorHAnsi"/>
        </w:rPr>
        <w:t xml:space="preserve"> of the </w:t>
      </w:r>
      <w:r w:rsidR="008D0F14" w:rsidRPr="00CB406C">
        <w:rPr>
          <w:rFonts w:asciiTheme="minorHAnsi" w:hAnsiTheme="minorHAnsi"/>
        </w:rPr>
        <w:t>UN</w:t>
      </w:r>
      <w:r w:rsidR="008D0F14" w:rsidRPr="00CB406C">
        <w:rPr>
          <w:rFonts w:asciiTheme="minorHAnsi" w:hAnsiTheme="minorHAnsi" w:cs="Vrinda"/>
          <w:cs/>
        </w:rPr>
        <w:t>-</w:t>
      </w:r>
      <w:r w:rsidR="008D0F14" w:rsidRPr="00CB406C">
        <w:rPr>
          <w:rFonts w:asciiTheme="minorHAnsi" w:hAnsiTheme="minorHAnsi"/>
        </w:rPr>
        <w:t xml:space="preserve">REDD </w:t>
      </w:r>
      <w:proofErr w:type="spellStart"/>
      <w:r w:rsidR="008D0F14" w:rsidRPr="00CB406C">
        <w:rPr>
          <w:rFonts w:asciiTheme="minorHAnsi" w:hAnsiTheme="minorHAnsi"/>
        </w:rPr>
        <w:t>programme</w:t>
      </w:r>
      <w:proofErr w:type="spellEnd"/>
      <w:r w:rsidRPr="00CB406C">
        <w:rPr>
          <w:rFonts w:asciiTheme="minorHAnsi" w:hAnsiTheme="minorHAnsi"/>
        </w:rPr>
        <w:t xml:space="preserve"> </w:t>
      </w:r>
      <w:r w:rsidR="00A87369" w:rsidRPr="00CB406C">
        <w:rPr>
          <w:rFonts w:asciiTheme="minorHAnsi" w:hAnsiTheme="minorHAnsi"/>
        </w:rPr>
        <w:t>while Section</w:t>
      </w:r>
      <w:r w:rsidR="008D0F14" w:rsidRPr="00CB406C">
        <w:rPr>
          <w:rFonts w:asciiTheme="minorHAnsi" w:hAnsiTheme="minorHAnsi"/>
        </w:rPr>
        <w:t xml:space="preserve"> 2</w:t>
      </w:r>
      <w:r w:rsidRPr="00CB406C">
        <w:rPr>
          <w:rFonts w:asciiTheme="minorHAnsi" w:hAnsiTheme="minorHAnsi"/>
        </w:rPr>
        <w:t xml:space="preserve"> highlighted the significance of gender and their differentiated roles </w:t>
      </w:r>
      <w:r w:rsidR="00CB406C">
        <w:rPr>
          <w:rFonts w:asciiTheme="minorHAnsi" w:hAnsiTheme="minorHAnsi"/>
        </w:rPr>
        <w:t>of</w:t>
      </w:r>
      <w:r w:rsidRPr="00CB406C">
        <w:rPr>
          <w:rFonts w:asciiTheme="minorHAnsi" w:hAnsiTheme="minorHAnsi"/>
        </w:rPr>
        <w:t xml:space="preserve"> forest</w:t>
      </w:r>
      <w:r w:rsidR="00A87369" w:rsidRPr="00CB406C">
        <w:rPr>
          <w:rFonts w:asciiTheme="minorHAnsi" w:hAnsiTheme="minorHAnsi"/>
        </w:rPr>
        <w:t xml:space="preserve"> </w:t>
      </w:r>
      <w:r w:rsidRPr="00CB406C">
        <w:rPr>
          <w:rFonts w:asciiTheme="minorHAnsi" w:hAnsiTheme="minorHAnsi"/>
        </w:rPr>
        <w:t>resource use</w:t>
      </w:r>
      <w:r w:rsidR="008D0F14" w:rsidRPr="00CB406C">
        <w:rPr>
          <w:rFonts w:asciiTheme="minorHAnsi" w:hAnsiTheme="minorHAnsi"/>
        </w:rPr>
        <w:t xml:space="preserve"> </w:t>
      </w:r>
      <w:r w:rsidR="00A87369" w:rsidRPr="00CB406C">
        <w:rPr>
          <w:rFonts w:asciiTheme="minorHAnsi" w:hAnsiTheme="minorHAnsi"/>
        </w:rPr>
        <w:t>and the importance of considering gender role while developing national REDD+ as per the UNFCCC decisions.</w:t>
      </w:r>
      <w:r w:rsidR="0002536B" w:rsidRPr="00CB406C">
        <w:rPr>
          <w:rFonts w:asciiTheme="minorHAnsi" w:hAnsiTheme="minorHAnsi"/>
        </w:rPr>
        <w:t xml:space="preserve"> Section 3 attempted to reveal the legal and policy frameworks </w:t>
      </w:r>
      <w:r w:rsidR="00CB406C">
        <w:rPr>
          <w:rFonts w:asciiTheme="minorHAnsi" w:hAnsiTheme="minorHAnsi"/>
        </w:rPr>
        <w:t xml:space="preserve">scenario and how it is </w:t>
      </w:r>
      <w:r w:rsidR="0002536B" w:rsidRPr="00CB406C">
        <w:rPr>
          <w:rFonts w:asciiTheme="minorHAnsi" w:hAnsiTheme="minorHAnsi"/>
        </w:rPr>
        <w:t>reflecting and reiterating gender dimensions to be considered in any project imp</w:t>
      </w:r>
      <w:r w:rsidR="00CB406C">
        <w:rPr>
          <w:rFonts w:asciiTheme="minorHAnsi" w:hAnsiTheme="minorHAnsi"/>
        </w:rPr>
        <w:t>lementation. The next section (s</w:t>
      </w:r>
      <w:r w:rsidR="0002536B" w:rsidRPr="00CB406C">
        <w:rPr>
          <w:rFonts w:asciiTheme="minorHAnsi" w:hAnsiTheme="minorHAnsi"/>
        </w:rPr>
        <w:t>ection-4)</w:t>
      </w:r>
      <w:r w:rsidR="00F9630C" w:rsidRPr="00CB406C">
        <w:rPr>
          <w:rFonts w:asciiTheme="minorHAnsi" w:hAnsiTheme="minorHAnsi"/>
        </w:rPr>
        <w:t xml:space="preserve"> depicted the gender role in forestry sector of Bangladesh </w:t>
      </w:r>
      <w:r w:rsidR="00B37F73" w:rsidRPr="00CB406C">
        <w:rPr>
          <w:rFonts w:asciiTheme="minorHAnsi" w:hAnsiTheme="minorHAnsi"/>
        </w:rPr>
        <w:t xml:space="preserve">particularly in terms of resource extraction, livelihood and conservation aspect </w:t>
      </w:r>
      <w:r w:rsidR="00F9630C" w:rsidRPr="00CB406C">
        <w:rPr>
          <w:rFonts w:asciiTheme="minorHAnsi" w:hAnsiTheme="minorHAnsi"/>
        </w:rPr>
        <w:t xml:space="preserve">based on literature review. </w:t>
      </w:r>
      <w:r w:rsidR="00B37F73" w:rsidRPr="00CB406C">
        <w:rPr>
          <w:rFonts w:asciiTheme="minorHAnsi" w:hAnsiTheme="minorHAnsi"/>
        </w:rPr>
        <w:t xml:space="preserve">Section 5 manifested gender dimension in context of the mangrove forest of Bangladesh. Way forward has been suggested in </w:t>
      </w:r>
      <w:r w:rsidR="00CB406C">
        <w:rPr>
          <w:rFonts w:asciiTheme="minorHAnsi" w:hAnsiTheme="minorHAnsi"/>
        </w:rPr>
        <w:t xml:space="preserve">the next </w:t>
      </w:r>
      <w:r w:rsidR="00114B3C">
        <w:rPr>
          <w:rFonts w:asciiTheme="minorHAnsi" w:hAnsiTheme="minorHAnsi"/>
        </w:rPr>
        <w:t>section (</w:t>
      </w:r>
      <w:r w:rsidR="00B37F73" w:rsidRPr="00CB406C">
        <w:rPr>
          <w:rFonts w:asciiTheme="minorHAnsi" w:hAnsiTheme="minorHAnsi"/>
        </w:rPr>
        <w:t xml:space="preserve">section </w:t>
      </w:r>
      <w:r w:rsidR="00114B3C" w:rsidRPr="00CB406C">
        <w:rPr>
          <w:rFonts w:asciiTheme="minorHAnsi" w:hAnsiTheme="minorHAnsi"/>
        </w:rPr>
        <w:t>6)</w:t>
      </w:r>
      <w:r w:rsidR="00CB406C">
        <w:rPr>
          <w:rFonts w:asciiTheme="minorHAnsi" w:hAnsiTheme="minorHAnsi"/>
        </w:rPr>
        <w:t xml:space="preserve"> </w:t>
      </w:r>
      <w:r w:rsidR="00B37F73" w:rsidRPr="00CB406C">
        <w:rPr>
          <w:rFonts w:asciiTheme="minorHAnsi" w:hAnsiTheme="minorHAnsi"/>
        </w:rPr>
        <w:t xml:space="preserve">based on the literature reviews </w:t>
      </w:r>
      <w:r w:rsidR="003D0A5F" w:rsidRPr="00CB406C">
        <w:rPr>
          <w:rFonts w:asciiTheme="minorHAnsi" w:hAnsiTheme="minorHAnsi"/>
        </w:rPr>
        <w:t xml:space="preserve">and general discussion to provide clues for future direction and smooth operation of the national REDD+ program. </w:t>
      </w:r>
    </w:p>
    <w:p w:rsidR="00173781" w:rsidRPr="00617A6E" w:rsidRDefault="007C49ED" w:rsidP="00617A6E">
      <w:pPr>
        <w:pStyle w:val="Heading1"/>
      </w:pPr>
      <w:bookmarkStart w:id="25" w:name="_Toc510958594"/>
      <w:bookmarkStart w:id="26" w:name="_Toc515223792"/>
      <w:r w:rsidRPr="00617A6E">
        <w:t xml:space="preserve">2. </w:t>
      </w:r>
      <w:bookmarkEnd w:id="25"/>
      <w:r w:rsidR="008D0F14" w:rsidRPr="00617A6E">
        <w:t>REDD+ and Gender</w:t>
      </w:r>
      <w:bookmarkEnd w:id="26"/>
      <w:r w:rsidR="008D0F14" w:rsidRPr="00617A6E">
        <w:t xml:space="preserve"> </w:t>
      </w:r>
      <w:r w:rsidR="00072E08" w:rsidRPr="00617A6E">
        <w:t xml:space="preserve"> </w:t>
      </w:r>
      <w:bookmarkStart w:id="27" w:name="_Toc510958595"/>
    </w:p>
    <w:p w:rsidR="00560145" w:rsidRDefault="00594810" w:rsidP="00295F38">
      <w:pPr>
        <w:spacing w:line="360" w:lineRule="auto"/>
        <w:jc w:val="both"/>
      </w:pPr>
      <w:r>
        <w:t>W</w:t>
      </w:r>
      <w:r w:rsidR="00560145">
        <w:t xml:space="preserve">omen and men have different roles, responsibilities and knowledge in managing natural resources (Resurrection and </w:t>
      </w:r>
      <w:proofErr w:type="spellStart"/>
      <w:r w:rsidR="00560145">
        <w:t>Elmhirst</w:t>
      </w:r>
      <w:proofErr w:type="spellEnd"/>
      <w:r w:rsidR="00560145">
        <w:t xml:space="preserve">, 2008). </w:t>
      </w:r>
      <w:r w:rsidR="00F56147">
        <w:t>The impact of climate change is more devastating to the sections of people who are generally dependent on natural resources</w:t>
      </w:r>
      <w:r w:rsidR="00E73711">
        <w:t xml:space="preserve"> for livelihood</w:t>
      </w:r>
      <w:r w:rsidR="00CB406C">
        <w:t xml:space="preserve"> such as forest resources</w:t>
      </w:r>
      <w:r w:rsidR="00E73711">
        <w:t>. Women in this regard, face the high risk and burdens from the impacts of climate change</w:t>
      </w:r>
      <w:r w:rsidR="004D1EB1">
        <w:t xml:space="preserve"> (WWF, 2012).</w:t>
      </w:r>
      <w:r w:rsidR="00560145">
        <w:t xml:space="preserve"> </w:t>
      </w:r>
    </w:p>
    <w:p w:rsidR="00560145" w:rsidRDefault="00560145" w:rsidP="00295F38">
      <w:pPr>
        <w:spacing w:line="360" w:lineRule="auto"/>
        <w:jc w:val="both"/>
      </w:pPr>
      <w:r>
        <w:t>Assessing gender roles and supporting women affected by natural resource extraction is important for ensuring natural resource justice (</w:t>
      </w:r>
      <w:proofErr w:type="spellStart"/>
      <w:r w:rsidR="00C31C53">
        <w:t>Shabib</w:t>
      </w:r>
      <w:proofErr w:type="spellEnd"/>
      <w:r w:rsidR="00C31C53">
        <w:t xml:space="preserve"> and khan, 2014; </w:t>
      </w:r>
      <w:r>
        <w:t xml:space="preserve">Sweetman and </w:t>
      </w:r>
      <w:proofErr w:type="spellStart"/>
      <w:r>
        <w:t>Ezpeleta</w:t>
      </w:r>
      <w:proofErr w:type="spellEnd"/>
      <w:r>
        <w:t xml:space="preserve">, 2017). Neglecting gender in natural resource management resulted in sustained conflict between forest custodian and forest resource user groups (FUGs) that in the long run expedite deforestation and degradation of forest </w:t>
      </w:r>
      <w:r w:rsidR="00BB4ABE">
        <w:t>resources</w:t>
      </w:r>
      <w:r>
        <w:t xml:space="preserve">  (</w:t>
      </w:r>
      <w:proofErr w:type="spellStart"/>
      <w:r w:rsidR="00BB4ABE">
        <w:t>Fonjong</w:t>
      </w:r>
      <w:proofErr w:type="spellEnd"/>
      <w:r w:rsidR="00BB4ABE">
        <w:t>, 2008).</w:t>
      </w:r>
    </w:p>
    <w:p w:rsidR="00F56147" w:rsidRPr="00173781" w:rsidRDefault="00E73711" w:rsidP="00173781">
      <w:pPr>
        <w:spacing w:line="360" w:lineRule="auto"/>
        <w:jc w:val="both"/>
      </w:pPr>
      <w:r>
        <w:lastRenderedPageBreak/>
        <w:t>Considering the vulnerability, Parties to the UNFCCC unanimously agreed upon and involve women and men in UNFCCC process (UNFCCC, 2017). Starting from the 1995</w:t>
      </w:r>
      <w:r w:rsidR="00681ECB">
        <w:t xml:space="preserve"> </w:t>
      </w:r>
      <w:r>
        <w:t>Beijing</w:t>
      </w:r>
      <w:r w:rsidR="007878FC">
        <w:t xml:space="preserve"> </w:t>
      </w:r>
      <w:r>
        <w:t>Declaration and Platform for Action</w:t>
      </w:r>
      <w:r w:rsidR="007878FC">
        <w:t xml:space="preserve"> to 2016 Marrakech Climate Change Conference all reiterated the </w:t>
      </w:r>
      <w:r w:rsidR="00BD3D6A">
        <w:t>importance of considering gender issue</w:t>
      </w:r>
      <w:r w:rsidR="00594810">
        <w:t xml:space="preserve"> for sustainable resource </w:t>
      </w:r>
      <w:r w:rsidR="00B42ED4">
        <w:t>management</w:t>
      </w:r>
      <w:r w:rsidR="00BD3D6A">
        <w:t>.</w:t>
      </w:r>
      <w:r w:rsidR="007878FC">
        <w:t xml:space="preserve"> </w:t>
      </w:r>
      <w:r w:rsidR="00BD3D6A">
        <w:t>Keeping this in mind, t</w:t>
      </w:r>
      <w:r w:rsidR="007878FC">
        <w:t xml:space="preserve">he Paris Agreement of 2015 acknowledges adopting necessary action to respect, promote and consider gender equality and empowerment.   </w:t>
      </w:r>
      <w:r>
        <w:t xml:space="preserve">  </w:t>
      </w:r>
    </w:p>
    <w:p w:rsidR="00156665" w:rsidRPr="00594810" w:rsidRDefault="00156665" w:rsidP="00617A6E">
      <w:pPr>
        <w:spacing w:line="360" w:lineRule="auto"/>
        <w:jc w:val="both"/>
      </w:pPr>
      <w:r w:rsidRPr="00594810">
        <w:t xml:space="preserve">The natural resource base particularly forest resources </w:t>
      </w:r>
      <w:r w:rsidR="009863BB" w:rsidRPr="00594810">
        <w:t xml:space="preserve">of Bangladesh </w:t>
      </w:r>
      <w:r w:rsidRPr="00594810">
        <w:t>are vanishing at an alarming rate</w:t>
      </w:r>
      <w:r w:rsidR="00CD7E5E" w:rsidRPr="00594810">
        <w:t xml:space="preserve"> </w:t>
      </w:r>
      <w:r w:rsidR="008F2A3C" w:rsidRPr="00266721">
        <w:t xml:space="preserve">(Salam and Noguchi, 1998; </w:t>
      </w:r>
      <w:proofErr w:type="spellStart"/>
      <w:r w:rsidR="008F2A3C" w:rsidRPr="00266721">
        <w:t>Poffenberger</w:t>
      </w:r>
      <w:proofErr w:type="spellEnd"/>
      <w:r w:rsidR="008F2A3C" w:rsidRPr="00266721">
        <w:t>, 2000; Rashid et al., 2017)</w:t>
      </w:r>
      <w:r w:rsidRPr="00266721">
        <w:t>.</w:t>
      </w:r>
      <w:r w:rsidRPr="00594810">
        <w:t xml:space="preserve"> The rapid degradation of forest and its resources is not only affecting our resource base and livelihood, but also contributing negatively to our climate by emitting </w:t>
      </w:r>
      <w:r w:rsidR="00594810" w:rsidRPr="00594810">
        <w:t>greenhouse</w:t>
      </w:r>
      <w:r w:rsidRPr="00594810">
        <w:t xml:space="preserve"> gases.  Bangladesh has the potentials for the restoration and conservation of our forest resources by engaging local forest dependent communities since the subsistence needs and conservation linked livelihood is largely dependent of the forest (Ahmad et al., 2011).</w:t>
      </w:r>
    </w:p>
    <w:p w:rsidR="00BD3D6A" w:rsidRPr="00093584" w:rsidRDefault="00AA3DC5" w:rsidP="00093584">
      <w:pPr>
        <w:spacing w:line="360" w:lineRule="auto"/>
        <w:jc w:val="both"/>
      </w:pPr>
      <w:r w:rsidRPr="00594810">
        <w:t>Reduction of emission through deforestation and degradation</w:t>
      </w:r>
      <w:r w:rsidR="00A11A5C">
        <w:t xml:space="preserve"> widely dubbed as </w:t>
      </w:r>
      <w:r w:rsidR="00CD7E5E" w:rsidRPr="00594810">
        <w:t>REDD+</w:t>
      </w:r>
      <w:r w:rsidRPr="00594810">
        <w:t xml:space="preserve"> has opened </w:t>
      </w:r>
      <w:r w:rsidR="00CD7E5E" w:rsidRPr="00594810">
        <w:t>up excellent opportunities</w:t>
      </w:r>
      <w:r w:rsidRPr="00594810">
        <w:t xml:space="preserve"> to overcome </w:t>
      </w:r>
      <w:r w:rsidR="00CD7E5E" w:rsidRPr="00594810">
        <w:t xml:space="preserve">the problem while ensuring biodiversity conservation and addressing likelihoods. REDD+ in this regard, </w:t>
      </w:r>
      <w:r w:rsidR="00BD3D6A" w:rsidRPr="00594810">
        <w:t>demands</w:t>
      </w:r>
      <w:r w:rsidR="00CD7E5E" w:rsidRPr="00594810">
        <w:t xml:space="preserve"> extra significance that has been developed in compliance of the decision of the Conference of the Parties (</w:t>
      </w:r>
      <w:proofErr w:type="spellStart"/>
      <w:r w:rsidR="00CD7E5E" w:rsidRPr="00594810">
        <w:t>CoP</w:t>
      </w:r>
      <w:proofErr w:type="spellEnd"/>
      <w:r w:rsidR="00CD7E5E" w:rsidRPr="00594810">
        <w:t>) held at Bali, 2008; Copenhagen 2009; Cancun, 2010 and Durban, 2011</w:t>
      </w:r>
      <w:r w:rsidR="001C6B6B" w:rsidRPr="00594810">
        <w:t>.</w:t>
      </w:r>
    </w:p>
    <w:p w:rsidR="0090135C" w:rsidRPr="00266721" w:rsidRDefault="00BD3D6A" w:rsidP="00617A6E">
      <w:pPr>
        <w:spacing w:line="360" w:lineRule="auto"/>
        <w:jc w:val="both"/>
      </w:pPr>
      <w:r w:rsidRPr="00266721">
        <w:t>Dependency level of the local people on forest and its resources are manifold</w:t>
      </w:r>
      <w:r w:rsidR="009863BB" w:rsidRPr="00266721">
        <w:t xml:space="preserve"> (Tapan et al., 2016). </w:t>
      </w:r>
      <w:r w:rsidRPr="00266721">
        <w:t xml:space="preserve">From non-wood forest products extraction to fuelwood utilization in all spheres women have significant engagement (Iftekhar and Hoque, 2005). This dependency scenario has got direct connectivity with the conservation and management of the forest resources. In this connection, the aspect of gender equity needs adequate consideration (Ahmed and </w:t>
      </w:r>
      <w:proofErr w:type="spellStart"/>
      <w:r w:rsidRPr="00266721">
        <w:t>Laarman</w:t>
      </w:r>
      <w:proofErr w:type="spellEnd"/>
      <w:r w:rsidRPr="00266721">
        <w:t xml:space="preserve">, 2000). </w:t>
      </w:r>
      <w:r w:rsidR="00550B1E" w:rsidRPr="00266721">
        <w:rPr>
          <w:rFonts w:asciiTheme="minorHAnsi" w:hAnsiTheme="minorHAnsi"/>
        </w:rPr>
        <w:t>In many developing countries</w:t>
      </w:r>
      <w:r w:rsidR="00AF29E2" w:rsidRPr="00266721">
        <w:rPr>
          <w:rFonts w:asciiTheme="minorHAnsi" w:hAnsiTheme="minorHAnsi"/>
        </w:rPr>
        <w:t xml:space="preserve"> </w:t>
      </w:r>
      <w:r w:rsidR="00550B1E" w:rsidRPr="00266721">
        <w:rPr>
          <w:rFonts w:asciiTheme="minorHAnsi" w:hAnsiTheme="minorHAnsi"/>
        </w:rPr>
        <w:t xml:space="preserve">biomass </w:t>
      </w:r>
      <w:r w:rsidR="00656180" w:rsidRPr="00266721">
        <w:rPr>
          <w:rFonts w:asciiTheme="minorHAnsi" w:hAnsiTheme="minorHAnsi"/>
        </w:rPr>
        <w:t>i</w:t>
      </w:r>
      <w:r w:rsidR="00550B1E" w:rsidRPr="00266721">
        <w:rPr>
          <w:rFonts w:asciiTheme="minorHAnsi" w:hAnsiTheme="minorHAnsi"/>
        </w:rPr>
        <w:t xml:space="preserve">s the major sources of </w:t>
      </w:r>
      <w:r w:rsidR="00656180" w:rsidRPr="00266721">
        <w:rPr>
          <w:rFonts w:asciiTheme="minorHAnsi" w:hAnsiTheme="minorHAnsi"/>
        </w:rPr>
        <w:t>energy</w:t>
      </w:r>
      <w:r w:rsidR="00550B1E" w:rsidRPr="00266721">
        <w:rPr>
          <w:rFonts w:asciiTheme="minorHAnsi" w:hAnsiTheme="minorHAnsi"/>
        </w:rPr>
        <w:t>. The growing dependence</w:t>
      </w:r>
      <w:r w:rsidR="00656180" w:rsidRPr="00266721">
        <w:rPr>
          <w:rFonts w:asciiTheme="minorHAnsi" w:hAnsiTheme="minorHAnsi"/>
        </w:rPr>
        <w:t xml:space="preserve"> of fuel</w:t>
      </w:r>
      <w:r w:rsidR="00550B1E" w:rsidRPr="00266721">
        <w:rPr>
          <w:rFonts w:asciiTheme="minorHAnsi" w:hAnsiTheme="minorHAnsi"/>
        </w:rPr>
        <w:t xml:space="preserve">wood by the rural </w:t>
      </w:r>
      <w:r w:rsidR="00656180" w:rsidRPr="00266721">
        <w:rPr>
          <w:rFonts w:asciiTheme="minorHAnsi" w:hAnsiTheme="minorHAnsi"/>
        </w:rPr>
        <w:t>mass is affecting the forest and agriculture (</w:t>
      </w:r>
      <w:r w:rsidR="00AF29E2" w:rsidRPr="00266721">
        <w:rPr>
          <w:rFonts w:asciiTheme="minorHAnsi" w:hAnsiTheme="minorHAnsi"/>
        </w:rPr>
        <w:t>Mahapatra and Mitchell, 1999</w:t>
      </w:r>
      <w:r w:rsidR="00A87BFF" w:rsidRPr="00266721">
        <w:rPr>
          <w:rFonts w:asciiTheme="minorHAnsi" w:hAnsiTheme="minorHAnsi"/>
        </w:rPr>
        <w:t xml:space="preserve">; </w:t>
      </w:r>
      <w:proofErr w:type="spellStart"/>
      <w:r w:rsidR="00A87BFF" w:rsidRPr="00266721">
        <w:rPr>
          <w:rFonts w:asciiTheme="minorHAnsi" w:hAnsiTheme="minorHAnsi"/>
        </w:rPr>
        <w:t>Rajwar</w:t>
      </w:r>
      <w:proofErr w:type="spellEnd"/>
      <w:r w:rsidR="00A87BFF" w:rsidRPr="00266721">
        <w:rPr>
          <w:rFonts w:asciiTheme="minorHAnsi" w:hAnsiTheme="minorHAnsi"/>
        </w:rPr>
        <w:t xml:space="preserve"> and Kumar, 2011</w:t>
      </w:r>
      <w:r w:rsidR="00F776AB" w:rsidRPr="00266721">
        <w:rPr>
          <w:rFonts w:asciiTheme="minorHAnsi" w:hAnsiTheme="minorHAnsi"/>
        </w:rPr>
        <w:t xml:space="preserve">; </w:t>
      </w:r>
      <w:proofErr w:type="spellStart"/>
      <w:r w:rsidR="00F776AB" w:rsidRPr="00266721">
        <w:rPr>
          <w:rFonts w:asciiTheme="minorHAnsi" w:hAnsiTheme="minorHAnsi"/>
        </w:rPr>
        <w:t>Tabuti</w:t>
      </w:r>
      <w:proofErr w:type="spellEnd"/>
      <w:r w:rsidR="00F776AB" w:rsidRPr="00266721">
        <w:rPr>
          <w:rFonts w:asciiTheme="minorHAnsi" w:hAnsiTheme="minorHAnsi"/>
        </w:rPr>
        <w:t>, 2007; Ramos et al., 2008</w:t>
      </w:r>
      <w:r w:rsidR="00AF29E2" w:rsidRPr="00266721">
        <w:rPr>
          <w:rFonts w:asciiTheme="minorHAnsi" w:hAnsiTheme="minorHAnsi"/>
        </w:rPr>
        <w:t>).</w:t>
      </w:r>
      <w:r w:rsidR="00AF29E2" w:rsidRPr="001C6B6B">
        <w:rPr>
          <w:rFonts w:asciiTheme="minorHAnsi" w:hAnsiTheme="minorHAnsi"/>
        </w:rPr>
        <w:t xml:space="preserve"> </w:t>
      </w:r>
      <w:r w:rsidR="0090135C" w:rsidRPr="00266721">
        <w:rPr>
          <w:rFonts w:asciiTheme="minorHAnsi" w:hAnsiTheme="minorHAnsi"/>
        </w:rPr>
        <w:t xml:space="preserve">A </w:t>
      </w:r>
      <w:r w:rsidR="00A87BFF" w:rsidRPr="00266721">
        <w:rPr>
          <w:rFonts w:asciiTheme="minorHAnsi" w:hAnsiTheme="minorHAnsi"/>
        </w:rPr>
        <w:t xml:space="preserve">positive </w:t>
      </w:r>
      <w:r w:rsidR="00512910" w:rsidRPr="00266721">
        <w:rPr>
          <w:rFonts w:asciiTheme="minorHAnsi" w:hAnsiTheme="minorHAnsi"/>
        </w:rPr>
        <w:t xml:space="preserve">relationship has been observed </w:t>
      </w:r>
      <w:r w:rsidR="00A87BFF" w:rsidRPr="00266721">
        <w:rPr>
          <w:rFonts w:asciiTheme="minorHAnsi" w:hAnsiTheme="minorHAnsi"/>
        </w:rPr>
        <w:t xml:space="preserve">between fuelwood collection and forest </w:t>
      </w:r>
      <w:r w:rsidR="00512910" w:rsidRPr="00266721">
        <w:rPr>
          <w:rFonts w:asciiTheme="minorHAnsi" w:hAnsiTheme="minorHAnsi"/>
        </w:rPr>
        <w:t xml:space="preserve">destruction </w:t>
      </w:r>
      <w:r w:rsidR="00B76938" w:rsidRPr="00266721">
        <w:rPr>
          <w:rFonts w:asciiTheme="minorHAnsi" w:hAnsiTheme="minorHAnsi"/>
        </w:rPr>
        <w:t>where women have major involvement</w:t>
      </w:r>
      <w:r w:rsidR="00512910" w:rsidRPr="00266721">
        <w:rPr>
          <w:rFonts w:asciiTheme="minorHAnsi" w:hAnsiTheme="minorHAnsi"/>
        </w:rPr>
        <w:t xml:space="preserve"> (Kumar and Sharma, 2009). </w:t>
      </w:r>
      <w:r w:rsidR="00A87BFF" w:rsidRPr="00266721">
        <w:rPr>
          <w:rFonts w:asciiTheme="minorHAnsi" w:hAnsiTheme="minorHAnsi"/>
        </w:rPr>
        <w:t xml:space="preserve"> </w:t>
      </w:r>
    </w:p>
    <w:p w:rsidR="00550B1E" w:rsidRPr="00093584" w:rsidRDefault="00AF29E2" w:rsidP="00093584">
      <w:pPr>
        <w:spacing w:line="360" w:lineRule="auto"/>
        <w:jc w:val="both"/>
      </w:pPr>
      <w:r w:rsidRPr="00266721">
        <w:t>Assessment</w:t>
      </w:r>
      <w:r w:rsidR="00656180" w:rsidRPr="00266721">
        <w:t xml:space="preserve"> of </w:t>
      </w:r>
      <w:r w:rsidR="00A11A5C" w:rsidRPr="00266721">
        <w:t>fuelwood</w:t>
      </w:r>
      <w:r w:rsidR="00656180" w:rsidRPr="00266721">
        <w:t xml:space="preserve"> demand </w:t>
      </w:r>
      <w:r w:rsidR="00B76938" w:rsidRPr="00266721">
        <w:t>and determining</w:t>
      </w:r>
      <w:r w:rsidR="00656180" w:rsidRPr="00266721">
        <w:t xml:space="preserve"> the resource </w:t>
      </w:r>
      <w:r w:rsidRPr="00266721">
        <w:t>collector</w:t>
      </w:r>
      <w:r w:rsidR="00B76938" w:rsidRPr="00266721">
        <w:t>s</w:t>
      </w:r>
      <w:r w:rsidR="00656180" w:rsidRPr="00266721">
        <w:t xml:space="preserve"> may a</w:t>
      </w:r>
      <w:r w:rsidR="00BD3D6A" w:rsidRPr="00266721">
        <w:t>ssist</w:t>
      </w:r>
      <w:r w:rsidR="00656180" w:rsidRPr="00266721">
        <w:t xml:space="preserve"> formulating </w:t>
      </w:r>
      <w:r w:rsidRPr="00266721">
        <w:t xml:space="preserve">future forestry plan and implementation program which may have significant </w:t>
      </w:r>
      <w:r w:rsidRPr="00266721">
        <w:lastRenderedPageBreak/>
        <w:t>impact in the REDD+ program</w:t>
      </w:r>
      <w:r w:rsidR="00BD3D6A" w:rsidRPr="00266721">
        <w:t xml:space="preserve">. </w:t>
      </w:r>
      <w:r w:rsidRPr="00266721">
        <w:t xml:space="preserve"> Various studies carried out in context of Bangladesh revealed the nature and frequency of </w:t>
      </w:r>
      <w:r w:rsidR="00BD3D6A" w:rsidRPr="00266721">
        <w:t>forest resource collection particularly fuel wood</w:t>
      </w:r>
      <w:r w:rsidRPr="00266721">
        <w:t xml:space="preserve"> collection and the gender dimension in regards to the involvement in collecting </w:t>
      </w:r>
      <w:r w:rsidR="00BD3D6A" w:rsidRPr="00266721">
        <w:t xml:space="preserve">fuel </w:t>
      </w:r>
      <w:r w:rsidRPr="00266721">
        <w:t>wood</w:t>
      </w:r>
      <w:r w:rsidR="00BD3D6A" w:rsidRPr="00266721">
        <w:t>.</w:t>
      </w:r>
      <w:r w:rsidRPr="00266721">
        <w:t xml:space="preserve"> </w:t>
      </w:r>
      <w:r w:rsidR="00A87BFF" w:rsidRPr="00266721">
        <w:t>Men,</w:t>
      </w:r>
      <w:r w:rsidRPr="00266721">
        <w:t xml:space="preserve"> women and children</w:t>
      </w:r>
      <w:r w:rsidR="00A87BFF" w:rsidRPr="00266721">
        <w:t>’s engagement of forest resource collection has been depicted in these studies</w:t>
      </w:r>
      <w:r w:rsidR="00EB50E5" w:rsidRPr="00266721">
        <w:t xml:space="preserve"> (Mia et al., 2003; </w:t>
      </w:r>
      <w:proofErr w:type="spellStart"/>
      <w:r w:rsidR="00EB50E5" w:rsidRPr="00266721">
        <w:t>Jasimuddin</w:t>
      </w:r>
      <w:proofErr w:type="spellEnd"/>
      <w:r w:rsidR="00EB50E5" w:rsidRPr="00266721">
        <w:t xml:space="preserve"> et al., 2006</w:t>
      </w:r>
      <w:r w:rsidR="00DA332E" w:rsidRPr="00266721">
        <w:t>)</w:t>
      </w:r>
      <w:r w:rsidR="00A87BFF" w:rsidRPr="00266721">
        <w:t>. The gender roles determined in the studies may have significant implication while devising our country</w:t>
      </w:r>
      <w:r w:rsidR="00A87BFF">
        <w:t xml:space="preserve"> strategy </w:t>
      </w:r>
      <w:r w:rsidR="00594810">
        <w:t>for the national</w:t>
      </w:r>
      <w:r w:rsidR="00A87BFF">
        <w:t xml:space="preserve"> REDD</w:t>
      </w:r>
      <w:r w:rsidR="00B76938">
        <w:t>+ Program</w:t>
      </w:r>
      <w:r w:rsidR="00A87BFF">
        <w:t xml:space="preserve">.  </w:t>
      </w:r>
      <w:r>
        <w:t xml:space="preserve">  </w:t>
      </w:r>
    </w:p>
    <w:p w:rsidR="004B1D44" w:rsidRPr="00173781" w:rsidRDefault="007C49ED" w:rsidP="00173781">
      <w:pPr>
        <w:pStyle w:val="Heading1"/>
      </w:pPr>
      <w:bookmarkStart w:id="28" w:name="_Toc510958596"/>
      <w:bookmarkStart w:id="29" w:name="_Toc515223793"/>
      <w:bookmarkEnd w:id="27"/>
      <w:r w:rsidRPr="00173781">
        <w:t xml:space="preserve">3. </w:t>
      </w:r>
      <w:r w:rsidR="00BF69EA">
        <w:t>Reflection of G</w:t>
      </w:r>
      <w:r w:rsidR="00072E08" w:rsidRPr="00173781">
        <w:t xml:space="preserve">ender </w:t>
      </w:r>
      <w:r w:rsidR="00BF69EA">
        <w:t>D</w:t>
      </w:r>
      <w:r w:rsidR="00353BCC" w:rsidRPr="00173781">
        <w:t xml:space="preserve">imension </w:t>
      </w:r>
      <w:r w:rsidR="00072E08" w:rsidRPr="00173781">
        <w:t>in th</w:t>
      </w:r>
      <w:r w:rsidR="00BF69EA">
        <w:t>e Legal and Policy F</w:t>
      </w:r>
      <w:r w:rsidR="00730F8A" w:rsidRPr="00173781">
        <w:t>rameworks: A</w:t>
      </w:r>
      <w:r w:rsidR="00BF69EA">
        <w:t xml:space="preserve"> brief S</w:t>
      </w:r>
      <w:r w:rsidR="00072E08" w:rsidRPr="00173781">
        <w:t>ummary</w:t>
      </w:r>
      <w:bookmarkEnd w:id="28"/>
      <w:bookmarkEnd w:id="29"/>
      <w:r w:rsidR="00072E08" w:rsidRPr="00173781">
        <w:t xml:space="preserve"> </w:t>
      </w:r>
    </w:p>
    <w:p w:rsidR="002F4910" w:rsidRDefault="006D7AD9" w:rsidP="003523E5">
      <w:pPr>
        <w:spacing w:line="360" w:lineRule="auto"/>
        <w:jc w:val="both"/>
      </w:pPr>
      <w:r>
        <w:t xml:space="preserve">Legal instruments such as acts and policies are crucial since they guide the program planning and </w:t>
      </w:r>
      <w:r w:rsidR="00C466A6">
        <w:t xml:space="preserve">govern the </w:t>
      </w:r>
      <w:r>
        <w:t xml:space="preserve">implementation process.  Various attributes like gender dimension </w:t>
      </w:r>
      <w:r w:rsidR="00C466A6">
        <w:t>if reflected</w:t>
      </w:r>
      <w:r>
        <w:t xml:space="preserve"> </w:t>
      </w:r>
      <w:r w:rsidR="00C466A6">
        <w:t xml:space="preserve">adequately </w:t>
      </w:r>
      <w:r>
        <w:t>in legal frameworks</w:t>
      </w:r>
      <w:r w:rsidR="00C466A6">
        <w:t>,</w:t>
      </w:r>
      <w:r>
        <w:t xml:space="preserve"> may provide </w:t>
      </w:r>
      <w:r w:rsidR="00CA39C3">
        <w:t>guidelines to</w:t>
      </w:r>
      <w:r>
        <w:t xml:space="preserve"> the practitioner</w:t>
      </w:r>
      <w:r w:rsidR="00CA39C3">
        <w:t xml:space="preserve">s to act accordingly. </w:t>
      </w:r>
      <w:r w:rsidR="0071137B">
        <w:t xml:space="preserve">Existing legal and policy frameworks have substantive role to play in fostering forest </w:t>
      </w:r>
      <w:r w:rsidR="0071137B" w:rsidRPr="00266721">
        <w:t>management (Rashid et al., 2013a).</w:t>
      </w:r>
      <w:r w:rsidR="0071137B">
        <w:t xml:space="preserve"> </w:t>
      </w:r>
      <w:r w:rsidR="003523E5">
        <w:t xml:space="preserve">Various legal </w:t>
      </w:r>
      <w:r w:rsidR="00E73DD4">
        <w:t xml:space="preserve">and policy </w:t>
      </w:r>
      <w:r w:rsidR="003523E5">
        <w:t xml:space="preserve">instruments manifested the gender role </w:t>
      </w:r>
      <w:r w:rsidR="00E73DD4">
        <w:t xml:space="preserve">in their respective document </w:t>
      </w:r>
      <w:r w:rsidR="003523E5">
        <w:t xml:space="preserve">may substantially direct the </w:t>
      </w:r>
      <w:r w:rsidR="003171F3">
        <w:t xml:space="preserve">policy makers and mangers to implement </w:t>
      </w:r>
      <w:r w:rsidR="003523E5">
        <w:t>REDD</w:t>
      </w:r>
      <w:r w:rsidR="00DA332E">
        <w:t>+ program</w:t>
      </w:r>
      <w:r w:rsidR="003523E5">
        <w:t xml:space="preserve"> in Bangladesh.  </w:t>
      </w:r>
      <w:r w:rsidR="0071137B">
        <w:t>T</w:t>
      </w:r>
      <w:r w:rsidR="00CA39C3">
        <w:t xml:space="preserve">he following </w:t>
      </w:r>
      <w:r w:rsidR="00ED379A">
        <w:t xml:space="preserve">section </w:t>
      </w:r>
      <w:r w:rsidR="00506B22">
        <w:t>briefly synthesizes</w:t>
      </w:r>
      <w:r w:rsidR="00CA39C3">
        <w:t xml:space="preserve"> various legal </w:t>
      </w:r>
      <w:r w:rsidR="00E73DD4">
        <w:t xml:space="preserve">and policy </w:t>
      </w:r>
      <w:r w:rsidR="00CA39C3">
        <w:t xml:space="preserve">frameworks where gender dimension related to forestry are being reflected </w:t>
      </w:r>
      <w:r w:rsidR="00E73DD4">
        <w:t>at</w:t>
      </w:r>
      <w:r w:rsidR="00CA39C3">
        <w:t xml:space="preserve"> various magnitude</w:t>
      </w:r>
      <w:r w:rsidR="003523E5">
        <w:t>s</w:t>
      </w:r>
      <w:r w:rsidR="00CA39C3">
        <w:t>:</w:t>
      </w:r>
      <w:r>
        <w:t xml:space="preserve"> </w:t>
      </w:r>
    </w:p>
    <w:p w:rsidR="007851D0" w:rsidRDefault="007851D0" w:rsidP="003523E5">
      <w:pPr>
        <w:spacing w:line="360" w:lineRule="auto"/>
        <w:jc w:val="both"/>
      </w:pPr>
      <w:r>
        <w:t xml:space="preserve">1. </w:t>
      </w:r>
      <w:r w:rsidRPr="00ED379A">
        <w:rPr>
          <w:i/>
        </w:rPr>
        <w:t>Bangladesh National Constitution</w:t>
      </w:r>
      <w:r>
        <w:t xml:space="preserve">: </w:t>
      </w:r>
      <w:r w:rsidRPr="002F4910">
        <w:t xml:space="preserve">Women participation in all development </w:t>
      </w:r>
      <w:r>
        <w:t xml:space="preserve">interventions </w:t>
      </w:r>
      <w:r w:rsidRPr="002F4910">
        <w:t>has</w:t>
      </w:r>
      <w:r>
        <w:t xml:space="preserve"> been recognized and reaffirmed.</w:t>
      </w:r>
    </w:p>
    <w:p w:rsidR="007851D0" w:rsidRDefault="007851D0" w:rsidP="008037D2">
      <w:pPr>
        <w:spacing w:before="0" w:after="0" w:line="360" w:lineRule="auto"/>
        <w:jc w:val="both"/>
      </w:pPr>
      <w:r>
        <w:t xml:space="preserve">2. </w:t>
      </w:r>
      <w:r w:rsidRPr="00ED379A">
        <w:rPr>
          <w:i/>
        </w:rPr>
        <w:t>Social Forestry Rules-2004</w:t>
      </w:r>
      <w:r>
        <w:t>:  Women involvement in the social forestry management committee is being ensured (two out</w:t>
      </w:r>
      <w:r w:rsidRPr="002F4910">
        <w:t xml:space="preserve"> of five members of the SF Management Committee will be women</w:t>
      </w:r>
      <w:r>
        <w:t>)</w:t>
      </w:r>
      <w:r w:rsidRPr="002F4910">
        <w:t>.</w:t>
      </w:r>
      <w:r>
        <w:t xml:space="preserve"> </w:t>
      </w:r>
      <w:r w:rsidRPr="002F4910">
        <w:t>Priority</w:t>
      </w:r>
      <w:r>
        <w:t xml:space="preserve"> has been given to destitute women as project beneficiary.</w:t>
      </w:r>
    </w:p>
    <w:p w:rsidR="007851D0" w:rsidRDefault="007851D0" w:rsidP="00AD1D60">
      <w:pPr>
        <w:spacing w:before="0" w:after="0"/>
        <w:jc w:val="both"/>
      </w:pPr>
    </w:p>
    <w:p w:rsidR="007851D0" w:rsidRDefault="007851D0" w:rsidP="008037D2">
      <w:pPr>
        <w:spacing w:before="0" w:after="0" w:line="360" w:lineRule="auto"/>
        <w:jc w:val="both"/>
      </w:pPr>
      <w:r>
        <w:t xml:space="preserve">3. </w:t>
      </w:r>
      <w:r w:rsidRPr="00ED379A">
        <w:rPr>
          <w:i/>
        </w:rPr>
        <w:t>Protected Area Management Rule-2017</w:t>
      </w:r>
      <w:r>
        <w:t>: Recently developed PA Management Rule creates the provision of including female members along with male members for the effective governance of the protected areas. With the provisioning of these legitimate bodies, objectives have been set to create alternative income generating activities for the forests and PA dependent local communities.</w:t>
      </w:r>
    </w:p>
    <w:p w:rsidR="007851D0" w:rsidRDefault="007851D0" w:rsidP="00AD1D60">
      <w:pPr>
        <w:spacing w:before="0" w:after="0"/>
        <w:jc w:val="both"/>
      </w:pPr>
    </w:p>
    <w:p w:rsidR="007851D0" w:rsidRDefault="007851D0" w:rsidP="008037D2">
      <w:pPr>
        <w:spacing w:before="0" w:after="0" w:line="360" w:lineRule="auto"/>
        <w:jc w:val="both"/>
      </w:pPr>
      <w:r w:rsidRPr="002F4910">
        <w:lastRenderedPageBreak/>
        <w:t xml:space="preserve">Provision </w:t>
      </w:r>
      <w:r>
        <w:t xml:space="preserve">has been made to include women representatives in both </w:t>
      </w:r>
      <w:r w:rsidRPr="002F4910">
        <w:t>Co-management Executive Committee</w:t>
      </w:r>
      <w:r>
        <w:t xml:space="preserve"> (</w:t>
      </w:r>
      <w:r w:rsidR="00ED379A">
        <w:t>at least</w:t>
      </w:r>
      <w:r>
        <w:t xml:space="preserve"> 5 women)</w:t>
      </w:r>
      <w:r w:rsidRPr="002F4910">
        <w:t xml:space="preserve"> and </w:t>
      </w:r>
      <w:r>
        <w:t>G</w:t>
      </w:r>
      <w:r w:rsidRPr="002F4910">
        <w:t xml:space="preserve">eneral </w:t>
      </w:r>
      <w:r>
        <w:t>C</w:t>
      </w:r>
      <w:r w:rsidRPr="002F4910">
        <w:t>ommittee</w:t>
      </w:r>
      <w:r>
        <w:t xml:space="preserve"> (at least 4 women including one vice president) widely known as CMC.  Women representation from people’s forum (PF) is 40% in both committees while female representative from local union council is 50%. In addition to that, one vice-chairman of the Executive Committee will be women. </w:t>
      </w:r>
    </w:p>
    <w:p w:rsidR="007851D0" w:rsidRDefault="007851D0" w:rsidP="00AD1D60">
      <w:pPr>
        <w:spacing w:before="0" w:after="0"/>
        <w:jc w:val="both"/>
      </w:pPr>
    </w:p>
    <w:p w:rsidR="008F380C" w:rsidRDefault="007851D0" w:rsidP="008037D2">
      <w:pPr>
        <w:spacing w:before="0" w:after="0" w:line="360" w:lineRule="auto"/>
        <w:jc w:val="both"/>
      </w:pPr>
      <w:r>
        <w:t xml:space="preserve">4. </w:t>
      </w:r>
      <w:r w:rsidRPr="002F4910">
        <w:t>7</w:t>
      </w:r>
      <w:r w:rsidRPr="002F4910">
        <w:rPr>
          <w:vertAlign w:val="superscript"/>
        </w:rPr>
        <w:t>th</w:t>
      </w:r>
      <w:r w:rsidR="008F380C">
        <w:t xml:space="preserve"> Five Year Plan (</w:t>
      </w:r>
      <w:r>
        <w:t>2016-2020</w:t>
      </w:r>
      <w:r w:rsidR="008F380C">
        <w:t>)</w:t>
      </w:r>
      <w:r>
        <w:t xml:space="preserve">: </w:t>
      </w:r>
      <w:r w:rsidR="008F380C">
        <w:t xml:space="preserve">Forestry sub-sector is getting growing importance in </w:t>
      </w:r>
      <w:r w:rsidR="00114B3C">
        <w:t xml:space="preserve">national </w:t>
      </w:r>
      <w:r w:rsidR="008F380C">
        <w:t xml:space="preserve">policy and strategy thus maintaining ecological balance and ensuring sustainable economic growth </w:t>
      </w:r>
      <w:r w:rsidR="00114B3C">
        <w:t xml:space="preserve">is being </w:t>
      </w:r>
      <w:r w:rsidR="008F380C">
        <w:t xml:space="preserve">set as the development vision. </w:t>
      </w:r>
    </w:p>
    <w:p w:rsidR="008F380C" w:rsidRDefault="008F380C" w:rsidP="00AD1D60">
      <w:pPr>
        <w:spacing w:before="0" w:after="0" w:line="240" w:lineRule="auto"/>
        <w:jc w:val="both"/>
      </w:pPr>
    </w:p>
    <w:p w:rsidR="008F380C" w:rsidRDefault="008F380C" w:rsidP="00295F38">
      <w:pPr>
        <w:spacing w:before="0" w:after="0" w:line="360" w:lineRule="auto"/>
        <w:jc w:val="both"/>
      </w:pPr>
      <w:r>
        <w:t>In addition to the objectives formulated in 6</w:t>
      </w:r>
      <w:r w:rsidRPr="00781123">
        <w:rPr>
          <w:vertAlign w:val="superscript"/>
        </w:rPr>
        <w:t>th</w:t>
      </w:r>
      <w:r>
        <w:t xml:space="preserve"> FYP such as expansion of forest resources, enhancement of the forest productivity, community participation and institutional capacity building, the 7</w:t>
      </w:r>
      <w:r w:rsidRPr="00781123">
        <w:rPr>
          <w:vertAlign w:val="superscript"/>
        </w:rPr>
        <w:t>th</w:t>
      </w:r>
      <w:r>
        <w:t xml:space="preserve"> FYP put emphasis on climate change perspectives of forestry sub-sector. Poverty alleviation and employment generation through community oriented affores</w:t>
      </w:r>
      <w:r w:rsidR="00114B3C">
        <w:t xml:space="preserve">tation program including women. </w:t>
      </w:r>
      <w:r>
        <w:t>Recognizing the relative success of the social forestry program countrywide, 7</w:t>
      </w:r>
      <w:r w:rsidRPr="00833C8B">
        <w:rPr>
          <w:vertAlign w:val="superscript"/>
        </w:rPr>
        <w:t xml:space="preserve">th </w:t>
      </w:r>
      <w:r>
        <w:t>FYP reiterated to expand the program.</w:t>
      </w:r>
      <w:r w:rsidR="00A11A5C">
        <w:t xml:space="preserve"> </w:t>
      </w:r>
    </w:p>
    <w:p w:rsidR="008F380C" w:rsidRDefault="008F380C" w:rsidP="00AD1D60">
      <w:pPr>
        <w:spacing w:before="0" w:after="0" w:line="240" w:lineRule="auto"/>
        <w:jc w:val="both"/>
      </w:pPr>
    </w:p>
    <w:p w:rsidR="008F380C" w:rsidRPr="002F4910" w:rsidRDefault="008F380C" w:rsidP="00A11A5C">
      <w:pPr>
        <w:spacing w:before="0" w:after="0" w:line="360" w:lineRule="auto"/>
        <w:jc w:val="both"/>
      </w:pPr>
      <w:r>
        <w:t xml:space="preserve">Carbon measurement in forest protected areas for conservation as well as for the community welfare purposes will be implemented adopting REDD+ program. </w:t>
      </w:r>
      <w:r w:rsidRPr="002F4910">
        <w:t>Promoting participatory, community based environmental resource management and protection considering gender issues.</w:t>
      </w:r>
    </w:p>
    <w:p w:rsidR="007851D0" w:rsidRDefault="007851D0" w:rsidP="00AD1D60">
      <w:pPr>
        <w:spacing w:before="0" w:after="0"/>
        <w:jc w:val="both"/>
      </w:pPr>
    </w:p>
    <w:p w:rsidR="008F380C" w:rsidRPr="006D10AE" w:rsidRDefault="008F380C" w:rsidP="008037D2">
      <w:pPr>
        <w:spacing w:before="0" w:after="0" w:line="360" w:lineRule="auto"/>
        <w:jc w:val="both"/>
        <w:rPr>
          <w:rFonts w:asciiTheme="minorHAnsi" w:hAnsiTheme="minorHAnsi"/>
        </w:rPr>
      </w:pPr>
      <w:r w:rsidRPr="006D10AE">
        <w:rPr>
          <w:rFonts w:asciiTheme="minorHAnsi" w:hAnsiTheme="minorHAnsi"/>
        </w:rPr>
        <w:t xml:space="preserve">5. </w:t>
      </w:r>
      <w:r w:rsidR="00ED379A" w:rsidRPr="006D10AE">
        <w:rPr>
          <w:rFonts w:asciiTheme="minorHAnsi" w:hAnsiTheme="minorHAnsi"/>
          <w:i/>
        </w:rPr>
        <w:t>Perspective Plan of Bangladesh (</w:t>
      </w:r>
      <w:r w:rsidRPr="006D10AE">
        <w:rPr>
          <w:rFonts w:asciiTheme="minorHAnsi" w:hAnsiTheme="minorHAnsi"/>
          <w:i/>
        </w:rPr>
        <w:t>2010 – 2021</w:t>
      </w:r>
      <w:r w:rsidR="00ED379A" w:rsidRPr="006D10AE">
        <w:rPr>
          <w:rFonts w:asciiTheme="minorHAnsi" w:hAnsiTheme="minorHAnsi"/>
          <w:i/>
        </w:rPr>
        <w:t>)</w:t>
      </w:r>
      <w:r w:rsidRPr="006D10AE">
        <w:rPr>
          <w:rFonts w:asciiTheme="minorHAnsi" w:hAnsiTheme="minorHAnsi"/>
        </w:rPr>
        <w:t xml:space="preserve">: </w:t>
      </w:r>
      <w:r w:rsidRPr="006D10AE">
        <w:rPr>
          <w:rFonts w:asciiTheme="minorHAnsi" w:hAnsiTheme="minorHAnsi" w:cs="Open Sans"/>
          <w:color w:val="000000"/>
        </w:rPr>
        <w:t>Increasing the tree coverage on 2.84 million hectares designated for forest, diversification of tree species to sustain ecological balance, increasing employment from forestry (particularly for women) under expanded social- and agro-forestry, reverting cow dung to use as organic fertilizer and obtaining fuel wood from forests, giving priority to the creation of a coastal green belt and increasing accountability and transparency in public forest management.</w:t>
      </w:r>
    </w:p>
    <w:p w:rsidR="008F380C" w:rsidRDefault="008F380C" w:rsidP="00AD1D60">
      <w:pPr>
        <w:spacing w:before="0" w:after="0"/>
        <w:jc w:val="both"/>
      </w:pPr>
    </w:p>
    <w:p w:rsidR="008F380C" w:rsidRDefault="008F380C" w:rsidP="008037D2">
      <w:pPr>
        <w:spacing w:before="0" w:after="0" w:line="360" w:lineRule="auto"/>
        <w:jc w:val="both"/>
      </w:pPr>
      <w:r>
        <w:t xml:space="preserve">6. </w:t>
      </w:r>
      <w:r w:rsidRPr="00ED379A">
        <w:rPr>
          <w:i/>
        </w:rPr>
        <w:t>Bangladesh Forest Policy-1994</w:t>
      </w:r>
      <w:r>
        <w:t xml:space="preserve">: </w:t>
      </w:r>
      <w:r w:rsidR="00ED379A">
        <w:t xml:space="preserve">Priority provisions have been made </w:t>
      </w:r>
      <w:r>
        <w:t xml:space="preserve">to women and landless poor in </w:t>
      </w:r>
      <w:r w:rsidR="00ED379A">
        <w:t xml:space="preserve">various forestry related activities viz. </w:t>
      </w:r>
      <w:r>
        <w:t>nursery, plantation, forest management, harvesting and related works.</w:t>
      </w:r>
      <w:r w:rsidR="00ED379A">
        <w:t xml:space="preserve"> </w:t>
      </w:r>
      <w:r w:rsidRPr="002F4910">
        <w:t xml:space="preserve">Women </w:t>
      </w:r>
      <w:r>
        <w:t>will</w:t>
      </w:r>
      <w:r w:rsidRPr="002F4910">
        <w:t xml:space="preserve"> be encouraged to participate in homestead and farm forestry</w:t>
      </w:r>
      <w:r>
        <w:t xml:space="preserve">, </w:t>
      </w:r>
      <w:r w:rsidRPr="002F4910">
        <w:t>and participatory forestry afforestation program.</w:t>
      </w:r>
      <w:r w:rsidR="00ED379A">
        <w:t xml:space="preserve"> </w:t>
      </w:r>
      <w:r>
        <w:t xml:space="preserve">Forest </w:t>
      </w:r>
      <w:r>
        <w:lastRenderedPageBreak/>
        <w:t xml:space="preserve">related cultural values and </w:t>
      </w:r>
      <w:r w:rsidR="00ED379A">
        <w:t xml:space="preserve">religious beliefs have given utmost respect </w:t>
      </w:r>
      <w:r>
        <w:t xml:space="preserve">where gender is a crucial dimension. </w:t>
      </w:r>
      <w:r w:rsidR="00ED379A">
        <w:t>Community e</w:t>
      </w:r>
      <w:r>
        <w:t xml:space="preserve">ngagement or local </w:t>
      </w:r>
      <w:r w:rsidR="00ED379A">
        <w:t>groups’</w:t>
      </w:r>
      <w:r>
        <w:t xml:space="preserve"> </w:t>
      </w:r>
      <w:r w:rsidR="00ED379A">
        <w:t xml:space="preserve">participation </w:t>
      </w:r>
      <w:r>
        <w:t xml:space="preserve">in public and marginal lands </w:t>
      </w:r>
      <w:r w:rsidR="00ED379A">
        <w:t xml:space="preserve">was planned </w:t>
      </w:r>
      <w:r>
        <w:t>with the help of local NGOs.</w:t>
      </w:r>
    </w:p>
    <w:p w:rsidR="008F380C" w:rsidRDefault="008F380C" w:rsidP="00AD1D60">
      <w:pPr>
        <w:spacing w:before="0" w:after="0"/>
        <w:jc w:val="both"/>
      </w:pPr>
    </w:p>
    <w:p w:rsidR="008F380C" w:rsidRDefault="008F380C" w:rsidP="008037D2">
      <w:pPr>
        <w:spacing w:before="0" w:after="0" w:line="360" w:lineRule="auto"/>
        <w:jc w:val="both"/>
      </w:pPr>
      <w:r>
        <w:t xml:space="preserve">7. </w:t>
      </w:r>
      <w:r w:rsidRPr="00ED379A">
        <w:rPr>
          <w:i/>
        </w:rPr>
        <w:t>Bangladesh Forest Policy- 2016</w:t>
      </w:r>
      <w:r w:rsidRPr="002F4910">
        <w:t xml:space="preserve"> (draft)</w:t>
      </w:r>
      <w:r>
        <w:t xml:space="preserve">: Shifting from production oriented forestry to conservation oriented forestry is a challenging task in a country like Bangladesh influenced by multifaceted socio-economic and climatic drivers. The draft National Forest Policy- 2016 makes the provision of incorporating the changing role of forestry by </w:t>
      </w:r>
      <w:r w:rsidR="00ED379A">
        <w:t xml:space="preserve">integrating </w:t>
      </w:r>
      <w:r>
        <w:t>sustainable forest management principles.</w:t>
      </w:r>
    </w:p>
    <w:p w:rsidR="008F380C" w:rsidRDefault="008F380C" w:rsidP="00AD1D60">
      <w:pPr>
        <w:spacing w:before="0" w:after="0" w:line="240" w:lineRule="auto"/>
        <w:jc w:val="both"/>
      </w:pPr>
    </w:p>
    <w:p w:rsidR="008F380C" w:rsidRDefault="008F380C" w:rsidP="008037D2">
      <w:pPr>
        <w:spacing w:before="0" w:after="0" w:line="360" w:lineRule="auto"/>
        <w:jc w:val="both"/>
      </w:pPr>
      <w:r>
        <w:t xml:space="preserve">One of the salient objectives of the </w:t>
      </w:r>
      <w:r w:rsidR="00ED379A">
        <w:t xml:space="preserve">proposed </w:t>
      </w:r>
      <w:r>
        <w:t xml:space="preserve">policy is to encourage community </w:t>
      </w:r>
      <w:r w:rsidR="00ED379A">
        <w:t xml:space="preserve">participation </w:t>
      </w:r>
      <w:r>
        <w:t xml:space="preserve">particularly women involvement in forestry activities (Policy objectives-15). Forest protection </w:t>
      </w:r>
      <w:r w:rsidR="00ED379A">
        <w:t xml:space="preserve">issue </w:t>
      </w:r>
      <w:r>
        <w:t xml:space="preserve">will be ensured by involving local communities in both natural forest and plantation forest (Statement 3.2; 4.7). In addition to that, advanced fuel saving technologies and devices will be promoted to accelerate the process </w:t>
      </w:r>
      <w:r w:rsidR="00ED379A">
        <w:t xml:space="preserve">of forest and its resource conservation </w:t>
      </w:r>
      <w:r>
        <w:t xml:space="preserve">(Statement 3.7). </w:t>
      </w:r>
    </w:p>
    <w:p w:rsidR="008F380C" w:rsidRDefault="008F380C" w:rsidP="00AD1D60">
      <w:pPr>
        <w:spacing w:before="0" w:after="0" w:line="240" w:lineRule="auto"/>
        <w:jc w:val="both"/>
      </w:pPr>
    </w:p>
    <w:p w:rsidR="008F380C" w:rsidRDefault="008F380C" w:rsidP="008037D2">
      <w:pPr>
        <w:spacing w:before="0" w:after="0" w:line="360" w:lineRule="auto"/>
        <w:jc w:val="both"/>
      </w:pPr>
      <w:r>
        <w:t xml:space="preserve">Another remarkable strategy proposed in the policy is the further strengthening of the social forestry program (statement-6). Community empowerment through devolution of power, rights and responsibilities to them has been reiterated in the policy (Statement 6.1). Countrywide expansion of tree planting movement will be carried out by engaging women, youth groups, ethnic communities and NGOs having </w:t>
      </w:r>
      <w:r w:rsidR="00ED379A">
        <w:t>the know-how of natural resource management</w:t>
      </w:r>
      <w:r>
        <w:t xml:space="preserve"> (6.10)    In tackling climate change issues and to enhance the amount of forest carbon stocks REDD+ will be one of the potential mechanism (9.15).</w:t>
      </w:r>
    </w:p>
    <w:p w:rsidR="008F380C" w:rsidRDefault="008F380C" w:rsidP="00AD1D60">
      <w:pPr>
        <w:spacing w:before="0" w:after="0" w:line="240" w:lineRule="auto"/>
        <w:jc w:val="both"/>
      </w:pPr>
    </w:p>
    <w:p w:rsidR="008F380C" w:rsidRDefault="008F380C" w:rsidP="008037D2">
      <w:pPr>
        <w:spacing w:before="0" w:after="0" w:line="360" w:lineRule="auto"/>
        <w:jc w:val="both"/>
        <w:rPr>
          <w:rFonts w:ascii="Times New Roman" w:hAnsi="Times New Roman"/>
        </w:rPr>
      </w:pPr>
      <w:r>
        <w:t xml:space="preserve">The policy </w:t>
      </w:r>
      <w:r w:rsidR="00506B22">
        <w:t>also addressed</w:t>
      </w:r>
      <w:r>
        <w:t xml:space="preserve"> the community livelihoo</w:t>
      </w:r>
      <w:r w:rsidR="00506B22">
        <w:t>d aspects quite significantly (s</w:t>
      </w:r>
      <w:r>
        <w:t xml:space="preserve">tatemnet-12). Creating NTFP based </w:t>
      </w:r>
      <w:r w:rsidR="00506B22">
        <w:t>alternative income</w:t>
      </w:r>
      <w:r>
        <w:t xml:space="preserve"> generation</w:t>
      </w:r>
      <w:r w:rsidR="00506B22">
        <w:t>, capacity</w:t>
      </w:r>
      <w:r>
        <w:t xml:space="preserve"> building activities, marketing and processing strategies will be </w:t>
      </w:r>
      <w:r w:rsidR="00506B22">
        <w:t xml:space="preserve">made available targeting various stakeholders including women. </w:t>
      </w:r>
      <w:r>
        <w:t xml:space="preserve"> </w:t>
      </w:r>
    </w:p>
    <w:p w:rsidR="008F380C" w:rsidRPr="002F4910" w:rsidRDefault="008F380C" w:rsidP="008F380C">
      <w:pPr>
        <w:spacing w:before="0" w:after="0"/>
      </w:pPr>
    </w:p>
    <w:p w:rsidR="007851D0" w:rsidRDefault="008F380C" w:rsidP="008037D2">
      <w:pPr>
        <w:spacing w:before="0" w:after="0" w:line="360" w:lineRule="auto"/>
        <w:jc w:val="both"/>
      </w:pPr>
      <w:r>
        <w:t xml:space="preserve">8. </w:t>
      </w:r>
      <w:r w:rsidR="00506B22" w:rsidRPr="00506B22">
        <w:rPr>
          <w:i/>
        </w:rPr>
        <w:t xml:space="preserve">National Adaptation Programme of Action </w:t>
      </w:r>
      <w:r w:rsidRPr="00506B22">
        <w:rPr>
          <w:i/>
        </w:rPr>
        <w:t>(NAPA)-200</w:t>
      </w:r>
      <w:r w:rsidR="00506B22" w:rsidRPr="00506B22">
        <w:rPr>
          <w:i/>
        </w:rPr>
        <w:t>9</w:t>
      </w:r>
      <w:r w:rsidR="00506B22">
        <w:t xml:space="preserve">: </w:t>
      </w:r>
      <w:r>
        <w:t xml:space="preserve"> </w:t>
      </w:r>
      <w:r w:rsidRPr="002F4910">
        <w:t xml:space="preserve">Gender </w:t>
      </w:r>
      <w:r w:rsidR="00114B3C">
        <w:t>aspect has been depicted as the crucial prerequisite for ensuring all development intervention. Furthermore, NAPA advocated g</w:t>
      </w:r>
      <w:r>
        <w:t xml:space="preserve">ender equality </w:t>
      </w:r>
      <w:r w:rsidR="00114B3C">
        <w:t xml:space="preserve">to be addressed </w:t>
      </w:r>
      <w:r>
        <w:t>across all issues.</w:t>
      </w:r>
    </w:p>
    <w:p w:rsidR="008F380C" w:rsidRDefault="008F380C" w:rsidP="007851D0">
      <w:pPr>
        <w:spacing w:before="0" w:after="0"/>
      </w:pPr>
    </w:p>
    <w:p w:rsidR="008F380C" w:rsidRPr="00FE11F8" w:rsidRDefault="008F380C" w:rsidP="008037D2">
      <w:pPr>
        <w:spacing w:before="0" w:after="0" w:line="360" w:lineRule="auto"/>
        <w:jc w:val="both"/>
        <w:rPr>
          <w:rFonts w:asciiTheme="minorHAnsi" w:hAnsiTheme="minorHAnsi"/>
        </w:rPr>
      </w:pPr>
      <w:r>
        <w:t xml:space="preserve">9. </w:t>
      </w:r>
      <w:r w:rsidRPr="00506B22">
        <w:rPr>
          <w:i/>
        </w:rPr>
        <w:t>National Conservation Strategy, 2016-2031</w:t>
      </w:r>
      <w:r>
        <w:t xml:space="preserve">: </w:t>
      </w:r>
      <w:r w:rsidR="00506B22">
        <w:t>The strategy is basically devised a gender sensitive i</w:t>
      </w:r>
      <w:r w:rsidRPr="00FE11F8">
        <w:rPr>
          <w:rFonts w:asciiTheme="minorHAnsi" w:hAnsiTheme="minorHAnsi"/>
        </w:rPr>
        <w:t xml:space="preserve">nitiative </w:t>
      </w:r>
      <w:r w:rsidR="00506B22">
        <w:rPr>
          <w:rFonts w:asciiTheme="minorHAnsi" w:hAnsiTheme="minorHAnsi"/>
        </w:rPr>
        <w:t xml:space="preserve">on a priority basis to tackle </w:t>
      </w:r>
      <w:r w:rsidRPr="00FE11F8">
        <w:rPr>
          <w:rFonts w:asciiTheme="minorHAnsi" w:hAnsiTheme="minorHAnsi"/>
        </w:rPr>
        <w:t>environmental degradation, education, training an</w:t>
      </w:r>
      <w:r w:rsidR="00506B22">
        <w:rPr>
          <w:rFonts w:asciiTheme="minorHAnsi" w:hAnsiTheme="minorHAnsi"/>
        </w:rPr>
        <w:t xml:space="preserve">d awareness raising activities. </w:t>
      </w:r>
      <w:r w:rsidRPr="00FE11F8">
        <w:rPr>
          <w:rFonts w:asciiTheme="minorHAnsi" w:hAnsiTheme="minorHAnsi"/>
        </w:rPr>
        <w:t xml:space="preserve">About 0.90 million and 0.60 million full time employment opportunity </w:t>
      </w:r>
      <w:r w:rsidR="00506B22">
        <w:rPr>
          <w:rFonts w:asciiTheme="minorHAnsi" w:hAnsiTheme="minorHAnsi"/>
        </w:rPr>
        <w:t xml:space="preserve">has been </w:t>
      </w:r>
      <w:r w:rsidRPr="00FE11F8">
        <w:rPr>
          <w:rFonts w:asciiTheme="minorHAnsi" w:hAnsiTheme="minorHAnsi"/>
        </w:rPr>
        <w:t>created for male and female.</w:t>
      </w:r>
    </w:p>
    <w:p w:rsidR="00506B22" w:rsidRDefault="00506B22" w:rsidP="008F380C">
      <w:pPr>
        <w:autoSpaceDE w:val="0"/>
        <w:autoSpaceDN w:val="0"/>
        <w:adjustRightInd w:val="0"/>
        <w:spacing w:before="0" w:after="0" w:line="240" w:lineRule="auto"/>
        <w:rPr>
          <w:rFonts w:asciiTheme="minorHAnsi" w:hAnsiTheme="minorHAnsi" w:cs="Open Sans"/>
          <w:color w:val="000000"/>
        </w:rPr>
      </w:pPr>
    </w:p>
    <w:p w:rsidR="008F380C" w:rsidRPr="00FE11F8" w:rsidRDefault="00506B22" w:rsidP="008037D2">
      <w:pPr>
        <w:autoSpaceDE w:val="0"/>
        <w:autoSpaceDN w:val="0"/>
        <w:adjustRightInd w:val="0"/>
        <w:spacing w:before="0" w:after="0" w:line="360" w:lineRule="auto"/>
        <w:jc w:val="both"/>
        <w:rPr>
          <w:rFonts w:asciiTheme="minorHAnsi" w:hAnsiTheme="minorHAnsi"/>
        </w:rPr>
      </w:pPr>
      <w:r>
        <w:rPr>
          <w:rFonts w:asciiTheme="minorHAnsi" w:hAnsiTheme="minorHAnsi" w:cs="Open Sans"/>
          <w:color w:val="000000"/>
        </w:rPr>
        <w:t xml:space="preserve">Achievement of </w:t>
      </w:r>
      <w:r w:rsidR="008F380C" w:rsidRPr="00FE11F8">
        <w:rPr>
          <w:rFonts w:asciiTheme="minorHAnsi" w:hAnsiTheme="minorHAnsi"/>
        </w:rPr>
        <w:t xml:space="preserve">biodiversity protection and conservation </w:t>
      </w:r>
      <w:r>
        <w:rPr>
          <w:rFonts w:asciiTheme="minorHAnsi" w:hAnsiTheme="minorHAnsi"/>
        </w:rPr>
        <w:t xml:space="preserve">targets </w:t>
      </w:r>
      <w:r w:rsidR="008F380C" w:rsidRPr="00FE11F8">
        <w:rPr>
          <w:rFonts w:asciiTheme="minorHAnsi" w:hAnsiTheme="minorHAnsi"/>
        </w:rPr>
        <w:t>through strict enforcement of laws and community based participatory forest management</w:t>
      </w:r>
      <w:r>
        <w:rPr>
          <w:rFonts w:asciiTheme="minorHAnsi" w:hAnsiTheme="minorHAnsi"/>
        </w:rPr>
        <w:t xml:space="preserve"> is being prescribed</w:t>
      </w:r>
      <w:r w:rsidR="008F380C" w:rsidRPr="00FE11F8">
        <w:rPr>
          <w:rFonts w:asciiTheme="minorHAnsi" w:hAnsiTheme="minorHAnsi"/>
        </w:rPr>
        <w:t xml:space="preserve">. </w:t>
      </w:r>
      <w:r>
        <w:rPr>
          <w:rFonts w:asciiTheme="minorHAnsi" w:hAnsiTheme="minorHAnsi"/>
        </w:rPr>
        <w:t xml:space="preserve">The strategy also prescribed the engagement of the </w:t>
      </w:r>
      <w:r w:rsidR="008F380C" w:rsidRPr="00FE11F8">
        <w:rPr>
          <w:rFonts w:asciiTheme="minorHAnsi" w:hAnsiTheme="minorHAnsi"/>
        </w:rPr>
        <w:t>specialized NGOs for awareness building, training a</w:t>
      </w:r>
      <w:r>
        <w:rPr>
          <w:rFonts w:asciiTheme="minorHAnsi" w:hAnsiTheme="minorHAnsi"/>
        </w:rPr>
        <w:t xml:space="preserve">nd stakeholder group </w:t>
      </w:r>
      <w:r w:rsidR="00AD1D60">
        <w:rPr>
          <w:rFonts w:asciiTheme="minorHAnsi" w:hAnsiTheme="minorHAnsi"/>
        </w:rPr>
        <w:t>formation.</w:t>
      </w:r>
    </w:p>
    <w:p w:rsidR="008F380C" w:rsidRPr="00FE11F8" w:rsidRDefault="008F380C" w:rsidP="008F380C">
      <w:pPr>
        <w:autoSpaceDE w:val="0"/>
        <w:autoSpaceDN w:val="0"/>
        <w:adjustRightInd w:val="0"/>
        <w:spacing w:before="0" w:after="0" w:line="240" w:lineRule="auto"/>
        <w:rPr>
          <w:rFonts w:asciiTheme="minorHAnsi" w:hAnsiTheme="minorHAnsi"/>
        </w:rPr>
      </w:pPr>
    </w:p>
    <w:p w:rsidR="008F380C" w:rsidRPr="00295F38" w:rsidRDefault="00506B22" w:rsidP="00295F38">
      <w:pPr>
        <w:autoSpaceDE w:val="0"/>
        <w:autoSpaceDN w:val="0"/>
        <w:adjustRightInd w:val="0"/>
        <w:spacing w:before="0" w:after="0" w:line="360" w:lineRule="auto"/>
        <w:rPr>
          <w:rFonts w:asciiTheme="minorHAnsi" w:hAnsiTheme="minorHAnsi"/>
        </w:rPr>
      </w:pPr>
      <w:r>
        <w:rPr>
          <w:rFonts w:asciiTheme="minorHAnsi" w:hAnsiTheme="minorHAnsi"/>
        </w:rPr>
        <w:t xml:space="preserve">Conservation initiatives are also </w:t>
      </w:r>
      <w:r w:rsidR="00F34D6B">
        <w:rPr>
          <w:rFonts w:asciiTheme="minorHAnsi" w:hAnsiTheme="minorHAnsi"/>
        </w:rPr>
        <w:t xml:space="preserve">been </w:t>
      </w:r>
      <w:r>
        <w:rPr>
          <w:rFonts w:asciiTheme="minorHAnsi" w:hAnsiTheme="minorHAnsi"/>
        </w:rPr>
        <w:t>recommended to be mainstreamed with community based eco-tourism</w:t>
      </w:r>
      <w:r w:rsidR="001833F7">
        <w:rPr>
          <w:rFonts w:asciiTheme="minorHAnsi" w:hAnsiTheme="minorHAnsi"/>
        </w:rPr>
        <w:t xml:space="preserve">, co-management initiatives in the protected areas </w:t>
      </w:r>
      <w:r>
        <w:rPr>
          <w:rFonts w:asciiTheme="minorHAnsi" w:hAnsiTheme="minorHAnsi"/>
        </w:rPr>
        <w:t>with a view to ensure s</w:t>
      </w:r>
      <w:r w:rsidR="008F380C" w:rsidRPr="00FE11F8">
        <w:rPr>
          <w:rFonts w:asciiTheme="minorHAnsi" w:hAnsiTheme="minorHAnsi"/>
        </w:rPr>
        <w:t>ocial acceptance and economic efficiency</w:t>
      </w:r>
      <w:r>
        <w:rPr>
          <w:rFonts w:asciiTheme="minorHAnsi" w:hAnsiTheme="minorHAnsi"/>
        </w:rPr>
        <w:t xml:space="preserve">. </w:t>
      </w:r>
    </w:p>
    <w:p w:rsidR="00E105C1" w:rsidRPr="00173781" w:rsidRDefault="00063E52" w:rsidP="00173781">
      <w:pPr>
        <w:pStyle w:val="Heading1"/>
      </w:pPr>
      <w:bookmarkStart w:id="30" w:name="_Toc510958598"/>
      <w:bookmarkStart w:id="31" w:name="_Toc515223794"/>
      <w:r w:rsidRPr="00173781">
        <w:t xml:space="preserve">4. </w:t>
      </w:r>
      <w:r w:rsidR="007C48F1" w:rsidRPr="00173781">
        <w:t xml:space="preserve"> </w:t>
      </w:r>
      <w:r w:rsidR="00072E08" w:rsidRPr="00173781">
        <w:t xml:space="preserve">Gender role in Forestry Sector </w:t>
      </w:r>
      <w:r w:rsidR="00655211" w:rsidRPr="00173781">
        <w:t>of</w:t>
      </w:r>
      <w:r w:rsidR="00BF69EA">
        <w:t xml:space="preserve"> Bangladesh: A brief Account of the S</w:t>
      </w:r>
      <w:r w:rsidR="00072E08" w:rsidRPr="00173781">
        <w:t xml:space="preserve">elected </w:t>
      </w:r>
      <w:r w:rsidR="00BF69EA">
        <w:t>L</w:t>
      </w:r>
      <w:r w:rsidR="00DB19C8" w:rsidRPr="00173781">
        <w:t>iteratures</w:t>
      </w:r>
      <w:bookmarkEnd w:id="30"/>
      <w:bookmarkEnd w:id="31"/>
    </w:p>
    <w:p w:rsidR="00FE11F8" w:rsidRPr="001C15B5" w:rsidRDefault="00CE1604" w:rsidP="001C15B5">
      <w:pPr>
        <w:spacing w:line="360" w:lineRule="auto"/>
        <w:jc w:val="both"/>
        <w:rPr>
          <w:bCs/>
        </w:rPr>
      </w:pPr>
      <w:r>
        <w:rPr>
          <w:bCs/>
        </w:rPr>
        <w:t xml:space="preserve">Understanding the gender dimension particularly in respect to forest degradation and deforestation is crucial </w:t>
      </w:r>
      <w:r w:rsidR="008406D6">
        <w:rPr>
          <w:bCs/>
        </w:rPr>
        <w:t xml:space="preserve">in order </w:t>
      </w:r>
      <w:r>
        <w:rPr>
          <w:bCs/>
        </w:rPr>
        <w:t xml:space="preserve">to </w:t>
      </w:r>
      <w:r w:rsidR="008406D6">
        <w:rPr>
          <w:bCs/>
        </w:rPr>
        <w:t>develop a</w:t>
      </w:r>
      <w:r>
        <w:rPr>
          <w:bCs/>
        </w:rPr>
        <w:t xml:space="preserve"> comprehensive plan</w:t>
      </w:r>
      <w:r w:rsidR="008406D6">
        <w:rPr>
          <w:bCs/>
        </w:rPr>
        <w:t xml:space="preserve">/strategy for </w:t>
      </w:r>
      <w:r w:rsidR="00921F60">
        <w:rPr>
          <w:bCs/>
        </w:rPr>
        <w:t>addressing the</w:t>
      </w:r>
      <w:r>
        <w:rPr>
          <w:bCs/>
        </w:rPr>
        <w:t xml:space="preserve"> problem </w:t>
      </w:r>
      <w:r w:rsidR="008406D6">
        <w:rPr>
          <w:bCs/>
        </w:rPr>
        <w:t xml:space="preserve">under the purview of the REDD+ program. </w:t>
      </w:r>
      <w:r w:rsidR="003C52B1">
        <w:rPr>
          <w:bCs/>
        </w:rPr>
        <w:t>Assessing gender dimension is crucial through which it is possible to determi</w:t>
      </w:r>
      <w:r w:rsidR="00DA332E">
        <w:rPr>
          <w:bCs/>
        </w:rPr>
        <w:t>ne the contribution of women and</w:t>
      </w:r>
      <w:r w:rsidR="003C52B1">
        <w:rPr>
          <w:bCs/>
        </w:rPr>
        <w:t xml:space="preserve"> to obtain an overview on various dimensions of forest use, resource governance and biodiversity conservation</w:t>
      </w:r>
      <w:r w:rsidR="001A54B6">
        <w:rPr>
          <w:bCs/>
        </w:rPr>
        <w:t xml:space="preserve">. </w:t>
      </w:r>
      <w:r w:rsidR="00C17667" w:rsidRPr="002F4910">
        <w:rPr>
          <w:bCs/>
        </w:rPr>
        <w:t>This section</w:t>
      </w:r>
      <w:r w:rsidR="005D1580" w:rsidRPr="002F4910">
        <w:rPr>
          <w:bCs/>
        </w:rPr>
        <w:t xml:space="preserve"> has reviewed</w:t>
      </w:r>
      <w:r w:rsidR="00C17667" w:rsidRPr="002F4910">
        <w:rPr>
          <w:bCs/>
        </w:rPr>
        <w:t xml:space="preserve"> various </w:t>
      </w:r>
      <w:r w:rsidR="0082215F">
        <w:rPr>
          <w:bCs/>
        </w:rPr>
        <w:t xml:space="preserve">contemporary </w:t>
      </w:r>
      <w:r w:rsidR="005067A5">
        <w:rPr>
          <w:bCs/>
        </w:rPr>
        <w:t xml:space="preserve">scientific </w:t>
      </w:r>
      <w:r w:rsidR="00805DD6" w:rsidRPr="002F4910">
        <w:rPr>
          <w:bCs/>
        </w:rPr>
        <w:t>articles</w:t>
      </w:r>
      <w:r w:rsidR="00805DD6">
        <w:rPr>
          <w:bCs/>
        </w:rPr>
        <w:t>,</w:t>
      </w:r>
      <w:r w:rsidR="001A54B6">
        <w:rPr>
          <w:bCs/>
        </w:rPr>
        <w:t xml:space="preserve"> </w:t>
      </w:r>
      <w:r w:rsidR="00FE11F8">
        <w:rPr>
          <w:bCs/>
        </w:rPr>
        <w:t xml:space="preserve">study findings and field documents with a view </w:t>
      </w:r>
      <w:r w:rsidR="00FE11F8" w:rsidRPr="002F4910">
        <w:rPr>
          <w:bCs/>
        </w:rPr>
        <w:t xml:space="preserve">to determine the </w:t>
      </w:r>
      <w:r w:rsidR="00FE11F8">
        <w:rPr>
          <w:bCs/>
        </w:rPr>
        <w:t>role of women in fuel</w:t>
      </w:r>
      <w:r w:rsidR="004844A8">
        <w:rPr>
          <w:bCs/>
        </w:rPr>
        <w:t>wood</w:t>
      </w:r>
      <w:r w:rsidR="00830C95">
        <w:rPr>
          <w:bCs/>
        </w:rPr>
        <w:t xml:space="preserve"> and </w:t>
      </w:r>
      <w:proofErr w:type="spellStart"/>
      <w:r w:rsidR="00830C95">
        <w:rPr>
          <w:bCs/>
        </w:rPr>
        <w:t>NTFP</w:t>
      </w:r>
      <w:proofErr w:type="spellEnd"/>
      <w:r w:rsidR="00830C95">
        <w:rPr>
          <w:bCs/>
        </w:rPr>
        <w:t xml:space="preserve"> collection, biodiversity</w:t>
      </w:r>
      <w:r w:rsidR="004844A8">
        <w:rPr>
          <w:bCs/>
        </w:rPr>
        <w:t xml:space="preserve"> </w:t>
      </w:r>
      <w:r w:rsidR="00C17667" w:rsidRPr="002F4910">
        <w:rPr>
          <w:bCs/>
        </w:rPr>
        <w:t xml:space="preserve">status of gender in forest and its resource use, management and governance. </w:t>
      </w:r>
      <w:r w:rsidR="0006296E">
        <w:rPr>
          <w:bCs/>
        </w:rPr>
        <w:t>Ge</w:t>
      </w:r>
      <w:r w:rsidR="0006296E" w:rsidRPr="002F4910">
        <w:rPr>
          <w:bCs/>
        </w:rPr>
        <w:t>nder roles</w:t>
      </w:r>
      <w:r w:rsidR="0082215F">
        <w:rPr>
          <w:bCs/>
        </w:rPr>
        <w:t xml:space="preserve"> are</w:t>
      </w:r>
      <w:r w:rsidR="00C17667" w:rsidRPr="002F4910">
        <w:rPr>
          <w:bCs/>
        </w:rPr>
        <w:t xml:space="preserve"> being identified </w:t>
      </w:r>
      <w:r w:rsidR="005D1580" w:rsidRPr="002F4910">
        <w:rPr>
          <w:bCs/>
        </w:rPr>
        <w:t xml:space="preserve">through </w:t>
      </w:r>
      <w:r w:rsidR="00921F60">
        <w:rPr>
          <w:bCs/>
        </w:rPr>
        <w:t xml:space="preserve">examining </w:t>
      </w:r>
      <w:r w:rsidR="005D1580" w:rsidRPr="002F4910">
        <w:rPr>
          <w:bCs/>
        </w:rPr>
        <w:t xml:space="preserve">empirical studies </w:t>
      </w:r>
      <w:r w:rsidR="0082215F">
        <w:rPr>
          <w:bCs/>
        </w:rPr>
        <w:t xml:space="preserve">under </w:t>
      </w:r>
      <w:r w:rsidR="003474BB">
        <w:rPr>
          <w:bCs/>
        </w:rPr>
        <w:t>the following</w:t>
      </w:r>
      <w:r w:rsidR="0082215F">
        <w:rPr>
          <w:bCs/>
        </w:rPr>
        <w:t xml:space="preserve"> </w:t>
      </w:r>
      <w:r>
        <w:rPr>
          <w:bCs/>
        </w:rPr>
        <w:t xml:space="preserve">broad </w:t>
      </w:r>
      <w:r w:rsidR="0082215F">
        <w:rPr>
          <w:bCs/>
        </w:rPr>
        <w:t xml:space="preserve">categories namely deforestation, biodiversity conservation, </w:t>
      </w:r>
      <w:r w:rsidR="00FE11F8">
        <w:rPr>
          <w:bCs/>
        </w:rPr>
        <w:t>fuel</w:t>
      </w:r>
      <w:r w:rsidR="004844A8">
        <w:rPr>
          <w:bCs/>
        </w:rPr>
        <w:t>wood,</w:t>
      </w:r>
      <w:r w:rsidR="0082215F">
        <w:rPr>
          <w:bCs/>
        </w:rPr>
        <w:t xml:space="preserve"> </w:t>
      </w:r>
      <w:proofErr w:type="spellStart"/>
      <w:r w:rsidR="0082215F">
        <w:rPr>
          <w:bCs/>
        </w:rPr>
        <w:t>NTFP</w:t>
      </w:r>
      <w:proofErr w:type="spellEnd"/>
      <w:r w:rsidR="0082215F">
        <w:rPr>
          <w:bCs/>
        </w:rPr>
        <w:t xml:space="preserve"> collection and livelihood </w:t>
      </w:r>
      <w:r w:rsidR="0082215F" w:rsidRPr="002F4910">
        <w:rPr>
          <w:bCs/>
        </w:rPr>
        <w:t>are</w:t>
      </w:r>
      <w:r w:rsidR="005D1580" w:rsidRPr="002F4910">
        <w:rPr>
          <w:bCs/>
        </w:rPr>
        <w:t xml:space="preserve"> being depicted in this section. </w:t>
      </w:r>
      <w:r w:rsidR="00C17667" w:rsidRPr="002F4910">
        <w:rPr>
          <w:bCs/>
        </w:rPr>
        <w:t xml:space="preserve"> </w:t>
      </w:r>
      <w:bookmarkStart w:id="32" w:name="_Toc510958599"/>
    </w:p>
    <w:p w:rsidR="004844A8" w:rsidRPr="00173781" w:rsidRDefault="001C15B5" w:rsidP="00173781">
      <w:pPr>
        <w:pStyle w:val="Heading2"/>
      </w:pPr>
      <w:bookmarkStart w:id="33" w:name="_Toc515223795"/>
      <w:r w:rsidRPr="00173781">
        <w:t>4.1</w:t>
      </w:r>
      <w:r w:rsidR="00686C93" w:rsidRPr="00173781">
        <w:t xml:space="preserve">. </w:t>
      </w:r>
      <w:r w:rsidR="00F96064" w:rsidRPr="00173781">
        <w:t>Gender context of f</w:t>
      </w:r>
      <w:r w:rsidR="00686C93" w:rsidRPr="00173781">
        <w:t>uel wood collection</w:t>
      </w:r>
      <w:r w:rsidR="00D96B21">
        <w:t>- f</w:t>
      </w:r>
      <w:r w:rsidR="007C49ED" w:rsidRPr="00173781">
        <w:t>indings of various studies</w:t>
      </w:r>
      <w:bookmarkEnd w:id="32"/>
      <w:bookmarkEnd w:id="33"/>
    </w:p>
    <w:p w:rsidR="003213CB" w:rsidRDefault="004844A8" w:rsidP="00AD1D60">
      <w:pPr>
        <w:spacing w:line="360" w:lineRule="auto"/>
        <w:jc w:val="both"/>
      </w:pPr>
      <w:r w:rsidRPr="004844A8">
        <w:t xml:space="preserve">Fuel wood collection </w:t>
      </w:r>
      <w:r w:rsidR="003213CB" w:rsidRPr="004844A8">
        <w:t>is one</w:t>
      </w:r>
      <w:r w:rsidRPr="004844A8">
        <w:t xml:space="preserve"> of the major activities generally carried out both by male and female </w:t>
      </w:r>
      <w:r w:rsidR="003213CB">
        <w:t xml:space="preserve">members </w:t>
      </w:r>
      <w:r w:rsidRPr="004844A8">
        <w:t xml:space="preserve">to support the daily need of the cooking fuel. </w:t>
      </w:r>
      <w:r>
        <w:t xml:space="preserve">Collection of </w:t>
      </w:r>
      <w:r w:rsidR="003213CB">
        <w:t>fuel wood</w:t>
      </w:r>
      <w:r>
        <w:t xml:space="preserve"> from forest is also a </w:t>
      </w:r>
      <w:r w:rsidRPr="004844A8">
        <w:t>significant livelihood option</w:t>
      </w:r>
      <w:r>
        <w:t xml:space="preserve"> to many poor </w:t>
      </w:r>
      <w:r w:rsidR="003213CB">
        <w:t>individuals.</w:t>
      </w:r>
      <w:r>
        <w:t xml:space="preserve"> </w:t>
      </w:r>
    </w:p>
    <w:p w:rsidR="00EF58D4" w:rsidRPr="00266721" w:rsidRDefault="00F72020" w:rsidP="00AD1D60">
      <w:pPr>
        <w:spacing w:line="360" w:lineRule="auto"/>
        <w:jc w:val="both"/>
      </w:pPr>
      <w:r w:rsidRPr="00266721">
        <w:lastRenderedPageBreak/>
        <w:t>Community living in and around the protected areas is</w:t>
      </w:r>
      <w:r w:rsidR="003213CB" w:rsidRPr="00266721">
        <w:t xml:space="preserve"> largely dependent on it for their fuel wood supply</w:t>
      </w:r>
      <w:r w:rsidR="00EF58D4" w:rsidRPr="00266721">
        <w:t xml:space="preserve">. A study by </w:t>
      </w:r>
      <w:proofErr w:type="spellStart"/>
      <w:r w:rsidR="00EF58D4" w:rsidRPr="00266721">
        <w:t>Dhal</w:t>
      </w:r>
      <w:r w:rsidR="008E0C7A" w:rsidRPr="00266721">
        <w:t>i</w:t>
      </w:r>
      <w:proofErr w:type="spellEnd"/>
      <w:r w:rsidR="00EF58D4" w:rsidRPr="00266721">
        <w:t xml:space="preserve">, 2008 manifested how Indigenous women from </w:t>
      </w:r>
      <w:proofErr w:type="spellStart"/>
      <w:r w:rsidR="00EF58D4" w:rsidRPr="00266721">
        <w:rPr>
          <w:i/>
        </w:rPr>
        <w:t>Khyang</w:t>
      </w:r>
      <w:proofErr w:type="spellEnd"/>
      <w:r w:rsidR="00EF58D4" w:rsidRPr="00266721">
        <w:t xml:space="preserve"> community met their fuel wood demand both for </w:t>
      </w:r>
      <w:r w:rsidRPr="00266721">
        <w:t>own</w:t>
      </w:r>
      <w:r w:rsidR="00EF58D4" w:rsidRPr="00266721">
        <w:t xml:space="preserve"> consumption as well as for selling</w:t>
      </w:r>
      <w:r w:rsidRPr="00266721">
        <w:t xml:space="preserve"> I</w:t>
      </w:r>
      <w:r w:rsidR="00EF58D4" w:rsidRPr="00266721">
        <w:t xml:space="preserve">n the local market to support their subsistence livelihood. </w:t>
      </w:r>
    </w:p>
    <w:p w:rsidR="004844A8" w:rsidRDefault="00F72020" w:rsidP="00AD1D60">
      <w:pPr>
        <w:spacing w:line="360" w:lineRule="auto"/>
        <w:jc w:val="both"/>
      </w:pPr>
      <w:r w:rsidRPr="00266721">
        <w:t xml:space="preserve">Female are the major fuel wood collector from forest compared to male since they are the one who manage their family need and day to day household works (Chowdhury et al, </w:t>
      </w:r>
      <w:r w:rsidR="00DA332E" w:rsidRPr="00266721">
        <w:t>2011</w:t>
      </w:r>
      <w:r w:rsidRPr="00266721">
        <w:t xml:space="preserve">). The study also highlighted the ratio of women engaged in fuel wood collection compared to men. </w:t>
      </w:r>
      <w:r w:rsidR="00620615" w:rsidRPr="00266721">
        <w:t>However</w:t>
      </w:r>
      <w:r w:rsidRPr="00266721">
        <w:t xml:space="preserve">, distance from forest is a limiting factor </w:t>
      </w:r>
      <w:r w:rsidR="00620615" w:rsidRPr="00266721">
        <w:t xml:space="preserve">particularly for the </w:t>
      </w:r>
      <w:r w:rsidRPr="00266721">
        <w:t xml:space="preserve">women </w:t>
      </w:r>
      <w:r w:rsidR="00620615" w:rsidRPr="00266721">
        <w:t xml:space="preserve">and children for their involvement in </w:t>
      </w:r>
      <w:r w:rsidRPr="00266721">
        <w:t xml:space="preserve">collecting fuel wood and other forest resources </w:t>
      </w:r>
      <w:r w:rsidR="00DA332E" w:rsidRPr="00266721">
        <w:t>particularly non</w:t>
      </w:r>
      <w:r w:rsidRPr="00266721">
        <w:t xml:space="preserve">-wood forest </w:t>
      </w:r>
      <w:r w:rsidR="00620615" w:rsidRPr="00266721">
        <w:t xml:space="preserve">products as revealed in a study conducted </w:t>
      </w:r>
      <w:r w:rsidR="00DA332E" w:rsidRPr="00266721">
        <w:t>by Sultana</w:t>
      </w:r>
      <w:r w:rsidRPr="00266721">
        <w:t>, 2007.</w:t>
      </w:r>
      <w:r>
        <w:t xml:space="preserve"> </w:t>
      </w:r>
      <w:r w:rsidR="003213CB">
        <w:t xml:space="preserve"> </w:t>
      </w:r>
    </w:p>
    <w:p w:rsidR="00686C93" w:rsidRPr="00266721" w:rsidRDefault="00620615" w:rsidP="00AD1D60">
      <w:pPr>
        <w:spacing w:line="360" w:lineRule="auto"/>
        <w:jc w:val="both"/>
      </w:pPr>
      <w:r w:rsidRPr="00266721">
        <w:t xml:space="preserve">Indigenous women have significant involvement in fuel wood collection and other resource extraction from protected areas as observed by many </w:t>
      </w:r>
      <w:r w:rsidR="00DA332E" w:rsidRPr="00266721">
        <w:t>researchers</w:t>
      </w:r>
      <w:r w:rsidRPr="00266721">
        <w:t xml:space="preserve"> (</w:t>
      </w:r>
      <w:proofErr w:type="spellStart"/>
      <w:r w:rsidRPr="00266721">
        <w:t>Dhal</w:t>
      </w:r>
      <w:r w:rsidR="00F36078" w:rsidRPr="00266721">
        <w:t>i</w:t>
      </w:r>
      <w:proofErr w:type="spellEnd"/>
      <w:r w:rsidRPr="00266721">
        <w:t xml:space="preserve">, 2008; Sultana, 2007). Reduction of emission from deforestation and degradation of forest and its resources has got direct relation with the extraction and utilization of forest resources such </w:t>
      </w:r>
      <w:r w:rsidR="008D45D8" w:rsidRPr="00266721">
        <w:t>as fuel</w:t>
      </w:r>
      <w:r w:rsidRPr="00266721">
        <w:t xml:space="preserve"> wood. </w:t>
      </w:r>
    </w:p>
    <w:p w:rsidR="00686C93" w:rsidRPr="00266721" w:rsidRDefault="00F9630C" w:rsidP="00173781">
      <w:pPr>
        <w:pStyle w:val="Heading2"/>
      </w:pPr>
      <w:bookmarkStart w:id="34" w:name="_Toc515223796"/>
      <w:bookmarkStart w:id="35" w:name="_Toc510958600"/>
      <w:r w:rsidRPr="00266721">
        <w:t>4.2</w:t>
      </w:r>
      <w:r w:rsidR="001C15B5" w:rsidRPr="00266721">
        <w:t>. Non</w:t>
      </w:r>
      <w:r w:rsidR="00BF69EA" w:rsidRPr="00266721">
        <w:t>-wood forest p</w:t>
      </w:r>
      <w:r w:rsidR="00037CBE" w:rsidRPr="00266721">
        <w:t xml:space="preserve">roducts </w:t>
      </w:r>
      <w:r w:rsidR="00BF69EA" w:rsidRPr="00266721">
        <w:t>e</w:t>
      </w:r>
      <w:r w:rsidR="00037CBE" w:rsidRPr="00266721">
        <w:t>xtraction</w:t>
      </w:r>
      <w:r w:rsidR="00D94D96" w:rsidRPr="00266721">
        <w:t xml:space="preserve"> </w:t>
      </w:r>
      <w:r w:rsidR="00BF69EA" w:rsidRPr="00266721">
        <w:t>and community l</w:t>
      </w:r>
      <w:r w:rsidR="00037CBE" w:rsidRPr="00266721">
        <w:t>ivelihood</w:t>
      </w:r>
      <w:bookmarkEnd w:id="34"/>
      <w:r w:rsidR="00037CBE" w:rsidRPr="00266721">
        <w:t xml:space="preserve"> </w:t>
      </w:r>
      <w:bookmarkEnd w:id="35"/>
    </w:p>
    <w:p w:rsidR="00027BEB" w:rsidRDefault="00D064D8" w:rsidP="00AD1D60">
      <w:pPr>
        <w:spacing w:line="360" w:lineRule="auto"/>
        <w:jc w:val="both"/>
      </w:pPr>
      <w:r w:rsidRPr="00266721">
        <w:t>Forest based</w:t>
      </w:r>
      <w:r w:rsidR="00037CBE" w:rsidRPr="00266721">
        <w:t xml:space="preserve"> resources such as non-wood forest products (NWFPs) are   playing crucial role in sustaining livelihood of the forest dependent community around the world (</w:t>
      </w:r>
      <w:proofErr w:type="spellStart"/>
      <w:r w:rsidR="001C15B5" w:rsidRPr="00266721">
        <w:t>Belchar</w:t>
      </w:r>
      <w:proofErr w:type="spellEnd"/>
      <w:r w:rsidR="001C15B5" w:rsidRPr="00266721">
        <w:t xml:space="preserve"> et al., 2005)</w:t>
      </w:r>
      <w:r w:rsidR="00037CBE" w:rsidRPr="00266721">
        <w:t xml:space="preserve">. This is more applicable in a country like Bangladesh where, a significant portion of the forest users groups collect NWFPs from natural forest, protected areas and other sources to endure sustainable livelihood. In </w:t>
      </w:r>
      <w:r w:rsidR="00AC1876" w:rsidRPr="00266721">
        <w:t>this context woman</w:t>
      </w:r>
      <w:r w:rsidR="00037CBE" w:rsidRPr="00266721">
        <w:t xml:space="preserve"> has substantial contribution thus need special consideration</w:t>
      </w:r>
      <w:r w:rsidR="00AC1876" w:rsidRPr="00266721">
        <w:t xml:space="preserve"> to assess their engagement. </w:t>
      </w:r>
      <w:r w:rsidR="00037CBE" w:rsidRPr="00266721">
        <w:t xml:space="preserve"> </w:t>
      </w:r>
      <w:r w:rsidR="00AC1876" w:rsidRPr="00266721">
        <w:t xml:space="preserve">Many studies were carried out to determine the gender dimension of NWFPs and their utilization aspect. </w:t>
      </w:r>
      <w:r w:rsidR="00027BEB" w:rsidRPr="00266721">
        <w:t xml:space="preserve">Higher percentage of (53%) of female engagement has been noticed in the collection of NWFPs from a natural forest at </w:t>
      </w:r>
      <w:proofErr w:type="spellStart"/>
      <w:r w:rsidR="00027BEB" w:rsidRPr="00266721">
        <w:t>Habiganj</w:t>
      </w:r>
      <w:proofErr w:type="spellEnd"/>
      <w:r w:rsidR="00027BEB" w:rsidRPr="00266721">
        <w:t xml:space="preserve"> (Das, 2014).</w:t>
      </w:r>
      <w:r w:rsidR="00027BEB">
        <w:t xml:space="preserve"> </w:t>
      </w:r>
    </w:p>
    <w:p w:rsidR="002D6BD2" w:rsidRPr="00266721" w:rsidRDefault="00027BEB" w:rsidP="008E0C7A">
      <w:pPr>
        <w:spacing w:line="360" w:lineRule="auto"/>
        <w:jc w:val="both"/>
      </w:pPr>
      <w:r w:rsidRPr="00266721">
        <w:t xml:space="preserve">The contribution of NWFPs as a livelihood option was examined in </w:t>
      </w:r>
      <w:r w:rsidR="00721B42" w:rsidRPr="00266721">
        <w:t xml:space="preserve">the </w:t>
      </w:r>
      <w:r w:rsidRPr="00266721">
        <w:t xml:space="preserve">CHT </w:t>
      </w:r>
      <w:r w:rsidR="00721B42" w:rsidRPr="00266721">
        <w:t xml:space="preserve">context and revealed the dominant role of women in the collection and utilization aspects compared to men and children. Female respondents were found to earn more money from selling raw bamboo than their counterparts (Kar, 2010). Another study conducted at </w:t>
      </w:r>
      <w:proofErr w:type="spellStart"/>
      <w:r w:rsidR="00721B42" w:rsidRPr="00266721">
        <w:t>Chunati</w:t>
      </w:r>
      <w:proofErr w:type="spellEnd"/>
      <w:r w:rsidR="00721B42" w:rsidRPr="00266721">
        <w:t xml:space="preserve"> Wildlife </w:t>
      </w:r>
      <w:r w:rsidR="00721B42" w:rsidRPr="00266721">
        <w:lastRenderedPageBreak/>
        <w:t xml:space="preserve">Sanctuary also manifested dependency of the women on NTFP collection for sustaining livelihood and income generation </w:t>
      </w:r>
      <w:r w:rsidR="00F36078" w:rsidRPr="00266721">
        <w:t>(Miah</w:t>
      </w:r>
      <w:r w:rsidR="00721B42" w:rsidRPr="00266721">
        <w:t xml:space="preserve">, 2007). In both cases women found dominant compared to men and children in extracting NWFPs. This scenario </w:t>
      </w:r>
      <w:r w:rsidR="00BD05F0" w:rsidRPr="00266721">
        <w:t>depict the</w:t>
      </w:r>
      <w:r w:rsidR="00721B42" w:rsidRPr="00266721">
        <w:t xml:space="preserve"> importance of gender contribution in regards to NWFPs extraction and utilization that might have significant</w:t>
      </w:r>
      <w:r w:rsidR="000E0CD0" w:rsidRPr="00266721">
        <w:t xml:space="preserve"> </w:t>
      </w:r>
      <w:r w:rsidR="00C503F8" w:rsidRPr="00266721">
        <w:t xml:space="preserve">implication in reducing the deforestation and degradation taking place </w:t>
      </w:r>
      <w:r w:rsidR="009D10FB" w:rsidRPr="00266721">
        <w:t xml:space="preserve">in relation to </w:t>
      </w:r>
      <w:r w:rsidR="00C503F8" w:rsidRPr="00266721">
        <w:t>NWFPs collection.</w:t>
      </w:r>
      <w:r w:rsidR="00ED61E2" w:rsidRPr="00266721">
        <w:t xml:space="preserve"> Female headed families are more </w:t>
      </w:r>
      <w:r w:rsidR="007620FB" w:rsidRPr="00266721">
        <w:t>dependent</w:t>
      </w:r>
      <w:r w:rsidR="00ED61E2" w:rsidRPr="00266721">
        <w:t xml:space="preserve"> on forest for their livelihood as depicted in </w:t>
      </w:r>
      <w:r w:rsidR="00F36078" w:rsidRPr="00266721">
        <w:t>several studies</w:t>
      </w:r>
      <w:r w:rsidR="00ED61E2" w:rsidRPr="00266721">
        <w:t xml:space="preserve"> (Iftekhar and </w:t>
      </w:r>
      <w:proofErr w:type="spellStart"/>
      <w:r w:rsidR="00ED61E2" w:rsidRPr="00266721">
        <w:t>Takama</w:t>
      </w:r>
      <w:proofErr w:type="spellEnd"/>
      <w:r w:rsidR="00ED61E2" w:rsidRPr="00266721">
        <w:t>, 2008)</w:t>
      </w:r>
      <w:r w:rsidR="008D45D8" w:rsidRPr="00266721">
        <w:t>.</w:t>
      </w:r>
      <w:r w:rsidR="00ED61E2" w:rsidRPr="00266721">
        <w:t xml:space="preserve"> </w:t>
      </w:r>
    </w:p>
    <w:p w:rsidR="00072E08" w:rsidRPr="00AD1D60" w:rsidRDefault="009D10FB" w:rsidP="00AD1D60">
      <w:pPr>
        <w:spacing w:line="360" w:lineRule="auto"/>
      </w:pPr>
      <w:r w:rsidRPr="00266721">
        <w:t xml:space="preserve">Homestead forestry is now the major source of providing major forest resources particularly timber and fuel wood where women’s contribution worth mentioning. The study by Rahman et al., </w:t>
      </w:r>
      <w:r w:rsidR="008D45D8" w:rsidRPr="00266721">
        <w:t>(</w:t>
      </w:r>
      <w:r w:rsidRPr="00266721">
        <w:t>2005</w:t>
      </w:r>
      <w:r w:rsidR="008D45D8" w:rsidRPr="00266721">
        <w:t>)</w:t>
      </w:r>
      <w:r w:rsidRPr="00266721">
        <w:t xml:space="preserve"> examined the contribution of homestead forestry in rural economy and the engagement of women.</w:t>
      </w:r>
      <w:r>
        <w:t xml:space="preserve"> </w:t>
      </w:r>
    </w:p>
    <w:p w:rsidR="00F0780B" w:rsidRPr="00173781" w:rsidRDefault="00F9630C" w:rsidP="00173781">
      <w:pPr>
        <w:pStyle w:val="Heading2"/>
      </w:pPr>
      <w:bookmarkStart w:id="36" w:name="_Toc510958601"/>
      <w:bookmarkStart w:id="37" w:name="_Toc515223797"/>
      <w:r w:rsidRPr="00173781">
        <w:t>4.3.</w:t>
      </w:r>
      <w:r w:rsidR="007C49ED" w:rsidRPr="00173781">
        <w:t xml:space="preserve"> </w:t>
      </w:r>
      <w:r w:rsidR="00201D9B" w:rsidRPr="00173781">
        <w:t xml:space="preserve">Gender context in </w:t>
      </w:r>
      <w:r w:rsidR="00F0780B" w:rsidRPr="00173781">
        <w:t>biodiversity</w:t>
      </w:r>
      <w:r w:rsidR="00201D9B" w:rsidRPr="00173781">
        <w:t xml:space="preserve"> conservation</w:t>
      </w:r>
      <w:bookmarkEnd w:id="36"/>
      <w:bookmarkEnd w:id="37"/>
      <w:r w:rsidR="00201D9B" w:rsidRPr="00173781">
        <w:t xml:space="preserve"> </w:t>
      </w:r>
    </w:p>
    <w:p w:rsidR="004C37C3" w:rsidRDefault="00D12D98" w:rsidP="008E0C7A">
      <w:pPr>
        <w:spacing w:line="360" w:lineRule="auto"/>
        <w:jc w:val="both"/>
        <w:rPr>
          <w:color w:val="0D0D0D"/>
        </w:rPr>
      </w:pPr>
      <w:r w:rsidRPr="00D12D98">
        <w:t xml:space="preserve">The success of REDD+ program is largely </w:t>
      </w:r>
      <w:r w:rsidR="006C0066">
        <w:t xml:space="preserve">linked with the effective and sustainable conservation of biological resources available </w:t>
      </w:r>
      <w:r w:rsidR="00AD1D60">
        <w:t>in forests</w:t>
      </w:r>
      <w:r w:rsidR="006C0066">
        <w:t xml:space="preserve">. </w:t>
      </w:r>
      <w:r w:rsidR="0081505E">
        <w:t>In doing so, forest dependent community both men and women has defined role</w:t>
      </w:r>
      <w:r w:rsidR="00ED61E2">
        <w:t>s</w:t>
      </w:r>
      <w:r w:rsidR="0081505E">
        <w:t xml:space="preserve"> to play. Several studies depicted this attribute and concluded that </w:t>
      </w:r>
      <w:r w:rsidR="00ED61E2">
        <w:t xml:space="preserve">synergic relation between men and women in work distribution acts positively for resource governance and conservation. The salient example of this context is </w:t>
      </w:r>
      <w:r w:rsidR="008D45D8">
        <w:t xml:space="preserve">being </w:t>
      </w:r>
      <w:r w:rsidR="00ED61E2">
        <w:t xml:space="preserve">reflected in a study </w:t>
      </w:r>
      <w:r w:rsidR="00ED61E2" w:rsidRPr="00266721">
        <w:t>by Nath et al.</w:t>
      </w:r>
      <w:r w:rsidR="008037D2" w:rsidRPr="00266721">
        <w:t xml:space="preserve"> </w:t>
      </w:r>
      <w:r w:rsidR="00ED61E2" w:rsidRPr="00266721">
        <w:t>(2003)</w:t>
      </w:r>
      <w:r w:rsidR="008037D2" w:rsidRPr="00266721">
        <w:t>,</w:t>
      </w:r>
      <w:r w:rsidR="00ED61E2">
        <w:t xml:space="preserve"> where gender role in betel leaf cultivation was evaluated and </w:t>
      </w:r>
      <w:r w:rsidR="008D45D8">
        <w:t xml:space="preserve">found that </w:t>
      </w:r>
      <w:r w:rsidR="00ED61E2">
        <w:t xml:space="preserve">this positive cooperation </w:t>
      </w:r>
      <w:r w:rsidR="00A11A5C">
        <w:t>o</w:t>
      </w:r>
      <w:r w:rsidR="008D45D8">
        <w:t xml:space="preserve">f men and women </w:t>
      </w:r>
      <w:r w:rsidR="00ED61E2">
        <w:t xml:space="preserve">not only supporting their betel leaf based </w:t>
      </w:r>
      <w:r w:rsidR="008D45D8">
        <w:t xml:space="preserve">hill farming system </w:t>
      </w:r>
      <w:r w:rsidR="00ED61E2">
        <w:t xml:space="preserve">but also contributing towards conservation of </w:t>
      </w:r>
      <w:r w:rsidR="008D45D8">
        <w:t>forest</w:t>
      </w:r>
      <w:r w:rsidR="00AD1D60">
        <w:t xml:space="preserve"> tree resources. </w:t>
      </w:r>
      <w:r w:rsidR="00AD1D60" w:rsidRPr="008037D2">
        <w:rPr>
          <w:color w:val="0D0D0D"/>
        </w:rPr>
        <w:t xml:space="preserve">Female headed households were more dependent on forest for their livelihoods than male headed households (Iftekhar and </w:t>
      </w:r>
      <w:proofErr w:type="spellStart"/>
      <w:r w:rsidR="00AD1D60" w:rsidRPr="008037D2">
        <w:rPr>
          <w:color w:val="0D0D0D"/>
        </w:rPr>
        <w:t>Takama</w:t>
      </w:r>
      <w:proofErr w:type="spellEnd"/>
      <w:r w:rsidR="00AD1D60" w:rsidRPr="008037D2">
        <w:rPr>
          <w:color w:val="0D0D0D"/>
        </w:rPr>
        <w:t>, 2008).</w:t>
      </w:r>
    </w:p>
    <w:p w:rsidR="008D45D8" w:rsidRPr="00173781" w:rsidRDefault="00F9630C" w:rsidP="00173781">
      <w:pPr>
        <w:pStyle w:val="Heading2"/>
      </w:pPr>
      <w:bookmarkStart w:id="38" w:name="_Toc510958602"/>
      <w:bookmarkStart w:id="39" w:name="_Toc515223798"/>
      <w:r w:rsidRPr="00173781">
        <w:t>4.4</w:t>
      </w:r>
      <w:r w:rsidR="00B37F73" w:rsidRPr="00173781">
        <w:t>. Plantation</w:t>
      </w:r>
      <w:r w:rsidR="00F96064" w:rsidRPr="00173781">
        <w:t xml:space="preserve"> management and governance</w:t>
      </w:r>
      <w:bookmarkEnd w:id="38"/>
      <w:bookmarkEnd w:id="39"/>
      <w:r w:rsidR="00F96064" w:rsidRPr="00173781">
        <w:t xml:space="preserve"> </w:t>
      </w:r>
    </w:p>
    <w:p w:rsidR="00835247" w:rsidRDefault="008D45D8" w:rsidP="00835247">
      <w:pPr>
        <w:autoSpaceDE w:val="0"/>
        <w:autoSpaceDN w:val="0"/>
        <w:adjustRightInd w:val="0"/>
        <w:spacing w:after="0" w:line="360" w:lineRule="auto"/>
        <w:jc w:val="both"/>
      </w:pPr>
      <w:r w:rsidRPr="007C010B">
        <w:t xml:space="preserve">Women are the key play makers in </w:t>
      </w:r>
      <w:r w:rsidR="009863BB" w:rsidRPr="007C010B">
        <w:t>the</w:t>
      </w:r>
      <w:r w:rsidR="009863BB">
        <w:t xml:space="preserve"> </w:t>
      </w:r>
      <w:r w:rsidR="009863BB" w:rsidRPr="007C010B">
        <w:t>management</w:t>
      </w:r>
      <w:r w:rsidRPr="007C010B">
        <w:t xml:space="preserve"> and overall governance of the </w:t>
      </w:r>
      <w:r w:rsidR="007C010B">
        <w:t xml:space="preserve">natural resources particularly </w:t>
      </w:r>
      <w:r w:rsidRPr="007C010B">
        <w:t>homestead forestry.</w:t>
      </w:r>
      <w:r>
        <w:t xml:space="preserve"> </w:t>
      </w:r>
      <w:r w:rsidRPr="007C010B">
        <w:t xml:space="preserve"> </w:t>
      </w:r>
      <w:r w:rsidR="007C010B">
        <w:t xml:space="preserve">Studies carried out on the home garden and traditional farming management identified the higher role of women compared to men </w:t>
      </w:r>
      <w:r w:rsidR="007C010B" w:rsidRPr="00266721">
        <w:t>(Akhter et al., 2010; Nath et al., 2003). Women spend most of their time in pre-harvesting activity and watering, fertilizing, weeding and fencing. On the other hand labor-intensive activities like digging holes, pruning, and planting species were mainly d</w:t>
      </w:r>
      <w:r w:rsidR="00173781" w:rsidRPr="00266721">
        <w:t xml:space="preserve">one by men. </w:t>
      </w:r>
      <w:r w:rsidR="007C010B" w:rsidRPr="00266721">
        <w:t>In some cases women</w:t>
      </w:r>
      <w:r w:rsidR="00E27904" w:rsidRPr="00266721">
        <w:t>’s</w:t>
      </w:r>
      <w:r w:rsidR="007C010B" w:rsidRPr="00266721">
        <w:t xml:space="preserve"> involvement found insignificant compared to </w:t>
      </w:r>
      <w:r w:rsidR="00E27904" w:rsidRPr="00266721">
        <w:t xml:space="preserve">men in </w:t>
      </w:r>
      <w:proofErr w:type="spellStart"/>
      <w:r w:rsidR="00E27904" w:rsidRPr="00266721">
        <w:t>sal</w:t>
      </w:r>
      <w:proofErr w:type="spellEnd"/>
      <w:r w:rsidR="00E27904" w:rsidRPr="00266721">
        <w:t xml:space="preserve"> forest region </w:t>
      </w:r>
      <w:r w:rsidR="0071137B" w:rsidRPr="00266721">
        <w:lastRenderedPageBreak/>
        <w:t>particularly in</w:t>
      </w:r>
      <w:r w:rsidR="007C010B" w:rsidRPr="00266721">
        <w:t xml:space="preserve"> case of strip plantation, block plantation and in agroforestry (Muhammed et al., 2008).</w:t>
      </w:r>
      <w:bookmarkStart w:id="40" w:name="_Toc510958603"/>
    </w:p>
    <w:p w:rsidR="00192765" w:rsidRPr="00173781" w:rsidRDefault="00173781" w:rsidP="00835247">
      <w:pPr>
        <w:pStyle w:val="Heading2"/>
      </w:pPr>
      <w:bookmarkStart w:id="41" w:name="_Toc515223799"/>
      <w:r w:rsidRPr="00173781">
        <w:t>4.5</w:t>
      </w:r>
      <w:r w:rsidR="00F9630C" w:rsidRPr="00173781">
        <w:t xml:space="preserve"> Role</w:t>
      </w:r>
      <w:r w:rsidR="00843C15" w:rsidRPr="00173781">
        <w:t xml:space="preserve"> of women in collaborative forestry</w:t>
      </w:r>
      <w:bookmarkEnd w:id="40"/>
      <w:r w:rsidR="00E27904" w:rsidRPr="00173781">
        <w:t xml:space="preserve"> </w:t>
      </w:r>
      <w:r w:rsidR="002D6BD2" w:rsidRPr="00173781">
        <w:t>programs</w:t>
      </w:r>
      <w:bookmarkEnd w:id="41"/>
      <w:r w:rsidR="00E27904" w:rsidRPr="00173781">
        <w:t xml:space="preserve"> </w:t>
      </w:r>
    </w:p>
    <w:p w:rsidR="002F4910" w:rsidRPr="00135917" w:rsidRDefault="00BA745D" w:rsidP="00173781">
      <w:pPr>
        <w:pStyle w:val="NormalWeb"/>
        <w:spacing w:line="360" w:lineRule="auto"/>
        <w:jc w:val="both"/>
        <w:rPr>
          <w:rFonts w:ascii="Calibri" w:hAnsi="Calibri"/>
        </w:rPr>
      </w:pPr>
      <w:r w:rsidRPr="00266721">
        <w:rPr>
          <w:rFonts w:ascii="Calibri" w:hAnsi="Calibri"/>
        </w:rPr>
        <w:t xml:space="preserve">Community participation in forestry is a </w:t>
      </w:r>
      <w:r w:rsidR="002D6BD2" w:rsidRPr="00266721">
        <w:rPr>
          <w:rFonts w:ascii="Calibri" w:hAnsi="Calibri"/>
        </w:rPr>
        <w:t xml:space="preserve">fairly </w:t>
      </w:r>
      <w:r w:rsidRPr="00266721">
        <w:rPr>
          <w:rFonts w:ascii="Calibri" w:hAnsi="Calibri"/>
        </w:rPr>
        <w:t xml:space="preserve">recent development that has received momentum in the face of global recognition on participatory management in a range of resource management, conservation and </w:t>
      </w:r>
      <w:r w:rsidR="00135917" w:rsidRPr="00266721">
        <w:rPr>
          <w:rFonts w:ascii="Calibri" w:hAnsi="Calibri"/>
        </w:rPr>
        <w:t>related aspects of sustai</w:t>
      </w:r>
      <w:r w:rsidRPr="00266721">
        <w:rPr>
          <w:rFonts w:ascii="Calibri" w:hAnsi="Calibri"/>
        </w:rPr>
        <w:t>nable development (Khan, 1998</w:t>
      </w:r>
      <w:r w:rsidR="00D23E9E" w:rsidRPr="00266721">
        <w:rPr>
          <w:rFonts w:ascii="Calibri" w:hAnsi="Calibri"/>
        </w:rPr>
        <w:t xml:space="preserve">; Nur </w:t>
      </w:r>
      <w:proofErr w:type="spellStart"/>
      <w:r w:rsidR="00D23E9E" w:rsidRPr="00266721">
        <w:rPr>
          <w:rFonts w:ascii="Calibri" w:hAnsi="Calibri"/>
        </w:rPr>
        <w:t>Muhammaed</w:t>
      </w:r>
      <w:proofErr w:type="spellEnd"/>
      <w:r w:rsidR="00D23E9E" w:rsidRPr="00266721">
        <w:rPr>
          <w:rFonts w:ascii="Calibri" w:hAnsi="Calibri"/>
        </w:rPr>
        <w:t xml:space="preserve"> et al., 2008</w:t>
      </w:r>
      <w:r w:rsidRPr="00266721">
        <w:rPr>
          <w:rFonts w:ascii="Calibri" w:hAnsi="Calibri"/>
        </w:rPr>
        <w:t>)</w:t>
      </w:r>
      <w:r w:rsidR="00135917" w:rsidRPr="00266721">
        <w:rPr>
          <w:rFonts w:ascii="Calibri" w:hAnsi="Calibri"/>
        </w:rPr>
        <w:t>.</w:t>
      </w:r>
      <w:r w:rsidRPr="00266721">
        <w:rPr>
          <w:rFonts w:ascii="Calibri" w:hAnsi="Calibri"/>
        </w:rPr>
        <w:t xml:space="preserve"> </w:t>
      </w:r>
      <w:r w:rsidR="002F4910" w:rsidRPr="00266721">
        <w:rPr>
          <w:rFonts w:ascii="Calibri" w:hAnsi="Calibri"/>
        </w:rPr>
        <w:t>Participatory forestry in Bangladesh is regarded as a strategy for both forest resource management and community development</w:t>
      </w:r>
      <w:r w:rsidR="00EC0B28" w:rsidRPr="00266721">
        <w:rPr>
          <w:rFonts w:ascii="Calibri" w:hAnsi="Calibri"/>
        </w:rPr>
        <w:t xml:space="preserve"> (</w:t>
      </w:r>
      <w:r w:rsidR="00094BA5" w:rsidRPr="00266721">
        <w:rPr>
          <w:rFonts w:ascii="Calibri" w:hAnsi="Calibri"/>
        </w:rPr>
        <w:t xml:space="preserve">Mukul et al, 2010; DoE, 2010 </w:t>
      </w:r>
      <w:r w:rsidR="00E27904" w:rsidRPr="00266721">
        <w:rPr>
          <w:rFonts w:ascii="Calibri" w:hAnsi="Calibri"/>
        </w:rPr>
        <w:t>and Khan</w:t>
      </w:r>
      <w:r w:rsidR="00EC0B28" w:rsidRPr="00266721">
        <w:rPr>
          <w:rFonts w:ascii="Calibri" w:hAnsi="Calibri"/>
        </w:rPr>
        <w:t>, 1998)</w:t>
      </w:r>
      <w:r w:rsidR="002F4910" w:rsidRPr="00266721">
        <w:rPr>
          <w:rFonts w:ascii="Calibri" w:hAnsi="Calibri"/>
        </w:rPr>
        <w:t>. Participatory forestry in Bangladesh originated as an alternative to conventional forestry practice with a view to increasing the forest coverage while educating, engaging and encouraging active community participation in forest management</w:t>
      </w:r>
      <w:r w:rsidR="00B4262D" w:rsidRPr="00266721">
        <w:rPr>
          <w:rFonts w:ascii="Calibri" w:hAnsi="Calibri"/>
        </w:rPr>
        <w:t xml:space="preserve"> (Muhammed et al, 2008)</w:t>
      </w:r>
      <w:r w:rsidR="002F4910" w:rsidRPr="00266721">
        <w:rPr>
          <w:rFonts w:ascii="Calibri" w:hAnsi="Calibri"/>
        </w:rPr>
        <w:t>.</w:t>
      </w:r>
    </w:p>
    <w:p w:rsidR="00135917" w:rsidRPr="00266721" w:rsidRDefault="002F4910" w:rsidP="00173781">
      <w:pPr>
        <w:spacing w:line="360" w:lineRule="auto"/>
        <w:jc w:val="both"/>
        <w:rPr>
          <w:color w:val="FF0000"/>
        </w:rPr>
      </w:pPr>
      <w:r w:rsidRPr="00266721">
        <w:t>Community participation in forestry in this region can be traced back to 1871 with the ‘</w:t>
      </w:r>
      <w:proofErr w:type="spellStart"/>
      <w:r w:rsidRPr="00266721">
        <w:t>taungya</w:t>
      </w:r>
      <w:proofErr w:type="spellEnd"/>
      <w:r w:rsidRPr="00266721">
        <w:t>’</w:t>
      </w:r>
      <w:r w:rsidRPr="00266721">
        <w:rPr>
          <w:rStyle w:val="FootnoteReference"/>
        </w:rPr>
        <w:footnoteReference w:id="1"/>
      </w:r>
      <w:r w:rsidRPr="00266721">
        <w:t xml:space="preserve"> system in teak (</w:t>
      </w:r>
      <w:proofErr w:type="spellStart"/>
      <w:r w:rsidRPr="00266721">
        <w:rPr>
          <w:i/>
        </w:rPr>
        <w:t>Tectona</w:t>
      </w:r>
      <w:proofErr w:type="spellEnd"/>
      <w:r w:rsidRPr="00266721">
        <w:rPr>
          <w:i/>
        </w:rPr>
        <w:t xml:space="preserve"> </w:t>
      </w:r>
      <w:proofErr w:type="spellStart"/>
      <w:r w:rsidRPr="00266721">
        <w:rPr>
          <w:i/>
        </w:rPr>
        <w:t>grandis</w:t>
      </w:r>
      <w:proofErr w:type="spellEnd"/>
      <w:r w:rsidRPr="00266721">
        <w:t>) plantation in hilly lands</w:t>
      </w:r>
      <w:r w:rsidR="00F860FD" w:rsidRPr="00266721">
        <w:t xml:space="preserve"> (</w:t>
      </w:r>
      <w:r w:rsidR="009B4C9B" w:rsidRPr="00266721">
        <w:t>Nath et al., 2016; Rashid and Mukul, 2017</w:t>
      </w:r>
      <w:r w:rsidR="00F860FD" w:rsidRPr="00266721">
        <w:t>)</w:t>
      </w:r>
      <w:r w:rsidRPr="00266721">
        <w:t>. However, the terminology of participatory forestry was officially coined through community forestry projects during the 1980s</w:t>
      </w:r>
      <w:r w:rsidR="00F860FD" w:rsidRPr="00266721">
        <w:t xml:space="preserve"> (</w:t>
      </w:r>
      <w:r w:rsidR="0071137B" w:rsidRPr="00266721">
        <w:t xml:space="preserve">Rashid et al., </w:t>
      </w:r>
      <w:r w:rsidR="00DF49F8" w:rsidRPr="00266721">
        <w:t>2013b)</w:t>
      </w:r>
      <w:r w:rsidRPr="00266721">
        <w:t>. It has been further expanded in various forms, namely the Thana Afforestation and Nursery Development Project (TANDP</w:t>
      </w:r>
      <w:r w:rsidR="00F860FD" w:rsidRPr="00266721">
        <w:t xml:space="preserve"> </w:t>
      </w:r>
      <w:r w:rsidR="00E27904" w:rsidRPr="00266721">
        <w:t>1989-1996</w:t>
      </w:r>
      <w:r w:rsidRPr="00266721">
        <w:t>), the Forestry Sector Project (FSP</w:t>
      </w:r>
      <w:r w:rsidR="00E27904" w:rsidRPr="00266721">
        <w:t xml:space="preserve"> 1998-2004</w:t>
      </w:r>
      <w:r w:rsidRPr="00266721">
        <w:t>), the Coastal Greenbelt Project (CGP</w:t>
      </w:r>
      <w:r w:rsidR="00F860FD" w:rsidRPr="00266721">
        <w:t xml:space="preserve"> </w:t>
      </w:r>
      <w:r w:rsidR="00E27904" w:rsidRPr="00266721">
        <w:t>1995-</w:t>
      </w:r>
      <w:r w:rsidR="008C4748" w:rsidRPr="00266721">
        <w:t>2002)</w:t>
      </w:r>
      <w:r w:rsidRPr="00266721">
        <w:t xml:space="preserve"> and the </w:t>
      </w:r>
      <w:proofErr w:type="spellStart"/>
      <w:r w:rsidRPr="00266721">
        <w:t>Sundarban</w:t>
      </w:r>
      <w:proofErr w:type="spellEnd"/>
      <w:r w:rsidRPr="00266721">
        <w:t xml:space="preserve"> Biodiversity Conservation Project (SBCP</w:t>
      </w:r>
      <w:r w:rsidR="00F860FD" w:rsidRPr="00266721">
        <w:t xml:space="preserve"> </w:t>
      </w:r>
      <w:r w:rsidR="00E27904" w:rsidRPr="00266721">
        <w:t>1999-2006</w:t>
      </w:r>
      <w:r w:rsidRPr="00266721">
        <w:t>)</w:t>
      </w:r>
      <w:r w:rsidR="00F860FD" w:rsidRPr="00266721">
        <w:t xml:space="preserve"> (</w:t>
      </w:r>
      <w:r w:rsidR="008C4748" w:rsidRPr="00266721">
        <w:t>Khan et al, 2004</w:t>
      </w:r>
      <w:r w:rsidR="00F860FD" w:rsidRPr="00266721">
        <w:t>)</w:t>
      </w:r>
      <w:r w:rsidRPr="00266721">
        <w:t>.</w:t>
      </w:r>
      <w:r w:rsidRPr="00266721">
        <w:rPr>
          <w:color w:val="FF0000"/>
        </w:rPr>
        <w:t xml:space="preserve"> </w:t>
      </w:r>
      <w:bookmarkStart w:id="42" w:name="_GoBack"/>
      <w:bookmarkEnd w:id="42"/>
    </w:p>
    <w:p w:rsidR="00FA2D35" w:rsidRPr="00266721" w:rsidRDefault="00FA2D35" w:rsidP="00173781">
      <w:pPr>
        <w:spacing w:line="360" w:lineRule="auto"/>
        <w:jc w:val="both"/>
      </w:pPr>
      <w:r w:rsidRPr="00266721">
        <w:t xml:space="preserve">Women are being given priority when selecting the beneficiary of </w:t>
      </w:r>
      <w:r w:rsidR="00A73F11" w:rsidRPr="00266721">
        <w:t xml:space="preserve">these </w:t>
      </w:r>
      <w:r w:rsidRPr="00266721">
        <w:t>social forestry</w:t>
      </w:r>
      <w:r w:rsidR="00A73F11" w:rsidRPr="00266721">
        <w:t xml:space="preserve"> </w:t>
      </w:r>
      <w:r w:rsidR="001241F4" w:rsidRPr="00266721">
        <w:t xml:space="preserve">projects. </w:t>
      </w:r>
      <w:r w:rsidRPr="00266721">
        <w:t xml:space="preserve">Also, if any beneficiary is a married man, his wife will automatically also be a beneficiary and vice versa. Thus about 50% of the participants of social forestry </w:t>
      </w:r>
      <w:r w:rsidR="00603B86" w:rsidRPr="00266721">
        <w:t>programs</w:t>
      </w:r>
      <w:r w:rsidRPr="00266721">
        <w:t xml:space="preserve"> are women</w:t>
      </w:r>
      <w:r w:rsidR="00F860FD" w:rsidRPr="00266721">
        <w:t xml:space="preserve"> (</w:t>
      </w:r>
      <w:r w:rsidR="002D6BD2" w:rsidRPr="00266721">
        <w:t xml:space="preserve">Khan et al, </w:t>
      </w:r>
      <w:r w:rsidR="00DF49F8" w:rsidRPr="00266721">
        <w:t>2004)</w:t>
      </w:r>
      <w:r w:rsidRPr="00266721">
        <w:t xml:space="preserve">. Nearly 30% of the </w:t>
      </w:r>
      <w:r w:rsidR="00A85AF1" w:rsidRPr="00266721">
        <w:t>total 1</w:t>
      </w:r>
      <w:r w:rsidR="00603B86" w:rsidRPr="00266721">
        <w:t>, 33,080</w:t>
      </w:r>
      <w:r w:rsidR="00A85AF1" w:rsidRPr="00266721">
        <w:t xml:space="preserve"> people receiving benefits from social forestry </w:t>
      </w:r>
      <w:proofErr w:type="spellStart"/>
      <w:r w:rsidR="00A85AF1" w:rsidRPr="00266721">
        <w:t>programme</w:t>
      </w:r>
      <w:proofErr w:type="spellEnd"/>
      <w:r w:rsidR="00A85AF1" w:rsidRPr="00266721">
        <w:t xml:space="preserve"> in Bangladesh is</w:t>
      </w:r>
      <w:r w:rsidRPr="00266721">
        <w:t xml:space="preserve"> women</w:t>
      </w:r>
      <w:r w:rsidR="005F08B5" w:rsidRPr="00266721">
        <w:t>.</w:t>
      </w:r>
      <w:r w:rsidRPr="00266721">
        <w:t xml:space="preserve"> In Jessore, Patuakhali, Jamalpur and Comilla districts 100% beneficiaries </w:t>
      </w:r>
      <w:r w:rsidR="00A73F11" w:rsidRPr="00266721">
        <w:t>were</w:t>
      </w:r>
      <w:r w:rsidRPr="00266721">
        <w:t xml:space="preserve"> women</w:t>
      </w:r>
      <w:r w:rsidR="00A73F11" w:rsidRPr="00266721">
        <w:t xml:space="preserve"> under the community forestry projects</w:t>
      </w:r>
      <w:r w:rsidR="00F860FD" w:rsidRPr="00266721">
        <w:t xml:space="preserve"> (</w:t>
      </w:r>
      <w:r w:rsidR="0071137B" w:rsidRPr="00266721">
        <w:t xml:space="preserve">Khan et al., </w:t>
      </w:r>
      <w:r w:rsidR="005F08B5" w:rsidRPr="00266721">
        <w:t>2004)</w:t>
      </w:r>
      <w:r w:rsidRPr="00266721">
        <w:t>.</w:t>
      </w:r>
    </w:p>
    <w:p w:rsidR="00FA2D35" w:rsidRPr="00266721" w:rsidRDefault="001241F4" w:rsidP="00173781">
      <w:pPr>
        <w:spacing w:line="360" w:lineRule="auto"/>
        <w:jc w:val="both"/>
      </w:pPr>
      <w:r w:rsidRPr="00266721">
        <w:lastRenderedPageBreak/>
        <w:t>The success of social forestry</w:t>
      </w:r>
      <w:r w:rsidR="002D6BD2" w:rsidRPr="00266721">
        <w:t xml:space="preserve"> in terms of </w:t>
      </w:r>
      <w:r w:rsidR="008C4748" w:rsidRPr="00266721">
        <w:t>people’s</w:t>
      </w:r>
      <w:r w:rsidR="002D6BD2" w:rsidRPr="00266721">
        <w:t xml:space="preserve"> participation and expansion of </w:t>
      </w:r>
      <w:r w:rsidR="00550B1E" w:rsidRPr="00266721">
        <w:t>green</w:t>
      </w:r>
      <w:r w:rsidR="002D6BD2" w:rsidRPr="00266721">
        <w:t xml:space="preserve"> </w:t>
      </w:r>
      <w:r w:rsidR="00550B1E" w:rsidRPr="00266721">
        <w:t xml:space="preserve">coverage </w:t>
      </w:r>
      <w:r w:rsidR="00B31577" w:rsidRPr="00266721">
        <w:t xml:space="preserve">viewed as </w:t>
      </w:r>
      <w:r w:rsidR="00AA2331" w:rsidRPr="00266721">
        <w:t>the combined efforts</w:t>
      </w:r>
      <w:r w:rsidRPr="00266721">
        <w:t xml:space="preserve"> of the local community based organizations, forest department and national and </w:t>
      </w:r>
      <w:r w:rsidR="00AA2331" w:rsidRPr="00266721">
        <w:t>regional</w:t>
      </w:r>
      <w:r w:rsidRPr="00266721">
        <w:t xml:space="preserve"> development organizations (NGOs)</w:t>
      </w:r>
      <w:r w:rsidR="00AA2331" w:rsidRPr="00266721">
        <w:t xml:space="preserve">. Significant development took place in terms of </w:t>
      </w:r>
      <w:r w:rsidR="00F860FD" w:rsidRPr="00266721">
        <w:t xml:space="preserve">number </w:t>
      </w:r>
      <w:r w:rsidR="00AA2331" w:rsidRPr="00266721">
        <w:t>of seedling planted, socio-economic upliftment, employment generation etc.  Women engagement in strip plantation program was significant. 4-6women /km were involved under the Thana Afforestation and Nursery Development Project popularly known as TANDP.</w:t>
      </w:r>
      <w:r w:rsidR="00135917" w:rsidRPr="00266721">
        <w:t xml:space="preserve"> </w:t>
      </w:r>
      <w:r w:rsidR="002D6BD2" w:rsidRPr="00266721">
        <w:t>Based on the initial success and experiences, the government of Bangladesh with the help of the development partner (USAID) introduced co-management in selected forest protected areas (</w:t>
      </w:r>
      <w:r w:rsidR="006263D9" w:rsidRPr="00266721">
        <w:t xml:space="preserve">Khan et al., 2004; </w:t>
      </w:r>
      <w:r w:rsidR="005F08B5" w:rsidRPr="00266721">
        <w:t xml:space="preserve">Rashid et al, 2013a; Rashid et al., 2013b). </w:t>
      </w:r>
      <w:r w:rsidR="002D6BD2" w:rsidRPr="00266721">
        <w:t xml:space="preserve">  </w:t>
      </w:r>
    </w:p>
    <w:p w:rsidR="00072E08" w:rsidRPr="00266721" w:rsidRDefault="00836F56" w:rsidP="00836F56">
      <w:pPr>
        <w:pStyle w:val="Heading3"/>
      </w:pPr>
      <w:bookmarkStart w:id="43" w:name="_Toc510958604"/>
      <w:bookmarkStart w:id="44" w:name="_Toc515223800"/>
      <w:r w:rsidRPr="00266721">
        <w:t xml:space="preserve">4.5.1 </w:t>
      </w:r>
      <w:r w:rsidR="00192765" w:rsidRPr="00266721">
        <w:t xml:space="preserve">Gender </w:t>
      </w:r>
      <w:r w:rsidR="004917A3" w:rsidRPr="00266721">
        <w:t>dimension under</w:t>
      </w:r>
      <w:r w:rsidR="00192765" w:rsidRPr="00266721">
        <w:t xml:space="preserve"> </w:t>
      </w:r>
      <w:r w:rsidR="001241F4" w:rsidRPr="00266721">
        <w:t xml:space="preserve">various </w:t>
      </w:r>
      <w:r w:rsidR="00751A8D" w:rsidRPr="00266721">
        <w:t xml:space="preserve">forest </w:t>
      </w:r>
      <w:r w:rsidR="00BF69EA" w:rsidRPr="00266721">
        <w:t>c</w:t>
      </w:r>
      <w:r w:rsidR="00192765" w:rsidRPr="00266721">
        <w:t>o-management regime</w:t>
      </w:r>
      <w:bookmarkEnd w:id="43"/>
      <w:bookmarkEnd w:id="44"/>
    </w:p>
    <w:p w:rsidR="00B75A00" w:rsidRPr="002F4910" w:rsidRDefault="00917033" w:rsidP="00173781">
      <w:pPr>
        <w:spacing w:line="360" w:lineRule="auto"/>
        <w:jc w:val="both"/>
      </w:pPr>
      <w:r w:rsidRPr="00266721">
        <w:t>Forest and biodiversity conservation efforts in Bangladesh are</w:t>
      </w:r>
      <w:r w:rsidR="00B75A00" w:rsidRPr="00266721">
        <w:t xml:space="preserve"> deeply </w:t>
      </w:r>
      <w:r w:rsidRPr="00266721">
        <w:t xml:space="preserve">embedded within the socio-economic and cultural heritage of the people living in and around the forest areas. </w:t>
      </w:r>
      <w:r w:rsidR="00B75A00" w:rsidRPr="00266721">
        <w:t xml:space="preserve">Conventional revenue generating top-down approach of forest management takes it root through the promulgation of the Charter of Indian Forest dates back in 1955 that continue both in pre and </w:t>
      </w:r>
      <w:r w:rsidR="00775397" w:rsidRPr="00266721">
        <w:t>post-colonial</w:t>
      </w:r>
      <w:r w:rsidR="00B75A00" w:rsidRPr="00266721">
        <w:t xml:space="preserve"> regime</w:t>
      </w:r>
      <w:r w:rsidR="007004C1" w:rsidRPr="00266721">
        <w:t xml:space="preserve"> </w:t>
      </w:r>
      <w:r w:rsidR="00950CEC" w:rsidRPr="00266721">
        <w:t>(Mustafa, 2002</w:t>
      </w:r>
      <w:r w:rsidR="00D23E9E" w:rsidRPr="00266721">
        <w:t>; Ali et al., 2006</w:t>
      </w:r>
      <w:r w:rsidR="00950CEC" w:rsidRPr="00266721">
        <w:t>)</w:t>
      </w:r>
      <w:r w:rsidR="00B75A00" w:rsidRPr="00266721">
        <w:t>.</w:t>
      </w:r>
      <w:r w:rsidR="00B75A00" w:rsidRPr="002F4910">
        <w:t xml:space="preserve"> </w:t>
      </w:r>
    </w:p>
    <w:p w:rsidR="00B75A00" w:rsidRDefault="00B75A00" w:rsidP="00173781">
      <w:pPr>
        <w:spacing w:line="360" w:lineRule="auto"/>
        <w:jc w:val="both"/>
      </w:pPr>
      <w:r w:rsidRPr="002F4910">
        <w:t xml:space="preserve">The forestry sector </w:t>
      </w:r>
      <w:r w:rsidR="0084363B" w:rsidRPr="002F4910">
        <w:t xml:space="preserve">of Bangladesh </w:t>
      </w:r>
      <w:r w:rsidRPr="002F4910">
        <w:t xml:space="preserve">is shaped by diverse </w:t>
      </w:r>
      <w:r w:rsidR="00835247" w:rsidRPr="002F4910">
        <w:t>political</w:t>
      </w:r>
      <w:r w:rsidR="00835247">
        <w:t xml:space="preserve"> (colonial, post-colonial and independent Bangladesh)</w:t>
      </w:r>
      <w:r w:rsidRPr="002F4910">
        <w:t xml:space="preserve"> and management regimes</w:t>
      </w:r>
      <w:r w:rsidR="001E6779">
        <w:t xml:space="preserve"> (</w:t>
      </w:r>
      <w:r w:rsidR="005903D2">
        <w:t xml:space="preserve">social forestry, community forestry and </w:t>
      </w:r>
      <w:r w:rsidR="00767A9F">
        <w:t>collaborative (</w:t>
      </w:r>
      <w:r w:rsidR="009863BB">
        <w:t xml:space="preserve">Khan, </w:t>
      </w:r>
      <w:r w:rsidR="00767A9F">
        <w:t>2004)</w:t>
      </w:r>
      <w:r w:rsidRPr="002F4910">
        <w:t xml:space="preserve">. The </w:t>
      </w:r>
      <w:r w:rsidR="00997E3F">
        <w:t xml:space="preserve">consecutive </w:t>
      </w:r>
      <w:r w:rsidR="00997E3F" w:rsidRPr="002F4910">
        <w:t>development</w:t>
      </w:r>
      <w:r w:rsidRPr="002F4910">
        <w:t xml:space="preserve"> of forest policies and practices in the Indian sub-continent has been impacted by the </w:t>
      </w:r>
      <w:r w:rsidR="0084363B" w:rsidRPr="002F4910">
        <w:t>complex</w:t>
      </w:r>
      <w:r w:rsidRPr="002F4910">
        <w:t xml:space="preserve"> </w:t>
      </w:r>
      <w:r w:rsidR="005903D2" w:rsidRPr="002F4910">
        <w:t>political, economic and physical actors as well as global trends</w:t>
      </w:r>
      <w:r w:rsidR="004E1B7E">
        <w:t xml:space="preserve"> </w:t>
      </w:r>
      <w:r w:rsidR="001E6779">
        <w:t>(the above three lines are basically the same)</w:t>
      </w:r>
      <w:r w:rsidRPr="002F4910">
        <w:t xml:space="preserve">. </w:t>
      </w:r>
      <w:r w:rsidR="0069614F" w:rsidRPr="002F4910">
        <w:t xml:space="preserve">This has resulted in the paradigm shift in forest governance through the initiation of </w:t>
      </w:r>
      <w:r w:rsidR="00950CEC">
        <w:t xml:space="preserve">people oriented forestry </w:t>
      </w:r>
      <w:r w:rsidR="004E1B7E">
        <w:t xml:space="preserve">practices. </w:t>
      </w:r>
      <w:r w:rsidR="00950CEC">
        <w:t xml:space="preserve">There </w:t>
      </w:r>
      <w:r w:rsidR="001E6779" w:rsidRPr="002F4910">
        <w:t xml:space="preserve"> </w:t>
      </w:r>
      <w:r w:rsidRPr="002F4910">
        <w:t xml:space="preserve">is also a growing concern among practitioners and the policy makers that the </w:t>
      </w:r>
      <w:r w:rsidR="00950CEC">
        <w:t xml:space="preserve">conventional forestry  practices </w:t>
      </w:r>
      <w:r w:rsidR="00817427">
        <w:t>(</w:t>
      </w:r>
      <w:r w:rsidR="00950CEC">
        <w:t>which is mostly  top-down in nature</w:t>
      </w:r>
      <w:r w:rsidR="00817427">
        <w:t>)</w:t>
      </w:r>
      <w:r w:rsidR="00950CEC">
        <w:t xml:space="preserve"> </w:t>
      </w:r>
      <w:r w:rsidRPr="002F4910">
        <w:t xml:space="preserve"> need to be shifted towards more sustainable forestry practices</w:t>
      </w:r>
      <w:r w:rsidR="00817427">
        <w:t xml:space="preserve"> (governed under bottom-up approaches)</w:t>
      </w:r>
      <w:r w:rsidRPr="002F4910">
        <w:t>, thus demanding a careful selection of approaches that will help address the diverse needs of the stakeholders, such as poverty alleviation and sustaining livelihoods</w:t>
      </w:r>
      <w:r w:rsidR="00950CEC">
        <w:t xml:space="preserve"> </w:t>
      </w:r>
      <w:r w:rsidRPr="002F4910">
        <w:t>.</w:t>
      </w:r>
    </w:p>
    <w:p w:rsidR="00EF53C7" w:rsidRDefault="00C4496C" w:rsidP="00173781">
      <w:pPr>
        <w:pStyle w:val="NormalWeb"/>
        <w:spacing w:line="360" w:lineRule="auto"/>
        <w:jc w:val="both"/>
        <w:rPr>
          <w:rFonts w:ascii="Calibri" w:hAnsi="Calibri"/>
        </w:rPr>
      </w:pPr>
      <w:r w:rsidRPr="00266721">
        <w:rPr>
          <w:rFonts w:ascii="Calibri" w:hAnsi="Calibri"/>
        </w:rPr>
        <w:t xml:space="preserve">Introduction of social forestry in late 80s </w:t>
      </w:r>
      <w:r w:rsidR="00734BD8" w:rsidRPr="00266721">
        <w:rPr>
          <w:rFonts w:ascii="Calibri" w:hAnsi="Calibri"/>
        </w:rPr>
        <w:t>believed to</w:t>
      </w:r>
      <w:r w:rsidRPr="00266721">
        <w:rPr>
          <w:rFonts w:ascii="Calibri" w:hAnsi="Calibri"/>
        </w:rPr>
        <w:t xml:space="preserve"> be the beginning of </w:t>
      </w:r>
      <w:r w:rsidR="00295F38" w:rsidRPr="00266721">
        <w:rPr>
          <w:rFonts w:ascii="Calibri" w:hAnsi="Calibri"/>
        </w:rPr>
        <w:t>a</w:t>
      </w:r>
      <w:r w:rsidRPr="00266721">
        <w:rPr>
          <w:rFonts w:ascii="Calibri" w:hAnsi="Calibri"/>
        </w:rPr>
        <w:t xml:space="preserve"> new era </w:t>
      </w:r>
      <w:r w:rsidR="00734BD8" w:rsidRPr="00266721">
        <w:rPr>
          <w:rFonts w:ascii="Calibri" w:hAnsi="Calibri"/>
        </w:rPr>
        <w:t xml:space="preserve">in </w:t>
      </w:r>
      <w:r w:rsidR="00835247" w:rsidRPr="00266721">
        <w:rPr>
          <w:rFonts w:ascii="Calibri" w:hAnsi="Calibri"/>
        </w:rPr>
        <w:t>the forestry</w:t>
      </w:r>
      <w:r w:rsidR="00734BD8" w:rsidRPr="00266721">
        <w:rPr>
          <w:rFonts w:ascii="Calibri" w:hAnsi="Calibri"/>
        </w:rPr>
        <w:t xml:space="preserve"> sector of Bangladesh</w:t>
      </w:r>
      <w:r w:rsidR="00603B86" w:rsidRPr="00266721">
        <w:rPr>
          <w:rFonts w:ascii="Calibri" w:hAnsi="Calibri"/>
        </w:rPr>
        <w:t>,</w:t>
      </w:r>
      <w:r w:rsidR="00734BD8" w:rsidRPr="00266721">
        <w:rPr>
          <w:rFonts w:ascii="Calibri" w:hAnsi="Calibri"/>
        </w:rPr>
        <w:t xml:space="preserve"> </w:t>
      </w:r>
      <w:r w:rsidR="008B57F7" w:rsidRPr="00266721">
        <w:rPr>
          <w:rFonts w:ascii="Calibri" w:hAnsi="Calibri"/>
        </w:rPr>
        <w:t>whereby poor people w</w:t>
      </w:r>
      <w:r w:rsidR="00734BD8" w:rsidRPr="00266721">
        <w:rPr>
          <w:rFonts w:ascii="Calibri" w:hAnsi="Calibri"/>
        </w:rPr>
        <w:t>e</w:t>
      </w:r>
      <w:r w:rsidR="008B57F7" w:rsidRPr="00266721">
        <w:rPr>
          <w:rFonts w:ascii="Calibri" w:hAnsi="Calibri"/>
        </w:rPr>
        <w:t xml:space="preserve">re </w:t>
      </w:r>
      <w:r w:rsidR="00DE2070" w:rsidRPr="00266721">
        <w:rPr>
          <w:rFonts w:ascii="Calibri" w:hAnsi="Calibri"/>
        </w:rPr>
        <w:t>engaged in</w:t>
      </w:r>
      <w:r w:rsidRPr="00266721">
        <w:rPr>
          <w:rFonts w:ascii="Calibri" w:hAnsi="Calibri"/>
        </w:rPr>
        <w:t xml:space="preserve"> the implementation and decision-making</w:t>
      </w:r>
      <w:r w:rsidR="00734BD8" w:rsidRPr="00266721">
        <w:rPr>
          <w:rFonts w:ascii="Calibri" w:hAnsi="Calibri"/>
        </w:rPr>
        <w:t xml:space="preserve"> process</w:t>
      </w:r>
      <w:r w:rsidR="00101F3C" w:rsidRPr="00266721">
        <w:rPr>
          <w:rFonts w:ascii="Calibri" w:hAnsi="Calibri"/>
        </w:rPr>
        <w:t xml:space="preserve"> </w:t>
      </w:r>
      <w:r w:rsidR="00734BD8" w:rsidRPr="00266721">
        <w:rPr>
          <w:rFonts w:ascii="Calibri" w:hAnsi="Calibri"/>
        </w:rPr>
        <w:t xml:space="preserve">of forest </w:t>
      </w:r>
      <w:r w:rsidR="008B57F7" w:rsidRPr="00266721">
        <w:rPr>
          <w:rFonts w:ascii="Calibri" w:hAnsi="Calibri"/>
        </w:rPr>
        <w:t xml:space="preserve">resource </w:t>
      </w:r>
      <w:r w:rsidR="00101F3C" w:rsidRPr="00266721">
        <w:rPr>
          <w:rFonts w:ascii="Calibri" w:hAnsi="Calibri"/>
        </w:rPr>
        <w:t>management (</w:t>
      </w:r>
      <w:r w:rsidRPr="00266721">
        <w:rPr>
          <w:rFonts w:ascii="Calibri" w:hAnsi="Calibri"/>
        </w:rPr>
        <w:t xml:space="preserve">Chowdhury and Koike, 2010). </w:t>
      </w:r>
      <w:r w:rsidR="00734BD8" w:rsidRPr="00266721">
        <w:rPr>
          <w:rFonts w:ascii="Calibri" w:hAnsi="Calibri"/>
        </w:rPr>
        <w:lastRenderedPageBreak/>
        <w:t xml:space="preserve">The relative success of social forestry (Khan et al, 2004) has invited the development of more effective forest governance </w:t>
      </w:r>
      <w:r w:rsidR="00717538" w:rsidRPr="00266721">
        <w:rPr>
          <w:rFonts w:ascii="Calibri" w:hAnsi="Calibri"/>
        </w:rPr>
        <w:t>particularly</w:t>
      </w:r>
      <w:r w:rsidR="00734BD8" w:rsidRPr="00266721">
        <w:rPr>
          <w:rFonts w:ascii="Calibri" w:hAnsi="Calibri"/>
        </w:rPr>
        <w:t xml:space="preserve"> in the forest protected areas of Bangladesh through developing co-management approach</w:t>
      </w:r>
      <w:r w:rsidR="00D31F58" w:rsidRPr="00266721">
        <w:rPr>
          <w:rFonts w:ascii="Calibri" w:hAnsi="Calibri"/>
        </w:rPr>
        <w:t xml:space="preserve">. Initially five </w:t>
      </w:r>
      <w:r w:rsidR="00734BD8" w:rsidRPr="00266721">
        <w:rPr>
          <w:rFonts w:ascii="Calibri" w:hAnsi="Calibri"/>
        </w:rPr>
        <w:t xml:space="preserve">protected areas </w:t>
      </w:r>
      <w:r w:rsidR="00D31F58" w:rsidRPr="00266721">
        <w:rPr>
          <w:rFonts w:ascii="Calibri" w:hAnsi="Calibri"/>
        </w:rPr>
        <w:t xml:space="preserve">were included under the project </w:t>
      </w:r>
      <w:r w:rsidR="00734BD8" w:rsidRPr="00266721">
        <w:rPr>
          <w:rFonts w:ascii="Calibri" w:hAnsi="Calibri"/>
        </w:rPr>
        <w:t>on pilot basis</w:t>
      </w:r>
      <w:r w:rsidR="008B57F7" w:rsidRPr="00266721">
        <w:rPr>
          <w:rFonts w:ascii="Calibri" w:hAnsi="Calibri"/>
        </w:rPr>
        <w:t>. The rationale for introducing co-management was to ensure sustainable governance of the protected areas while creating livelihood of the forest dependent community</w:t>
      </w:r>
      <w:r w:rsidR="00717538" w:rsidRPr="00266721">
        <w:rPr>
          <w:rFonts w:ascii="Calibri" w:hAnsi="Calibri"/>
        </w:rPr>
        <w:t xml:space="preserve"> </w:t>
      </w:r>
      <w:r w:rsidR="00734BD8" w:rsidRPr="00266721">
        <w:rPr>
          <w:rFonts w:ascii="Calibri" w:hAnsi="Calibri"/>
        </w:rPr>
        <w:t>(</w:t>
      </w:r>
      <w:proofErr w:type="spellStart"/>
      <w:r w:rsidR="00734BD8" w:rsidRPr="00266721">
        <w:rPr>
          <w:rFonts w:ascii="Calibri" w:hAnsi="Calibri"/>
        </w:rPr>
        <w:t>DeCosse</w:t>
      </w:r>
      <w:proofErr w:type="spellEnd"/>
      <w:r w:rsidR="00734BD8" w:rsidRPr="00266721">
        <w:rPr>
          <w:rFonts w:ascii="Calibri" w:hAnsi="Calibri"/>
        </w:rPr>
        <w:t>, 2012)</w:t>
      </w:r>
      <w:r w:rsidR="00717538" w:rsidRPr="00266721">
        <w:rPr>
          <w:rFonts w:ascii="Calibri" w:hAnsi="Calibri"/>
        </w:rPr>
        <w:t>.</w:t>
      </w:r>
      <w:r w:rsidR="00D31F58" w:rsidRPr="00266721">
        <w:rPr>
          <w:rFonts w:ascii="Calibri" w:hAnsi="Calibri"/>
        </w:rPr>
        <w:t xml:space="preserve"> Th</w:t>
      </w:r>
      <w:r w:rsidR="0076225B" w:rsidRPr="00266721">
        <w:rPr>
          <w:rFonts w:ascii="Calibri" w:hAnsi="Calibri"/>
        </w:rPr>
        <w:t>ree</w:t>
      </w:r>
      <w:r w:rsidR="00D31F58" w:rsidRPr="00266721">
        <w:rPr>
          <w:rFonts w:ascii="Calibri" w:hAnsi="Calibri"/>
        </w:rPr>
        <w:t xml:space="preserve"> </w:t>
      </w:r>
      <w:r w:rsidR="00EF53C7" w:rsidRPr="00266721">
        <w:rPr>
          <w:rFonts w:ascii="Calibri" w:hAnsi="Calibri"/>
        </w:rPr>
        <w:t xml:space="preserve">collaborative </w:t>
      </w:r>
      <w:r w:rsidR="00D31F58" w:rsidRPr="00266721">
        <w:rPr>
          <w:rFonts w:ascii="Calibri" w:hAnsi="Calibri"/>
        </w:rPr>
        <w:t xml:space="preserve">project </w:t>
      </w:r>
      <w:r w:rsidR="00EF53C7" w:rsidRPr="00266721">
        <w:rPr>
          <w:rFonts w:ascii="Calibri" w:hAnsi="Calibri"/>
        </w:rPr>
        <w:t>regimes</w:t>
      </w:r>
      <w:r w:rsidR="00D31F58" w:rsidRPr="00266721">
        <w:rPr>
          <w:rFonts w:ascii="Calibri" w:hAnsi="Calibri"/>
        </w:rPr>
        <w:t xml:space="preserve"> namely NSP</w:t>
      </w:r>
      <w:r w:rsidR="00DE2070" w:rsidRPr="00266721">
        <w:rPr>
          <w:rFonts w:ascii="Calibri" w:hAnsi="Calibri"/>
        </w:rPr>
        <w:t xml:space="preserve"> </w:t>
      </w:r>
      <w:r w:rsidR="00D31F58" w:rsidRPr="00266721">
        <w:rPr>
          <w:rFonts w:ascii="Calibri" w:hAnsi="Calibri"/>
        </w:rPr>
        <w:t>(2003-2008), IPAC</w:t>
      </w:r>
      <w:r w:rsidR="00DE2070" w:rsidRPr="00266721">
        <w:rPr>
          <w:rFonts w:ascii="Calibri" w:hAnsi="Calibri"/>
        </w:rPr>
        <w:t xml:space="preserve"> </w:t>
      </w:r>
      <w:r w:rsidR="00D31F58" w:rsidRPr="00266721">
        <w:rPr>
          <w:rFonts w:ascii="Calibri" w:hAnsi="Calibri"/>
        </w:rPr>
        <w:t xml:space="preserve">(2008-2013) and </w:t>
      </w:r>
      <w:r w:rsidR="0076225B" w:rsidRPr="00266721">
        <w:rPr>
          <w:rFonts w:ascii="Calibri" w:hAnsi="Calibri"/>
        </w:rPr>
        <w:t>CREL</w:t>
      </w:r>
      <w:r w:rsidR="00DE2070" w:rsidRPr="00266721">
        <w:rPr>
          <w:rFonts w:ascii="Calibri" w:hAnsi="Calibri"/>
        </w:rPr>
        <w:t xml:space="preserve"> </w:t>
      </w:r>
      <w:r w:rsidR="0076225B" w:rsidRPr="00266721">
        <w:rPr>
          <w:rFonts w:ascii="Calibri" w:hAnsi="Calibri"/>
        </w:rPr>
        <w:t xml:space="preserve">(2013-2018) </w:t>
      </w:r>
      <w:r w:rsidR="00DE2070" w:rsidRPr="00266721">
        <w:rPr>
          <w:rFonts w:ascii="Calibri" w:hAnsi="Calibri"/>
        </w:rPr>
        <w:t xml:space="preserve">implemented with a view to create an effective network of forest protected areas where  </w:t>
      </w:r>
      <w:r w:rsidR="00101F3C" w:rsidRPr="00266721">
        <w:rPr>
          <w:rFonts w:ascii="Calibri" w:hAnsi="Calibri"/>
        </w:rPr>
        <w:t xml:space="preserve">gender roles </w:t>
      </w:r>
      <w:r w:rsidR="00456744" w:rsidRPr="00266721">
        <w:rPr>
          <w:rFonts w:ascii="Calibri" w:hAnsi="Calibri"/>
        </w:rPr>
        <w:t>are</w:t>
      </w:r>
      <w:r w:rsidR="00101F3C" w:rsidRPr="00266721">
        <w:rPr>
          <w:rFonts w:ascii="Calibri" w:hAnsi="Calibri"/>
        </w:rPr>
        <w:t xml:space="preserve"> clearly designated </w:t>
      </w:r>
      <w:r w:rsidR="00DE2070" w:rsidRPr="00266721">
        <w:rPr>
          <w:rFonts w:ascii="Calibri" w:hAnsi="Calibri"/>
        </w:rPr>
        <w:t xml:space="preserve"> </w:t>
      </w:r>
      <w:r w:rsidR="00101F3C" w:rsidRPr="00266721">
        <w:rPr>
          <w:rFonts w:ascii="Calibri" w:hAnsi="Calibri"/>
        </w:rPr>
        <w:t xml:space="preserve">and recognized </w:t>
      </w:r>
      <w:r w:rsidR="00DE2070" w:rsidRPr="00266721">
        <w:rPr>
          <w:rFonts w:ascii="Calibri" w:hAnsi="Calibri"/>
        </w:rPr>
        <w:t>through adopting legal framework</w:t>
      </w:r>
      <w:r w:rsidR="00456744" w:rsidRPr="00266721">
        <w:rPr>
          <w:rFonts w:ascii="Calibri" w:hAnsi="Calibri"/>
        </w:rPr>
        <w:t xml:space="preserve"> such as CMC, PF, VCF etc.</w:t>
      </w:r>
    </w:p>
    <w:p w:rsidR="00A839A8" w:rsidRPr="00B37F73" w:rsidRDefault="001241F4" w:rsidP="00173781">
      <w:pPr>
        <w:pStyle w:val="NormalWeb"/>
        <w:spacing w:line="360" w:lineRule="auto"/>
        <w:jc w:val="both"/>
        <w:rPr>
          <w:rFonts w:ascii="Calibri" w:hAnsi="Calibri"/>
        </w:rPr>
      </w:pPr>
      <w:r>
        <w:rPr>
          <w:rFonts w:ascii="Calibri" w:hAnsi="Calibri"/>
        </w:rPr>
        <w:t>About</w:t>
      </w:r>
      <w:r w:rsidRPr="002F4910">
        <w:rPr>
          <w:rFonts w:ascii="Calibri" w:hAnsi="Calibri"/>
        </w:rPr>
        <w:t xml:space="preserve"> 20% of the positions on the co-management councils</w:t>
      </w:r>
      <w:r w:rsidR="00456744">
        <w:rPr>
          <w:rFonts w:ascii="Calibri" w:hAnsi="Calibri"/>
        </w:rPr>
        <w:t xml:space="preserve"> (CMC)</w:t>
      </w:r>
      <w:r w:rsidRPr="002F4910">
        <w:rPr>
          <w:rFonts w:ascii="Calibri" w:hAnsi="Calibri"/>
        </w:rPr>
        <w:t xml:space="preserve"> in </w:t>
      </w:r>
      <w:r w:rsidR="00941887">
        <w:rPr>
          <w:rFonts w:ascii="Calibri" w:hAnsi="Calibri"/>
        </w:rPr>
        <w:t xml:space="preserve">22 </w:t>
      </w:r>
      <w:r w:rsidRPr="002F4910">
        <w:rPr>
          <w:rFonts w:ascii="Calibri" w:hAnsi="Calibri"/>
        </w:rPr>
        <w:t>Protected Areas and 50% (or 733) positions with the People's Forum (PF) for the Protected Areas have been reserved for women members. Moreover, 33% of the positions with the Village Conservation Forum (VCF) are reserved for women from the villages adjoining the Protected Areas. Thus, a total of 16,240 women are involved in providing motivation for the conservation of forests</w:t>
      </w:r>
      <w:r w:rsidR="00456744">
        <w:rPr>
          <w:rFonts w:ascii="Calibri" w:hAnsi="Calibri"/>
        </w:rPr>
        <w:t xml:space="preserve"> particularly protected area governance</w:t>
      </w:r>
      <w:r w:rsidRPr="002F4910">
        <w:rPr>
          <w:rFonts w:ascii="Calibri" w:hAnsi="Calibri"/>
        </w:rPr>
        <w:t>.</w:t>
      </w:r>
      <w:r>
        <w:rPr>
          <w:rFonts w:ascii="Calibri" w:hAnsi="Calibri"/>
        </w:rPr>
        <w:t xml:space="preserve"> </w:t>
      </w:r>
      <w:r w:rsidR="00941887">
        <w:rPr>
          <w:rFonts w:ascii="Calibri" w:hAnsi="Calibri"/>
        </w:rPr>
        <w:t xml:space="preserve">Women are also playing significant role in the conservation of forest resources by participating in various tiers of the co-management initiative. Involvement in </w:t>
      </w:r>
      <w:r w:rsidRPr="002F4910">
        <w:rPr>
          <w:rFonts w:ascii="Calibri" w:hAnsi="Calibri"/>
        </w:rPr>
        <w:t xml:space="preserve">community patrol </w:t>
      </w:r>
      <w:r w:rsidR="00941887" w:rsidRPr="002F4910">
        <w:rPr>
          <w:rFonts w:ascii="Calibri" w:hAnsi="Calibri"/>
        </w:rPr>
        <w:t>group</w:t>
      </w:r>
      <w:r w:rsidR="00941887">
        <w:rPr>
          <w:rFonts w:ascii="Calibri" w:hAnsi="Calibri"/>
        </w:rPr>
        <w:t xml:space="preserve">s is one such avenue of participation. </w:t>
      </w:r>
      <w:r>
        <w:rPr>
          <w:rFonts w:ascii="Calibri" w:hAnsi="Calibri"/>
        </w:rPr>
        <w:t xml:space="preserve"> </w:t>
      </w:r>
      <w:r w:rsidR="0020159C">
        <w:rPr>
          <w:rFonts w:ascii="Calibri" w:hAnsi="Calibri"/>
        </w:rPr>
        <w:t xml:space="preserve">Until today, 190 women are </w:t>
      </w:r>
      <w:r w:rsidR="00941887">
        <w:rPr>
          <w:rFonts w:ascii="Calibri" w:hAnsi="Calibri"/>
        </w:rPr>
        <w:t>acting as community</w:t>
      </w:r>
      <w:r w:rsidR="0020159C">
        <w:rPr>
          <w:rFonts w:ascii="Calibri" w:hAnsi="Calibri"/>
        </w:rPr>
        <w:t xml:space="preserve"> petrol </w:t>
      </w:r>
      <w:r w:rsidR="00A839A8">
        <w:rPr>
          <w:rFonts w:ascii="Calibri" w:hAnsi="Calibri"/>
        </w:rPr>
        <w:t>group (</w:t>
      </w:r>
      <w:r w:rsidR="0020159C">
        <w:rPr>
          <w:rFonts w:ascii="Calibri" w:hAnsi="Calibri"/>
        </w:rPr>
        <w:t xml:space="preserve">CPG) member side by side of the male members (CMC Congress, 2018). </w:t>
      </w:r>
      <w:r>
        <w:rPr>
          <w:rFonts w:ascii="Calibri" w:hAnsi="Calibri"/>
        </w:rPr>
        <w:t xml:space="preserve">The recognition of </w:t>
      </w:r>
      <w:r w:rsidR="00941887">
        <w:rPr>
          <w:rFonts w:ascii="Calibri" w:hAnsi="Calibri"/>
        </w:rPr>
        <w:t>one such women CPG member (</w:t>
      </w:r>
      <w:r w:rsidRPr="002F4910">
        <w:rPr>
          <w:rFonts w:ascii="Calibri" w:hAnsi="Calibri"/>
        </w:rPr>
        <w:t xml:space="preserve">Mrs. </w:t>
      </w:r>
      <w:proofErr w:type="spellStart"/>
      <w:r w:rsidRPr="002F4910">
        <w:rPr>
          <w:rFonts w:ascii="Calibri" w:hAnsi="Calibri"/>
        </w:rPr>
        <w:t>Khurshida</w:t>
      </w:r>
      <w:proofErr w:type="spellEnd"/>
      <w:r w:rsidRPr="002F4910">
        <w:rPr>
          <w:rFonts w:ascii="Calibri" w:hAnsi="Calibri"/>
        </w:rPr>
        <w:t xml:space="preserve"> Begum of </w:t>
      </w:r>
      <w:proofErr w:type="spellStart"/>
      <w:r w:rsidRPr="002F4910">
        <w:rPr>
          <w:rFonts w:ascii="Calibri" w:hAnsi="Calibri"/>
        </w:rPr>
        <w:t>Teknaf</w:t>
      </w:r>
      <w:proofErr w:type="spellEnd"/>
      <w:r w:rsidRPr="002F4910">
        <w:rPr>
          <w:rFonts w:ascii="Calibri" w:hAnsi="Calibri"/>
        </w:rPr>
        <w:t xml:space="preserve"> </w:t>
      </w:r>
      <w:proofErr w:type="spellStart"/>
      <w:r>
        <w:rPr>
          <w:rFonts w:ascii="Calibri" w:hAnsi="Calibri"/>
        </w:rPr>
        <w:t>Willife</w:t>
      </w:r>
      <w:proofErr w:type="spellEnd"/>
      <w:r>
        <w:rPr>
          <w:rFonts w:ascii="Calibri" w:hAnsi="Calibri"/>
        </w:rPr>
        <w:t xml:space="preserve"> </w:t>
      </w:r>
      <w:r w:rsidR="00941887">
        <w:rPr>
          <w:rFonts w:ascii="Calibri" w:hAnsi="Calibri"/>
        </w:rPr>
        <w:t xml:space="preserve">Sanctuary) </w:t>
      </w:r>
      <w:r>
        <w:rPr>
          <w:rFonts w:ascii="Calibri" w:hAnsi="Calibri"/>
        </w:rPr>
        <w:t xml:space="preserve">is a salient example </w:t>
      </w:r>
      <w:r w:rsidR="0020159C">
        <w:rPr>
          <w:rFonts w:ascii="Calibri" w:hAnsi="Calibri"/>
        </w:rPr>
        <w:t xml:space="preserve">of their </w:t>
      </w:r>
      <w:r w:rsidR="00941887">
        <w:rPr>
          <w:rFonts w:ascii="Calibri" w:hAnsi="Calibri"/>
        </w:rPr>
        <w:t xml:space="preserve">significant contribution in </w:t>
      </w:r>
      <w:r w:rsidR="009B0C06">
        <w:rPr>
          <w:rFonts w:ascii="Calibri" w:hAnsi="Calibri"/>
        </w:rPr>
        <w:t>conservation who</w:t>
      </w:r>
      <w:r>
        <w:rPr>
          <w:rFonts w:ascii="Calibri" w:hAnsi="Calibri"/>
        </w:rPr>
        <w:t xml:space="preserve"> has received </w:t>
      </w:r>
      <w:r w:rsidRPr="002F4910">
        <w:rPr>
          <w:rFonts w:ascii="Calibri" w:hAnsi="Calibri"/>
        </w:rPr>
        <w:t>prestigious</w:t>
      </w:r>
      <w:r>
        <w:rPr>
          <w:rFonts w:ascii="Calibri" w:hAnsi="Calibri"/>
        </w:rPr>
        <w:t xml:space="preserve"> </w:t>
      </w:r>
      <w:r w:rsidRPr="00A73F11">
        <w:rPr>
          <w:rFonts w:ascii="Calibri" w:hAnsi="Calibri"/>
          <w:i/>
        </w:rPr>
        <w:t>Wangari Maathai Award-</w:t>
      </w:r>
      <w:r w:rsidRPr="0020159C">
        <w:rPr>
          <w:rFonts w:ascii="Calibri" w:hAnsi="Calibri"/>
        </w:rPr>
        <w:t>2012</w:t>
      </w:r>
      <w:r w:rsidRPr="002F4910">
        <w:rPr>
          <w:rFonts w:ascii="Calibri" w:hAnsi="Calibri"/>
        </w:rPr>
        <w:t xml:space="preserve"> for her co-management efforts and leadership in conservation of forest resources in the area. </w:t>
      </w:r>
      <w:bookmarkStart w:id="45" w:name="_Toc510958605"/>
    </w:p>
    <w:bookmarkEnd w:id="45"/>
    <w:p w:rsidR="00943DF9" w:rsidRPr="00266721" w:rsidRDefault="00943DF9" w:rsidP="00173781">
      <w:pPr>
        <w:pStyle w:val="NormalWeb"/>
        <w:spacing w:line="360" w:lineRule="auto"/>
        <w:jc w:val="both"/>
        <w:rPr>
          <w:rFonts w:ascii="Calibri" w:hAnsi="Calibri"/>
        </w:rPr>
      </w:pPr>
      <w:r>
        <w:rPr>
          <w:rFonts w:ascii="Calibri" w:hAnsi="Calibri"/>
        </w:rPr>
        <w:t xml:space="preserve">House Holds (HHs) inside </w:t>
      </w:r>
      <w:r w:rsidRPr="00266721">
        <w:rPr>
          <w:rFonts w:ascii="Calibri" w:hAnsi="Calibri"/>
        </w:rPr>
        <w:t>the P</w:t>
      </w:r>
      <w:r w:rsidR="004F7729" w:rsidRPr="00266721">
        <w:rPr>
          <w:rFonts w:ascii="Calibri" w:hAnsi="Calibri"/>
        </w:rPr>
        <w:t>A</w:t>
      </w:r>
      <w:r w:rsidRPr="00266721">
        <w:rPr>
          <w:rFonts w:ascii="Calibri" w:hAnsi="Calibri"/>
        </w:rPr>
        <w:t>s dependent on the forest resources mainly for fuelwood and house building materials (NSP 2003a; 2003b)</w:t>
      </w:r>
      <w:r w:rsidR="006B0536" w:rsidRPr="00266721">
        <w:rPr>
          <w:rFonts w:ascii="Calibri" w:hAnsi="Calibri"/>
        </w:rPr>
        <w:t>. Women and children were found collecting fuelwood</w:t>
      </w:r>
      <w:r w:rsidRPr="00266721">
        <w:rPr>
          <w:rFonts w:ascii="Calibri" w:hAnsi="Calibri"/>
        </w:rPr>
        <w:t xml:space="preserve"> </w:t>
      </w:r>
      <w:r w:rsidR="006B0536" w:rsidRPr="00266721">
        <w:rPr>
          <w:rFonts w:ascii="Calibri" w:hAnsi="Calibri"/>
        </w:rPr>
        <w:t>in the form of dead branches, stick etc</w:t>
      </w:r>
      <w:r w:rsidR="006B0536">
        <w:rPr>
          <w:rFonts w:ascii="Calibri" w:hAnsi="Calibri"/>
        </w:rPr>
        <w:t>. In ad</w:t>
      </w:r>
      <w:r w:rsidR="00295F38">
        <w:rPr>
          <w:rFonts w:ascii="Calibri" w:hAnsi="Calibri"/>
        </w:rPr>
        <w:t>dition to that, bamboos, NTFP, m</w:t>
      </w:r>
      <w:r w:rsidR="006B0536">
        <w:rPr>
          <w:rFonts w:ascii="Calibri" w:hAnsi="Calibri"/>
        </w:rPr>
        <w:t xml:space="preserve">edicinal plants, vines </w:t>
      </w:r>
      <w:r w:rsidR="00295F38">
        <w:rPr>
          <w:rFonts w:ascii="Calibri" w:hAnsi="Calibri"/>
        </w:rPr>
        <w:t>etc.</w:t>
      </w:r>
      <w:r w:rsidR="006B0536">
        <w:rPr>
          <w:rFonts w:ascii="Calibri" w:hAnsi="Calibri"/>
        </w:rPr>
        <w:t xml:space="preserve"> are the major forest resources often extracted by the </w:t>
      </w:r>
      <w:r w:rsidR="006B0536" w:rsidRPr="00266721">
        <w:rPr>
          <w:rFonts w:ascii="Calibri" w:hAnsi="Calibri"/>
        </w:rPr>
        <w:t xml:space="preserve">forest dependent people (NSP 2003a, NSP 2003b). This unregulated collection of fuelwood from the </w:t>
      </w:r>
      <w:proofErr w:type="spellStart"/>
      <w:r w:rsidR="006B0536" w:rsidRPr="00266721">
        <w:rPr>
          <w:rFonts w:ascii="Calibri" w:hAnsi="Calibri"/>
        </w:rPr>
        <w:t>P</w:t>
      </w:r>
      <w:r w:rsidR="00D03177" w:rsidRPr="00266721">
        <w:rPr>
          <w:rFonts w:ascii="Calibri" w:hAnsi="Calibri"/>
        </w:rPr>
        <w:t>A</w:t>
      </w:r>
      <w:r w:rsidR="006B0536" w:rsidRPr="00266721">
        <w:rPr>
          <w:rFonts w:ascii="Calibri" w:hAnsi="Calibri"/>
        </w:rPr>
        <w:t>s</w:t>
      </w:r>
      <w:proofErr w:type="spellEnd"/>
      <w:r w:rsidR="00D03177" w:rsidRPr="00266721">
        <w:rPr>
          <w:rFonts w:ascii="Calibri" w:hAnsi="Calibri"/>
        </w:rPr>
        <w:t xml:space="preserve"> expedited the process of removal of tree species and the reduction of forest </w:t>
      </w:r>
      <w:r w:rsidR="00D03177" w:rsidRPr="00266721">
        <w:rPr>
          <w:rFonts w:ascii="Calibri" w:hAnsi="Calibri"/>
        </w:rPr>
        <w:lastRenderedPageBreak/>
        <w:t xml:space="preserve">regeneration. Illegal extraction of the forest resources is one of </w:t>
      </w:r>
      <w:r w:rsidR="00C5522B" w:rsidRPr="00266721">
        <w:rPr>
          <w:rFonts w:ascii="Calibri" w:hAnsi="Calibri"/>
        </w:rPr>
        <w:t xml:space="preserve">major reasons </w:t>
      </w:r>
      <w:r w:rsidR="00D03177" w:rsidRPr="00266721">
        <w:rPr>
          <w:rFonts w:ascii="Calibri" w:hAnsi="Calibri"/>
        </w:rPr>
        <w:t xml:space="preserve">of deforestation </w:t>
      </w:r>
      <w:r w:rsidR="006034C1" w:rsidRPr="00266721">
        <w:rPr>
          <w:rFonts w:ascii="Calibri" w:hAnsi="Calibri"/>
        </w:rPr>
        <w:t>(</w:t>
      </w:r>
      <w:r w:rsidR="00C5522B" w:rsidRPr="00266721">
        <w:rPr>
          <w:rFonts w:ascii="Calibri" w:hAnsi="Calibri"/>
        </w:rPr>
        <w:t>NSP 2003a; NSP 2004a; NSP 2004b).</w:t>
      </w:r>
    </w:p>
    <w:p w:rsidR="00CB5C87" w:rsidRPr="00266721" w:rsidRDefault="00C32015" w:rsidP="00173781">
      <w:pPr>
        <w:pStyle w:val="NormalWeb"/>
        <w:spacing w:line="360" w:lineRule="auto"/>
        <w:jc w:val="both"/>
        <w:rPr>
          <w:rFonts w:ascii="Calibri" w:hAnsi="Calibri"/>
        </w:rPr>
      </w:pPr>
      <w:r w:rsidRPr="00266721">
        <w:rPr>
          <w:rFonts w:ascii="Calibri" w:hAnsi="Calibri"/>
        </w:rPr>
        <w:t xml:space="preserve">Individual site </w:t>
      </w:r>
      <w:r w:rsidR="007C49ED" w:rsidRPr="00266721">
        <w:rPr>
          <w:rFonts w:ascii="Calibri" w:hAnsi="Calibri"/>
        </w:rPr>
        <w:t xml:space="preserve">level field </w:t>
      </w:r>
      <w:r w:rsidRPr="00266721">
        <w:rPr>
          <w:rFonts w:ascii="Calibri" w:hAnsi="Calibri"/>
        </w:rPr>
        <w:t xml:space="preserve">appraisal was </w:t>
      </w:r>
      <w:r w:rsidR="00C5522B" w:rsidRPr="00266721">
        <w:rPr>
          <w:rFonts w:ascii="Calibri" w:hAnsi="Calibri"/>
        </w:rPr>
        <w:t>also carried out with the help of a two-step rapid appraisal process namely RRA and PRA</w:t>
      </w:r>
      <w:r w:rsidRPr="00266721">
        <w:rPr>
          <w:rFonts w:ascii="Calibri" w:hAnsi="Calibri"/>
        </w:rPr>
        <w:t xml:space="preserve"> to determine various attributes </w:t>
      </w:r>
      <w:r w:rsidR="007C49ED" w:rsidRPr="00266721">
        <w:rPr>
          <w:rFonts w:ascii="Calibri" w:hAnsi="Calibri"/>
        </w:rPr>
        <w:t>of co</w:t>
      </w:r>
      <w:r w:rsidRPr="00266721">
        <w:rPr>
          <w:rFonts w:ascii="Calibri" w:hAnsi="Calibri"/>
        </w:rPr>
        <w:t>-management</w:t>
      </w:r>
      <w:r w:rsidR="007C49ED" w:rsidRPr="00266721">
        <w:rPr>
          <w:rFonts w:ascii="Calibri" w:hAnsi="Calibri"/>
        </w:rPr>
        <w:t xml:space="preserve"> that includes </w:t>
      </w:r>
      <w:r w:rsidR="00C5522B" w:rsidRPr="00266721">
        <w:rPr>
          <w:rFonts w:ascii="Calibri" w:hAnsi="Calibri"/>
        </w:rPr>
        <w:t xml:space="preserve">identification of major stakeholders, </w:t>
      </w:r>
      <w:r w:rsidR="007C49ED" w:rsidRPr="00266721">
        <w:rPr>
          <w:rFonts w:ascii="Calibri" w:hAnsi="Calibri"/>
        </w:rPr>
        <w:t xml:space="preserve">causes of forest degradation, local community and their power structure, socio-economic status of the dependent </w:t>
      </w:r>
      <w:r w:rsidR="00C5522B" w:rsidRPr="00266721">
        <w:rPr>
          <w:rFonts w:ascii="Calibri" w:hAnsi="Calibri"/>
        </w:rPr>
        <w:t>people, prevailing challenges</w:t>
      </w:r>
      <w:r w:rsidR="007C49ED" w:rsidRPr="00266721">
        <w:rPr>
          <w:rFonts w:ascii="Calibri" w:hAnsi="Calibri"/>
        </w:rPr>
        <w:t xml:space="preserve"> </w:t>
      </w:r>
      <w:r w:rsidR="00C5522B" w:rsidRPr="00266721">
        <w:rPr>
          <w:rFonts w:ascii="Calibri" w:hAnsi="Calibri"/>
        </w:rPr>
        <w:t xml:space="preserve">and future potentials to improve the management activities. </w:t>
      </w:r>
      <w:r w:rsidR="00CF7D67" w:rsidRPr="00266721">
        <w:rPr>
          <w:rFonts w:ascii="Calibri" w:hAnsi="Calibri"/>
        </w:rPr>
        <w:t xml:space="preserve">While identifying major stakeholders it is being revealed that fuelwood collectors, illegal </w:t>
      </w:r>
      <w:r w:rsidR="00C84115" w:rsidRPr="00266721">
        <w:rPr>
          <w:rFonts w:ascii="Calibri" w:hAnsi="Calibri"/>
        </w:rPr>
        <w:t>fellers,</w:t>
      </w:r>
      <w:r w:rsidR="00CF7D67" w:rsidRPr="00266721">
        <w:rPr>
          <w:rFonts w:ascii="Calibri" w:hAnsi="Calibri"/>
        </w:rPr>
        <w:t xml:space="preserve"> betel leaf cultivators plays major roles in forest </w:t>
      </w:r>
      <w:r w:rsidR="00C84115" w:rsidRPr="00266721">
        <w:rPr>
          <w:rFonts w:ascii="Calibri" w:hAnsi="Calibri"/>
        </w:rPr>
        <w:t>destruction (NSP</w:t>
      </w:r>
      <w:r w:rsidR="00B26EFD" w:rsidRPr="00266721">
        <w:rPr>
          <w:rFonts w:ascii="Calibri" w:hAnsi="Calibri"/>
        </w:rPr>
        <w:t xml:space="preserve"> 2004c</w:t>
      </w:r>
      <w:r w:rsidR="00CF7D67" w:rsidRPr="00266721">
        <w:rPr>
          <w:rFonts w:ascii="Calibri" w:hAnsi="Calibri"/>
        </w:rPr>
        <w:t>).</w:t>
      </w:r>
      <w:r w:rsidR="00C84115" w:rsidRPr="00266721">
        <w:rPr>
          <w:rFonts w:ascii="Calibri" w:hAnsi="Calibri"/>
        </w:rPr>
        <w:t xml:space="preserve"> Among the 12 major forest resources collected from most of the protected areas, fuelwood and timber are collected on a large scale </w:t>
      </w:r>
      <w:r w:rsidR="000873F4" w:rsidRPr="00266721">
        <w:rPr>
          <w:rFonts w:ascii="Calibri" w:hAnsi="Calibri"/>
        </w:rPr>
        <w:t xml:space="preserve">while bamboo, cane, sun </w:t>
      </w:r>
    </w:p>
    <w:p w:rsidR="00823CA9" w:rsidRPr="00835247" w:rsidRDefault="008153E8" w:rsidP="00295F38">
      <w:pPr>
        <w:pStyle w:val="NormalWeb"/>
        <w:spacing w:line="360" w:lineRule="auto"/>
        <w:jc w:val="both"/>
        <w:rPr>
          <w:rFonts w:asciiTheme="minorHAnsi" w:hAnsiTheme="minorHAnsi"/>
        </w:rPr>
      </w:pPr>
      <w:r w:rsidRPr="00266721">
        <w:rPr>
          <w:rFonts w:asciiTheme="minorHAnsi" w:hAnsiTheme="minorHAnsi"/>
        </w:rPr>
        <w:t xml:space="preserve">The appraisal also revealed the </w:t>
      </w:r>
      <w:r w:rsidR="00CB5C87" w:rsidRPr="00266721">
        <w:rPr>
          <w:rFonts w:asciiTheme="minorHAnsi" w:hAnsiTheme="minorHAnsi"/>
        </w:rPr>
        <w:t>role of women in the extraction of forest resources and found their dominancy in fuelwood collection (NSP 2004c) that has also</w:t>
      </w:r>
      <w:r w:rsidR="00CB5C87" w:rsidRPr="00835247">
        <w:rPr>
          <w:rFonts w:asciiTheme="minorHAnsi" w:hAnsiTheme="minorHAnsi"/>
        </w:rPr>
        <w:t xml:space="preserve"> been supported by the assessment made during </w:t>
      </w:r>
      <w:r w:rsidR="00CB5C87" w:rsidRPr="00266721">
        <w:rPr>
          <w:rFonts w:asciiTheme="minorHAnsi" w:hAnsiTheme="minorHAnsi"/>
        </w:rPr>
        <w:t>IPAC regime(IPAC, 2009a</w:t>
      </w:r>
      <w:r w:rsidR="00B26EFD" w:rsidRPr="00266721">
        <w:rPr>
          <w:rFonts w:asciiTheme="minorHAnsi" w:hAnsiTheme="minorHAnsi"/>
        </w:rPr>
        <w:t xml:space="preserve">, IPAC, </w:t>
      </w:r>
      <w:r w:rsidR="00CB5C87" w:rsidRPr="00266721">
        <w:rPr>
          <w:rFonts w:asciiTheme="minorHAnsi" w:hAnsiTheme="minorHAnsi"/>
        </w:rPr>
        <w:t>2009</w:t>
      </w:r>
      <w:r w:rsidR="00B26EFD" w:rsidRPr="00266721">
        <w:rPr>
          <w:rFonts w:asciiTheme="minorHAnsi" w:hAnsiTheme="minorHAnsi"/>
        </w:rPr>
        <w:t>b</w:t>
      </w:r>
      <w:r w:rsidR="00CB5C87" w:rsidRPr="00266721">
        <w:rPr>
          <w:rFonts w:asciiTheme="minorHAnsi" w:hAnsiTheme="minorHAnsi"/>
        </w:rPr>
        <w:t>) . Forest</w:t>
      </w:r>
      <w:r w:rsidR="00CB5C87" w:rsidRPr="00835247">
        <w:rPr>
          <w:rFonts w:asciiTheme="minorHAnsi" w:hAnsiTheme="minorHAnsi"/>
        </w:rPr>
        <w:t xml:space="preserve"> regeneration and local biodiversity are directly impacted due to the extraction of these resources. </w:t>
      </w:r>
      <w:r w:rsidR="00BE138B" w:rsidRPr="00835247">
        <w:rPr>
          <w:rFonts w:asciiTheme="minorHAnsi" w:hAnsiTheme="minorHAnsi"/>
        </w:rPr>
        <w:t xml:space="preserve">However, most of the study revealed the </w:t>
      </w:r>
      <w:r w:rsidR="00566F25" w:rsidRPr="00835247">
        <w:rPr>
          <w:rFonts w:asciiTheme="minorHAnsi" w:hAnsiTheme="minorHAnsi"/>
        </w:rPr>
        <w:t>gender issue in light of household decision-</w:t>
      </w:r>
      <w:r w:rsidR="00426AED" w:rsidRPr="00835247">
        <w:rPr>
          <w:rFonts w:asciiTheme="minorHAnsi" w:hAnsiTheme="minorHAnsi"/>
        </w:rPr>
        <w:t>making,</w:t>
      </w:r>
      <w:r w:rsidR="00566F25" w:rsidRPr="00835247">
        <w:rPr>
          <w:rFonts w:asciiTheme="minorHAnsi" w:hAnsiTheme="minorHAnsi"/>
        </w:rPr>
        <w:t xml:space="preserve"> outdoor mobility, access to </w:t>
      </w:r>
      <w:r w:rsidR="00426AED" w:rsidRPr="00835247">
        <w:rPr>
          <w:rFonts w:asciiTheme="minorHAnsi" w:hAnsiTheme="minorHAnsi"/>
        </w:rPr>
        <w:t>credit</w:t>
      </w:r>
      <w:r w:rsidR="00566F25" w:rsidRPr="00835247">
        <w:rPr>
          <w:rFonts w:asciiTheme="minorHAnsi" w:hAnsiTheme="minorHAnsi"/>
        </w:rPr>
        <w:t xml:space="preserve"> and IGA. </w:t>
      </w:r>
    </w:p>
    <w:p w:rsidR="00CF4A46" w:rsidRDefault="004D74EF" w:rsidP="00295F38">
      <w:pPr>
        <w:spacing w:line="360" w:lineRule="auto"/>
        <w:jc w:val="both"/>
      </w:pPr>
      <w:r>
        <w:t xml:space="preserve">The third initiative of co-management CREL started operating after the completion of the IPAC </w:t>
      </w:r>
      <w:r w:rsidR="006F6B8A">
        <w:t>focusing climate resilient ecosystem and livelihoods</w:t>
      </w:r>
      <w:r w:rsidR="00CF4A46">
        <w:t xml:space="preserve"> </w:t>
      </w:r>
      <w:r w:rsidR="00170B63">
        <w:t>of</w:t>
      </w:r>
      <w:r w:rsidR="00CF4A46">
        <w:t xml:space="preserve"> </w:t>
      </w:r>
      <w:r w:rsidR="00170B63">
        <w:t xml:space="preserve">the community </w:t>
      </w:r>
      <w:r w:rsidR="00CF4A46">
        <w:t>in protected areas as well as in wetlands.</w:t>
      </w:r>
      <w:r w:rsidR="006F6B8A">
        <w:t xml:space="preserve"> </w:t>
      </w:r>
      <w:r w:rsidR="00CF4A46">
        <w:t>CREL project took initiative to synthesize the</w:t>
      </w:r>
      <w:r w:rsidR="006F6B8A">
        <w:t xml:space="preserve"> gender dimension to create a</w:t>
      </w:r>
      <w:r w:rsidR="00C928B2">
        <w:t xml:space="preserve"> balance and supportive environment in project implementation and decision making process</w:t>
      </w:r>
      <w:r w:rsidR="00CF4A46">
        <w:t>. In doing so CREL included 50% project beneficiaries</w:t>
      </w:r>
      <w:r w:rsidR="00C928B2">
        <w:t xml:space="preserve"> </w:t>
      </w:r>
      <w:r w:rsidR="00CF4A46">
        <w:t xml:space="preserve">from women and imparted training and capacity building support with a view to </w:t>
      </w:r>
    </w:p>
    <w:p w:rsidR="00C928B2" w:rsidRDefault="002F7B2F" w:rsidP="0019513E">
      <w:pPr>
        <w:spacing w:before="0" w:after="0"/>
      </w:pPr>
      <w:r>
        <w:t>i. R</w:t>
      </w:r>
      <w:r w:rsidR="00C928B2">
        <w:t>educe unsustainable extraction and dependence on natural resources</w:t>
      </w:r>
    </w:p>
    <w:p w:rsidR="00C928B2" w:rsidRDefault="00C928B2" w:rsidP="0019513E">
      <w:pPr>
        <w:spacing w:before="0" w:after="0"/>
      </w:pPr>
      <w:r>
        <w:t xml:space="preserve">ii. </w:t>
      </w:r>
      <w:r w:rsidR="002F7B2F">
        <w:t>Increase</w:t>
      </w:r>
      <w:r w:rsidR="00F1169D">
        <w:t xml:space="preserve"> </w:t>
      </w:r>
      <w:r>
        <w:t>knowledge</w:t>
      </w:r>
      <w:r w:rsidR="00F1169D">
        <w:t xml:space="preserve"> </w:t>
      </w:r>
      <w:r>
        <w:t>and resilience in response to CC</w:t>
      </w:r>
    </w:p>
    <w:p w:rsidR="00F1169D" w:rsidRDefault="00F1169D" w:rsidP="0019513E">
      <w:pPr>
        <w:spacing w:before="0" w:after="0"/>
      </w:pPr>
      <w:r>
        <w:t xml:space="preserve">iii. </w:t>
      </w:r>
      <w:r w:rsidR="002F7B2F">
        <w:t>Strengthening</w:t>
      </w:r>
      <w:r>
        <w:t xml:space="preserve"> joint decision making and female empowerment</w:t>
      </w:r>
    </w:p>
    <w:p w:rsidR="003307B4" w:rsidRDefault="003307B4" w:rsidP="0019513E">
      <w:pPr>
        <w:spacing w:before="0" w:after="0"/>
      </w:pPr>
    </w:p>
    <w:p w:rsidR="006D10AE" w:rsidRDefault="006D10AE" w:rsidP="00835247">
      <w:pPr>
        <w:spacing w:before="0" w:after="0" w:line="360" w:lineRule="auto"/>
      </w:pPr>
      <w:r>
        <w:t xml:space="preserve">Youth engagement is given priority and at the same time recognized the importance of gender equality and female empowerment for the sake of sustainable ecosystem and communities. The following achievements were noticed by assessing various annual </w:t>
      </w:r>
      <w:r>
        <w:lastRenderedPageBreak/>
        <w:t xml:space="preserve">progresses monitoring appraisal of the CREL project (CREL, 2014, CREL, 2015, CREL, 2016 and CREL, 2017). </w:t>
      </w:r>
    </w:p>
    <w:p w:rsidR="006D10AE" w:rsidRDefault="006D10AE" w:rsidP="00835247">
      <w:pPr>
        <w:spacing w:before="0" w:after="0" w:line="360" w:lineRule="auto"/>
      </w:pPr>
    </w:p>
    <w:p w:rsidR="004D74EF" w:rsidRDefault="00801D69" w:rsidP="00835247">
      <w:pPr>
        <w:spacing w:before="0" w:after="0" w:line="360" w:lineRule="auto"/>
      </w:pPr>
      <w:r>
        <w:t xml:space="preserve">The following table </w:t>
      </w:r>
      <w:r w:rsidR="00170B63">
        <w:t>summarizes</w:t>
      </w:r>
      <w:r w:rsidR="002F7B2F">
        <w:t xml:space="preserve"> the </w:t>
      </w:r>
      <w:r w:rsidR="004D74EF">
        <w:t>major initiatives taken by the CREL project particularly in context of capacity building, plantation, seedling distribution and nursery focusing the engagement of the male and female beneficiaries:</w:t>
      </w:r>
    </w:p>
    <w:p w:rsidR="00D96B21" w:rsidRDefault="00D96B21" w:rsidP="00835247">
      <w:pPr>
        <w:spacing w:before="0" w:after="0" w:line="360" w:lineRule="auto"/>
      </w:pPr>
    </w:p>
    <w:p w:rsidR="006D10AE" w:rsidRDefault="006D10AE" w:rsidP="00835247">
      <w:pPr>
        <w:spacing w:before="0" w:after="0" w:line="360" w:lineRule="auto"/>
      </w:pPr>
      <w:r>
        <w:t>a. Gender approaches are applied in offering CMOs</w:t>
      </w:r>
    </w:p>
    <w:p w:rsidR="006D10AE" w:rsidRDefault="006D10AE" w:rsidP="00835247">
      <w:pPr>
        <w:spacing w:before="0" w:after="0" w:line="360" w:lineRule="auto"/>
      </w:pPr>
      <w:r>
        <w:t xml:space="preserve">b. Number of female beneficiaries increased gradually and significantly </w:t>
      </w:r>
      <w:r w:rsidR="00866C4E">
        <w:t>(nearly 78% CREL beneficiaries are women)</w:t>
      </w:r>
    </w:p>
    <w:p w:rsidR="006D10AE" w:rsidRDefault="006D10AE" w:rsidP="00835247">
      <w:pPr>
        <w:spacing w:before="0" w:after="0" w:line="360" w:lineRule="auto"/>
      </w:pPr>
      <w:r>
        <w:t xml:space="preserve">c. </w:t>
      </w:r>
      <w:r w:rsidR="00E60293">
        <w:t xml:space="preserve">Training on AIG </w:t>
      </w:r>
      <w:r w:rsidR="00866C4E">
        <w:t xml:space="preserve">such as seedling distribution, planting nursery raising </w:t>
      </w:r>
      <w:r w:rsidR="00E60293">
        <w:t>and climate resilient NRM to women members</w:t>
      </w:r>
    </w:p>
    <w:p w:rsidR="00E60293" w:rsidRDefault="00E60293" w:rsidP="00835247">
      <w:pPr>
        <w:spacing w:before="0" w:after="0" w:line="360" w:lineRule="auto"/>
      </w:pPr>
      <w:r>
        <w:t>d. The project developed participatory gender need based assessment tool that is tested and applied accordingly</w:t>
      </w:r>
    </w:p>
    <w:p w:rsidR="00173781" w:rsidRDefault="00173781" w:rsidP="00173781">
      <w:pPr>
        <w:spacing w:before="0" w:after="0" w:line="360" w:lineRule="auto"/>
        <w:rPr>
          <w:rFonts w:asciiTheme="minorHAnsi" w:hAnsiTheme="minorHAnsi"/>
        </w:rPr>
      </w:pPr>
      <w:bookmarkStart w:id="46" w:name="_Toc510958608"/>
    </w:p>
    <w:p w:rsidR="00742AEA" w:rsidRPr="00266721" w:rsidRDefault="00742AEA" w:rsidP="00173781">
      <w:pPr>
        <w:spacing w:before="0" w:after="0" w:line="360" w:lineRule="auto"/>
        <w:jc w:val="both"/>
      </w:pPr>
      <w:r w:rsidRPr="00442238">
        <w:rPr>
          <w:rFonts w:asciiTheme="minorHAnsi" w:hAnsiTheme="minorHAnsi"/>
        </w:rPr>
        <w:t xml:space="preserve">Gender opportunities and action-learning strategies has been formulated </w:t>
      </w:r>
      <w:r w:rsidR="00442238">
        <w:rPr>
          <w:rFonts w:asciiTheme="minorHAnsi" w:hAnsiTheme="minorHAnsi"/>
        </w:rPr>
        <w:t xml:space="preserve">in order to ensure equitable engagement of men and women, reducing unsustainable extraction and dependence on natural resources, knowledge enhancement having regards to  climate change and to strengthen joint decision making and women empowerment. All these interventions are designed and advocated </w:t>
      </w:r>
      <w:r w:rsidR="006B743E">
        <w:rPr>
          <w:rFonts w:asciiTheme="minorHAnsi" w:hAnsiTheme="minorHAnsi"/>
        </w:rPr>
        <w:t xml:space="preserve">for the sustainable management and livelihood of the protected area dependent community particularly </w:t>
      </w:r>
      <w:r w:rsidR="006B743E" w:rsidRPr="00266721">
        <w:rPr>
          <w:rFonts w:asciiTheme="minorHAnsi" w:hAnsiTheme="minorHAnsi"/>
        </w:rPr>
        <w:t xml:space="preserve">women (CREL 2014b). </w:t>
      </w:r>
    </w:p>
    <w:p w:rsidR="00A25D37" w:rsidRPr="00266721" w:rsidRDefault="00B37F73" w:rsidP="00173781">
      <w:pPr>
        <w:pStyle w:val="Heading1"/>
      </w:pPr>
      <w:bookmarkStart w:id="47" w:name="_Toc515223801"/>
      <w:r w:rsidRPr="00266721">
        <w:t>5</w:t>
      </w:r>
      <w:r w:rsidR="007C49ED" w:rsidRPr="00266721">
        <w:t xml:space="preserve">. </w:t>
      </w:r>
      <w:r w:rsidR="00BF69EA" w:rsidRPr="00266721">
        <w:t>Gender D</w:t>
      </w:r>
      <w:r w:rsidR="006C2E72" w:rsidRPr="00266721">
        <w:t xml:space="preserve">imension in the </w:t>
      </w:r>
      <w:proofErr w:type="spellStart"/>
      <w:r w:rsidR="00BF69EA" w:rsidRPr="00266721">
        <w:t>Sundarban</w:t>
      </w:r>
      <w:proofErr w:type="spellEnd"/>
      <w:r w:rsidR="00BF69EA" w:rsidRPr="00266721">
        <w:t xml:space="preserve"> Mangrove F</w:t>
      </w:r>
      <w:r w:rsidR="00A25D37" w:rsidRPr="00266721">
        <w:t>orest</w:t>
      </w:r>
      <w:bookmarkEnd w:id="46"/>
      <w:bookmarkEnd w:id="47"/>
      <w:r w:rsidR="00A25D37" w:rsidRPr="00266721">
        <w:t xml:space="preserve"> </w:t>
      </w:r>
    </w:p>
    <w:p w:rsidR="00A25D37" w:rsidRDefault="00A25D37" w:rsidP="00295F38">
      <w:pPr>
        <w:autoSpaceDE w:val="0"/>
        <w:autoSpaceDN w:val="0"/>
        <w:adjustRightInd w:val="0"/>
        <w:spacing w:before="0" w:after="0" w:line="360" w:lineRule="auto"/>
        <w:jc w:val="both"/>
        <w:rPr>
          <w:rFonts w:cs="BundesSerifOffice"/>
        </w:rPr>
      </w:pPr>
      <w:proofErr w:type="spellStart"/>
      <w:r w:rsidRPr="00266721">
        <w:t>Sundarban</w:t>
      </w:r>
      <w:proofErr w:type="spellEnd"/>
      <w:r w:rsidRPr="00266721">
        <w:t xml:space="preserve"> mangrove forest is the world’s largest single chunk mangrove </w:t>
      </w:r>
      <w:r w:rsidR="009B61B9" w:rsidRPr="00266721">
        <w:t xml:space="preserve">forest </w:t>
      </w:r>
      <w:r w:rsidRPr="00266721">
        <w:t xml:space="preserve">of the world spreading over Bangladesh and Indian part. </w:t>
      </w:r>
      <w:r w:rsidRPr="00266721">
        <w:rPr>
          <w:rFonts w:cs="BundesSerifOffice"/>
        </w:rPr>
        <w:t>The Sundarbans constitute the world’s largest continuous mangrove forest (10,000km2) located within a massive river delta system between India and Bangladesh (</w:t>
      </w:r>
      <w:proofErr w:type="spellStart"/>
      <w:r w:rsidRPr="00266721">
        <w:rPr>
          <w:rFonts w:cs="BundesSerifOffice"/>
        </w:rPr>
        <w:t>GoB</w:t>
      </w:r>
      <w:proofErr w:type="spellEnd"/>
      <w:r w:rsidRPr="00266721">
        <w:rPr>
          <w:rFonts w:cs="BundesSerifOffice"/>
        </w:rPr>
        <w:t>, 2017).</w:t>
      </w:r>
      <w:r w:rsidR="0019513E">
        <w:rPr>
          <w:rFonts w:cs="BundesSerifOffice"/>
        </w:rPr>
        <w:t xml:space="preserve"> </w:t>
      </w:r>
    </w:p>
    <w:p w:rsidR="00955059" w:rsidRDefault="00955059" w:rsidP="0019513E">
      <w:pPr>
        <w:autoSpaceDE w:val="0"/>
        <w:autoSpaceDN w:val="0"/>
        <w:adjustRightInd w:val="0"/>
        <w:spacing w:before="0" w:after="0"/>
        <w:jc w:val="both"/>
        <w:rPr>
          <w:rFonts w:cs="BundesSerifOffice"/>
        </w:rPr>
      </w:pPr>
    </w:p>
    <w:p w:rsidR="008D1C37" w:rsidRPr="00266721" w:rsidRDefault="00A854F0" w:rsidP="00295F38">
      <w:pPr>
        <w:autoSpaceDE w:val="0"/>
        <w:autoSpaceDN w:val="0"/>
        <w:adjustRightInd w:val="0"/>
        <w:spacing w:before="0" w:after="0" w:line="360" w:lineRule="auto"/>
        <w:jc w:val="both"/>
        <w:rPr>
          <w:rFonts w:cs="BundesSerifOffice"/>
        </w:rPr>
      </w:pPr>
      <w:r w:rsidRPr="00266721">
        <w:rPr>
          <w:rFonts w:cs="BundesSerifOffice"/>
        </w:rPr>
        <w:t xml:space="preserve">To ensure sustainable management </w:t>
      </w:r>
      <w:r w:rsidR="00C679B3" w:rsidRPr="00266721">
        <w:rPr>
          <w:rFonts w:cs="BundesSerifOffice"/>
        </w:rPr>
        <w:t xml:space="preserve">of </w:t>
      </w:r>
      <w:r w:rsidR="007E7062" w:rsidRPr="00266721">
        <w:rPr>
          <w:rFonts w:cs="BundesSerifOffice"/>
        </w:rPr>
        <w:t xml:space="preserve">any forest </w:t>
      </w:r>
      <w:r w:rsidRPr="00266721">
        <w:rPr>
          <w:rFonts w:cs="BundesSerifOffice"/>
        </w:rPr>
        <w:t>resource</w:t>
      </w:r>
      <w:r w:rsidR="007E7062" w:rsidRPr="00266721">
        <w:rPr>
          <w:rFonts w:cs="BundesSerifOffice"/>
        </w:rPr>
        <w:t xml:space="preserve">, it is </w:t>
      </w:r>
      <w:r w:rsidR="00C679B3" w:rsidRPr="00266721">
        <w:rPr>
          <w:rFonts w:cs="BundesSerifOffice"/>
        </w:rPr>
        <w:t xml:space="preserve">important </w:t>
      </w:r>
      <w:r w:rsidR="007E7062" w:rsidRPr="00266721">
        <w:rPr>
          <w:rFonts w:cs="BundesSerifOffice"/>
        </w:rPr>
        <w:t xml:space="preserve">to devise a forest management plan that guides and regulates the management of encompassing </w:t>
      </w:r>
      <w:r w:rsidR="00C679B3" w:rsidRPr="00266721">
        <w:rPr>
          <w:rFonts w:cs="BundesSerifOffice"/>
        </w:rPr>
        <w:t>resources (BFD, 2010)</w:t>
      </w:r>
      <w:r w:rsidR="007E7062" w:rsidRPr="00266721">
        <w:rPr>
          <w:rFonts w:cs="BundesSerifOffice"/>
        </w:rPr>
        <w:t xml:space="preserve">. </w:t>
      </w:r>
      <w:r w:rsidR="00C679B3" w:rsidRPr="00266721">
        <w:rPr>
          <w:rFonts w:cs="BundesSerifOffice"/>
        </w:rPr>
        <w:t>Keeping that view in mind, a</w:t>
      </w:r>
      <w:r w:rsidRPr="00266721">
        <w:rPr>
          <w:rFonts w:cs="BundesSerifOffice"/>
        </w:rPr>
        <w:t xml:space="preserve"> 10 years long integrated resource management plan (</w:t>
      </w:r>
      <w:proofErr w:type="spellStart"/>
      <w:r w:rsidRPr="00266721">
        <w:rPr>
          <w:rFonts w:cs="BundesSerifOffice"/>
        </w:rPr>
        <w:t>IRMP</w:t>
      </w:r>
      <w:proofErr w:type="spellEnd"/>
      <w:r w:rsidRPr="00266721">
        <w:rPr>
          <w:rFonts w:cs="BundesSerifOffice"/>
        </w:rPr>
        <w:t xml:space="preserve">) for the </w:t>
      </w:r>
      <w:proofErr w:type="spellStart"/>
      <w:r w:rsidRPr="00266721">
        <w:rPr>
          <w:rFonts w:cs="BundesSerifOffice"/>
        </w:rPr>
        <w:t>Sundarban</w:t>
      </w:r>
      <w:proofErr w:type="spellEnd"/>
      <w:r w:rsidRPr="00266721">
        <w:rPr>
          <w:rFonts w:cs="BundesSerifOffice"/>
        </w:rPr>
        <w:t xml:space="preserve"> </w:t>
      </w:r>
      <w:r w:rsidR="008D1C37" w:rsidRPr="00266721">
        <w:rPr>
          <w:rFonts w:cs="BundesSerifOffice"/>
        </w:rPr>
        <w:t>Mangrove</w:t>
      </w:r>
      <w:r w:rsidR="00C679B3" w:rsidRPr="00266721">
        <w:rPr>
          <w:rFonts w:cs="BundesSerifOffice"/>
        </w:rPr>
        <w:t xml:space="preserve"> </w:t>
      </w:r>
      <w:r w:rsidRPr="00266721">
        <w:rPr>
          <w:rFonts w:cs="BundesSerifOffice"/>
        </w:rPr>
        <w:t>forest of Bangladesh has been formulated</w:t>
      </w:r>
      <w:r w:rsidR="008D1C37" w:rsidRPr="00266721">
        <w:rPr>
          <w:rFonts w:cs="BundesSerifOffice"/>
        </w:rPr>
        <w:t xml:space="preserve">. Under </w:t>
      </w:r>
      <w:r w:rsidR="008D1C37" w:rsidRPr="00266721">
        <w:rPr>
          <w:rFonts w:cs="BundesSerifOffice"/>
        </w:rPr>
        <w:lastRenderedPageBreak/>
        <w:t xml:space="preserve">the </w:t>
      </w:r>
      <w:proofErr w:type="spellStart"/>
      <w:r w:rsidR="008D1C37" w:rsidRPr="00266721">
        <w:rPr>
          <w:rFonts w:cs="BundesSerifOffice"/>
        </w:rPr>
        <w:t>IRMP</w:t>
      </w:r>
      <w:proofErr w:type="spellEnd"/>
      <w:r w:rsidR="008D1C37" w:rsidRPr="00266721">
        <w:rPr>
          <w:rFonts w:cs="BundesSerifOffice"/>
        </w:rPr>
        <w:t xml:space="preserve"> of </w:t>
      </w:r>
      <w:proofErr w:type="spellStart"/>
      <w:r w:rsidR="008D1C37" w:rsidRPr="00266721">
        <w:rPr>
          <w:rFonts w:cs="BundesSerifOffice"/>
        </w:rPr>
        <w:t>Sundarban</w:t>
      </w:r>
      <w:proofErr w:type="spellEnd"/>
      <w:r w:rsidR="008D1C37" w:rsidRPr="00266721">
        <w:rPr>
          <w:rFonts w:cs="BundesSerifOffice"/>
        </w:rPr>
        <w:t xml:space="preserve"> ten interlinked strategic management developed with a view to </w:t>
      </w:r>
      <w:r w:rsidR="00955059" w:rsidRPr="00266721">
        <w:rPr>
          <w:rFonts w:cs="BundesSerifOffice"/>
        </w:rPr>
        <w:t>achieve</w:t>
      </w:r>
      <w:r w:rsidR="008D1C37" w:rsidRPr="00266721">
        <w:rPr>
          <w:rFonts w:cs="BundesSerifOffice"/>
        </w:rPr>
        <w:t xml:space="preserve"> 5 planning goals and outcomes for the sustainable management of </w:t>
      </w:r>
      <w:proofErr w:type="spellStart"/>
      <w:r w:rsidR="008D1C37" w:rsidRPr="00266721">
        <w:rPr>
          <w:rFonts w:cs="BundesSerifOffice"/>
        </w:rPr>
        <w:t>Sundarban</w:t>
      </w:r>
      <w:proofErr w:type="spellEnd"/>
      <w:r w:rsidR="008D1C37" w:rsidRPr="00266721">
        <w:rPr>
          <w:rFonts w:cs="BundesSerifOffice"/>
        </w:rPr>
        <w:t xml:space="preserve"> Reserved Forest (</w:t>
      </w:r>
      <w:proofErr w:type="spellStart"/>
      <w:r w:rsidR="008D1C37" w:rsidRPr="00266721">
        <w:rPr>
          <w:rFonts w:cs="BundesSerifOffice"/>
        </w:rPr>
        <w:t>SRF</w:t>
      </w:r>
      <w:proofErr w:type="spellEnd"/>
      <w:r w:rsidR="008D1C37" w:rsidRPr="00266721">
        <w:rPr>
          <w:rFonts w:cs="BundesSerifOffice"/>
        </w:rPr>
        <w:t xml:space="preserve">) and surrounding landscapes. </w:t>
      </w:r>
    </w:p>
    <w:p w:rsidR="008D1C37" w:rsidRPr="00266721" w:rsidRDefault="008D1C37" w:rsidP="0019513E">
      <w:pPr>
        <w:autoSpaceDE w:val="0"/>
        <w:autoSpaceDN w:val="0"/>
        <w:adjustRightInd w:val="0"/>
        <w:spacing w:before="0" w:after="0"/>
        <w:jc w:val="both"/>
        <w:rPr>
          <w:rFonts w:cs="BundesSerifOffice"/>
        </w:rPr>
      </w:pPr>
    </w:p>
    <w:p w:rsidR="008D1C37" w:rsidRPr="00266721" w:rsidRDefault="008D1C37" w:rsidP="00295F38">
      <w:pPr>
        <w:autoSpaceDE w:val="0"/>
        <w:autoSpaceDN w:val="0"/>
        <w:adjustRightInd w:val="0"/>
        <w:spacing w:before="0" w:after="0" w:line="360" w:lineRule="auto"/>
        <w:jc w:val="both"/>
        <w:rPr>
          <w:rFonts w:cs="BundesSerifOffice"/>
        </w:rPr>
      </w:pPr>
      <w:r w:rsidRPr="00266721">
        <w:rPr>
          <w:rFonts w:cs="BundesSerifOffice"/>
        </w:rPr>
        <w:t>Enhancing socio-economic benefits of the local community in the interface landscape zone is one of the key objectives of the IRMP</w:t>
      </w:r>
      <w:r w:rsidR="00B37548" w:rsidRPr="00266721">
        <w:rPr>
          <w:rFonts w:cs="BundesSerifOffice"/>
        </w:rPr>
        <w:t xml:space="preserve"> (IPAC, 2010)</w:t>
      </w:r>
      <w:r w:rsidRPr="00266721">
        <w:rPr>
          <w:rFonts w:cs="BundesSerifOffice"/>
        </w:rPr>
        <w:t xml:space="preserve">. Supporting and improving community based co-management approaches by engaging landscape communities and stakeholders are prescribed in the plan. </w:t>
      </w:r>
    </w:p>
    <w:p w:rsidR="008D1C37" w:rsidRPr="00266721" w:rsidRDefault="008D1C37" w:rsidP="0019513E">
      <w:pPr>
        <w:autoSpaceDE w:val="0"/>
        <w:autoSpaceDN w:val="0"/>
        <w:adjustRightInd w:val="0"/>
        <w:spacing w:before="0" w:after="0"/>
        <w:jc w:val="both"/>
        <w:rPr>
          <w:rFonts w:cs="BundesSerifOffice"/>
        </w:rPr>
      </w:pPr>
      <w:r w:rsidRPr="00266721">
        <w:rPr>
          <w:rFonts w:cs="BundesSerifOffice"/>
        </w:rPr>
        <w:t xml:space="preserve"> </w:t>
      </w:r>
    </w:p>
    <w:p w:rsidR="00185E6F" w:rsidRDefault="008D1C37" w:rsidP="00295F38">
      <w:pPr>
        <w:autoSpaceDE w:val="0"/>
        <w:autoSpaceDN w:val="0"/>
        <w:adjustRightInd w:val="0"/>
        <w:spacing w:before="0" w:after="0" w:line="360" w:lineRule="auto"/>
        <w:jc w:val="both"/>
        <w:rPr>
          <w:rFonts w:cs="BundesSerifOffice"/>
        </w:rPr>
      </w:pPr>
      <w:r w:rsidRPr="00266721">
        <w:rPr>
          <w:rFonts w:cs="BundesSerifOffice"/>
        </w:rPr>
        <w:t xml:space="preserve">PRA and RRA were conducted in 14 </w:t>
      </w:r>
      <w:r w:rsidR="00185E6F" w:rsidRPr="00266721">
        <w:rPr>
          <w:rFonts w:cs="BundesSerifOffice"/>
        </w:rPr>
        <w:t>unions’</w:t>
      </w:r>
      <w:r w:rsidRPr="00266721">
        <w:rPr>
          <w:rFonts w:cs="BundesSerifOffice"/>
        </w:rPr>
        <w:t xml:space="preserve"> falls within the impact zone identifying primary stakeholders </w:t>
      </w:r>
      <w:r w:rsidR="00185E6F" w:rsidRPr="00266721">
        <w:rPr>
          <w:rFonts w:cs="BundesSerifOffice"/>
        </w:rPr>
        <w:t xml:space="preserve">dependent on the </w:t>
      </w:r>
      <w:proofErr w:type="spellStart"/>
      <w:r w:rsidR="00185E6F" w:rsidRPr="00266721">
        <w:rPr>
          <w:rFonts w:cs="BundesSerifOffice"/>
        </w:rPr>
        <w:t>Sundarban</w:t>
      </w:r>
      <w:proofErr w:type="spellEnd"/>
      <w:r w:rsidR="00185E6F" w:rsidRPr="00266721">
        <w:rPr>
          <w:rFonts w:cs="BundesSerifOffice"/>
        </w:rPr>
        <w:t xml:space="preserve"> </w:t>
      </w:r>
      <w:proofErr w:type="spellStart"/>
      <w:r w:rsidR="00185E6F" w:rsidRPr="00266721">
        <w:rPr>
          <w:rFonts w:cs="BundesSerifOffice"/>
        </w:rPr>
        <w:t>ECA</w:t>
      </w:r>
      <w:proofErr w:type="spellEnd"/>
      <w:r w:rsidR="00185E6F" w:rsidRPr="00266721">
        <w:rPr>
          <w:rFonts w:cs="BundesSerifOffice"/>
        </w:rPr>
        <w:t xml:space="preserve">.  In doing so, dependency ratio was assessed whereby occasional fishing, post larvae collection and subsistence fishing found as major sources of </w:t>
      </w:r>
      <w:r w:rsidR="0063573C" w:rsidRPr="00266721">
        <w:rPr>
          <w:rFonts w:cs="BundesSerifOffice"/>
        </w:rPr>
        <w:t>livelihood both</w:t>
      </w:r>
      <w:r w:rsidR="00185E6F" w:rsidRPr="00266721">
        <w:rPr>
          <w:rFonts w:cs="BundesSerifOffice"/>
        </w:rPr>
        <w:t xml:space="preserve"> for men and women (BFD, 2010).</w:t>
      </w:r>
    </w:p>
    <w:p w:rsidR="008D1C37" w:rsidRDefault="00185E6F" w:rsidP="0019513E">
      <w:pPr>
        <w:autoSpaceDE w:val="0"/>
        <w:autoSpaceDN w:val="0"/>
        <w:adjustRightInd w:val="0"/>
        <w:spacing w:before="0" w:after="0"/>
        <w:jc w:val="both"/>
        <w:rPr>
          <w:rFonts w:cs="BundesSerifOffice"/>
        </w:rPr>
      </w:pPr>
      <w:r>
        <w:rPr>
          <w:rFonts w:cs="BundesSerifOffice"/>
        </w:rPr>
        <w:t xml:space="preserve"> </w:t>
      </w:r>
    </w:p>
    <w:p w:rsidR="009B61B9" w:rsidRPr="00CA3ABC" w:rsidRDefault="000126B4" w:rsidP="00295F38">
      <w:pPr>
        <w:autoSpaceDE w:val="0"/>
        <w:autoSpaceDN w:val="0"/>
        <w:adjustRightInd w:val="0"/>
        <w:spacing w:before="0" w:after="0" w:line="360" w:lineRule="auto"/>
        <w:jc w:val="both"/>
        <w:rPr>
          <w:rFonts w:cs="BundesSerifOffice"/>
        </w:rPr>
      </w:pPr>
      <w:r w:rsidRPr="00266721">
        <w:rPr>
          <w:rFonts w:cs="BundesSerifOffice"/>
        </w:rPr>
        <w:t xml:space="preserve">Restricted accessibility may affect livelihood of the forest dependent community as experienced in case of </w:t>
      </w:r>
      <w:proofErr w:type="spellStart"/>
      <w:r w:rsidRPr="00266721">
        <w:rPr>
          <w:rFonts w:cs="BundesSerifOffice"/>
        </w:rPr>
        <w:t>Sundarban</w:t>
      </w:r>
      <w:proofErr w:type="spellEnd"/>
      <w:r w:rsidRPr="00266721">
        <w:rPr>
          <w:rFonts w:cs="BundesSerifOffice"/>
        </w:rPr>
        <w:t xml:space="preserve"> (Nas</w:t>
      </w:r>
      <w:r w:rsidR="004D74EF" w:rsidRPr="00266721">
        <w:rPr>
          <w:rFonts w:cs="BundesSerifOffice"/>
        </w:rPr>
        <w:t>e</w:t>
      </w:r>
      <w:r w:rsidRPr="00266721">
        <w:rPr>
          <w:rFonts w:cs="BundesSerifOffice"/>
        </w:rPr>
        <w:t>r, 2016</w:t>
      </w:r>
      <w:r w:rsidR="0045505F" w:rsidRPr="00266721">
        <w:rPr>
          <w:rFonts w:cs="BundesSerifOffice"/>
        </w:rPr>
        <w:t>; Roy et al., 2012</w:t>
      </w:r>
      <w:r w:rsidRPr="00266721">
        <w:rPr>
          <w:rFonts w:cs="BundesSerifOffice"/>
        </w:rPr>
        <w:t xml:space="preserve">). Heavy community dependency regardless of gender has been noticed. </w:t>
      </w:r>
      <w:r w:rsidR="00DA1D80" w:rsidRPr="00266721">
        <w:rPr>
          <w:rFonts w:cs="BundesSerifOffice"/>
        </w:rPr>
        <w:t xml:space="preserve">Some studies concluded that women had important role in subsistence based on </w:t>
      </w:r>
      <w:proofErr w:type="spellStart"/>
      <w:r w:rsidR="00DA1D80" w:rsidRPr="00266721">
        <w:rPr>
          <w:rFonts w:cs="BundesSerifOffice"/>
        </w:rPr>
        <w:t>Sundarban</w:t>
      </w:r>
      <w:proofErr w:type="spellEnd"/>
      <w:r w:rsidR="00DA1D80" w:rsidRPr="00266721">
        <w:rPr>
          <w:rFonts w:cs="BundesSerifOffice"/>
        </w:rPr>
        <w:t xml:space="preserve"> resources. However, this contribution is often undervalued or remains undocumented. Poor landless women, women without male guardian are more reliant on mangrove resources (</w:t>
      </w:r>
      <w:proofErr w:type="spellStart"/>
      <w:r w:rsidR="008E0C7A" w:rsidRPr="00266721">
        <w:t>Guhathakurta</w:t>
      </w:r>
      <w:proofErr w:type="spellEnd"/>
      <w:r w:rsidR="00DA1D80" w:rsidRPr="00266721">
        <w:rPr>
          <w:rFonts w:cs="BundesSerifOffice"/>
        </w:rPr>
        <w:t>, 2008).</w:t>
      </w:r>
      <w:r w:rsidR="00DA1D80">
        <w:rPr>
          <w:rFonts w:cs="BundesSerifOffice"/>
        </w:rPr>
        <w:t xml:space="preserve">  </w:t>
      </w:r>
    </w:p>
    <w:p w:rsidR="00DB19C8" w:rsidRPr="00173781" w:rsidRDefault="00B37F73" w:rsidP="00173781">
      <w:pPr>
        <w:pStyle w:val="Heading1"/>
      </w:pPr>
      <w:bookmarkStart w:id="48" w:name="_Toc510958609"/>
      <w:bookmarkStart w:id="49" w:name="_Toc515223802"/>
      <w:r w:rsidRPr="00173781">
        <w:t>6</w:t>
      </w:r>
      <w:r w:rsidR="007C49ED" w:rsidRPr="00173781">
        <w:t xml:space="preserve">. </w:t>
      </w:r>
      <w:r w:rsidR="004D74EF" w:rsidRPr="00173781">
        <w:t xml:space="preserve"> </w:t>
      </w:r>
      <w:r w:rsidR="003307B4" w:rsidRPr="00173781">
        <w:t>Recommendations</w:t>
      </w:r>
      <w:bookmarkEnd w:id="48"/>
      <w:bookmarkEnd w:id="49"/>
    </w:p>
    <w:p w:rsidR="0062771F" w:rsidRDefault="00CA3ABC" w:rsidP="00295F38">
      <w:pPr>
        <w:spacing w:line="360" w:lineRule="auto"/>
        <w:jc w:val="both"/>
      </w:pPr>
      <w:r>
        <w:t xml:space="preserve">Implementing </w:t>
      </w:r>
      <w:r w:rsidR="00DE5EBC">
        <w:t xml:space="preserve">the </w:t>
      </w:r>
      <w:r>
        <w:t xml:space="preserve">REDD+ program in Bangladesh need to consider national strategy and the international </w:t>
      </w:r>
      <w:r w:rsidR="0062771F">
        <w:t>policy,</w:t>
      </w:r>
      <w:r>
        <w:t xml:space="preserve"> plan and program with a view to prioritize action plan. </w:t>
      </w:r>
      <w:r w:rsidR="0062771F">
        <w:t>Designing and implementing an effective REDD+ methodologies must consider some critical path ways</w:t>
      </w:r>
      <w:r w:rsidR="00DE5EBC">
        <w:t>,</w:t>
      </w:r>
      <w:r w:rsidR="0062771F">
        <w:t xml:space="preserve"> of which</w:t>
      </w:r>
      <w:r w:rsidR="00DE5EBC">
        <w:t>,</w:t>
      </w:r>
      <w:r w:rsidR="0062771F">
        <w:t xml:space="preserve"> gender is a vital one. </w:t>
      </w:r>
      <w:r w:rsidR="00DE5EBC">
        <w:t xml:space="preserve">Reducing </w:t>
      </w:r>
      <w:r w:rsidR="0062771F">
        <w:t xml:space="preserve">the process of </w:t>
      </w:r>
      <w:r w:rsidR="00DE5EBC">
        <w:t>deforestation</w:t>
      </w:r>
      <w:r w:rsidR="0062771F">
        <w:t xml:space="preserve"> and forest degradation</w:t>
      </w:r>
      <w:r w:rsidR="00DE5EBC">
        <w:t xml:space="preserve"> in Bangladesh, </w:t>
      </w:r>
      <w:r w:rsidR="004A3C5D">
        <w:t xml:space="preserve">demands the identification of </w:t>
      </w:r>
      <w:r w:rsidR="00DE5EBC">
        <w:t xml:space="preserve">gender role and their multi-dimensional attributes </w:t>
      </w:r>
      <w:r w:rsidR="004A3C5D">
        <w:t>which</w:t>
      </w:r>
      <w:r w:rsidR="00DE5EBC">
        <w:t xml:space="preserve"> may have significant implications over the process.  </w:t>
      </w:r>
    </w:p>
    <w:p w:rsidR="004F353B" w:rsidRPr="00843C15" w:rsidRDefault="004A3C5D" w:rsidP="008E0C7A">
      <w:pPr>
        <w:spacing w:line="360" w:lineRule="auto"/>
        <w:jc w:val="both"/>
      </w:pPr>
      <w:r>
        <w:t>Although literature</w:t>
      </w:r>
      <w:r w:rsidR="00D011D5">
        <w:t>s</w:t>
      </w:r>
      <w:r>
        <w:t xml:space="preserve"> on gender </w:t>
      </w:r>
      <w:r w:rsidR="00D011D5">
        <w:t>a</w:t>
      </w:r>
      <w:r>
        <w:t xml:space="preserve">nd </w:t>
      </w:r>
      <w:r w:rsidR="00D011D5">
        <w:t xml:space="preserve">their </w:t>
      </w:r>
      <w:r>
        <w:t>differentiated roles  in forest resource extraction, management and governance process are strikingly limited in context of Bangladesh, this</w:t>
      </w:r>
      <w:r w:rsidR="00DE5EBC">
        <w:t xml:space="preserve"> </w:t>
      </w:r>
      <w:r w:rsidR="00DE5EBC" w:rsidRPr="00843C15">
        <w:t>literature</w:t>
      </w:r>
      <w:r w:rsidR="00DE5EBC">
        <w:t xml:space="preserve"> </w:t>
      </w:r>
      <w:r w:rsidR="00131F44" w:rsidRPr="00843C15">
        <w:t>review reve</w:t>
      </w:r>
      <w:r w:rsidR="00850988">
        <w:t>a</w:t>
      </w:r>
      <w:r w:rsidR="00131F44" w:rsidRPr="00843C15">
        <w:t xml:space="preserve">led some of the salient </w:t>
      </w:r>
      <w:r w:rsidR="000510B0">
        <w:t xml:space="preserve">aspects on </w:t>
      </w:r>
      <w:r w:rsidR="000510B0" w:rsidRPr="00843C15">
        <w:t>how</w:t>
      </w:r>
      <w:r w:rsidR="000510B0">
        <w:t xml:space="preserve"> the </w:t>
      </w:r>
      <w:r w:rsidR="000510B0" w:rsidRPr="00843C15">
        <w:t>gender</w:t>
      </w:r>
      <w:r w:rsidR="00131F44" w:rsidRPr="00843C15">
        <w:t xml:space="preserve"> dimension is </w:t>
      </w:r>
      <w:r w:rsidR="00DE5EBC">
        <w:t xml:space="preserve">being addressed and </w:t>
      </w:r>
      <w:r w:rsidR="00131F44" w:rsidRPr="00843C15">
        <w:t xml:space="preserve">influencing the </w:t>
      </w:r>
      <w:r w:rsidR="00850988">
        <w:t xml:space="preserve">issues </w:t>
      </w:r>
      <w:r w:rsidR="00131F44" w:rsidRPr="00843C15">
        <w:t>of forest governance</w:t>
      </w:r>
      <w:r w:rsidR="00DE5EBC">
        <w:t xml:space="preserve">, community livelihood and land </w:t>
      </w:r>
      <w:proofErr w:type="spellStart"/>
      <w:r w:rsidR="00DE5EBC">
        <w:lastRenderedPageBreak/>
        <w:t>tenural</w:t>
      </w:r>
      <w:proofErr w:type="spellEnd"/>
      <w:r w:rsidR="00DE5EBC">
        <w:t xml:space="preserve"> arrangements. In addition to that, cross cutting issues like climate change adaptation and resilience capacity of the local community have also </w:t>
      </w:r>
      <w:r w:rsidR="00506603">
        <w:t xml:space="preserve">been manifested through various studies and findings. However, the major </w:t>
      </w:r>
      <w:r w:rsidR="00850988">
        <w:t>limitations o</w:t>
      </w:r>
      <w:r w:rsidR="00506603">
        <w:t>f all the</w:t>
      </w:r>
      <w:r w:rsidR="00850988">
        <w:t>se</w:t>
      </w:r>
      <w:r w:rsidR="00506603">
        <w:t xml:space="preserve"> studies </w:t>
      </w:r>
      <w:r w:rsidR="00850988">
        <w:t>are</w:t>
      </w:r>
      <w:r w:rsidR="00506603">
        <w:t xml:space="preserve"> that</w:t>
      </w:r>
      <w:r w:rsidR="007A2F32">
        <w:t>, they</w:t>
      </w:r>
      <w:r w:rsidR="00506603">
        <w:t xml:space="preserve"> failed to quantify the issues and factors</w:t>
      </w:r>
      <w:r w:rsidR="00850988">
        <w:t xml:space="preserve"> related to gender dimension adequately. </w:t>
      </w:r>
      <w:r w:rsidR="00506603">
        <w:t xml:space="preserve"> In order </w:t>
      </w:r>
      <w:r w:rsidR="00850988">
        <w:t>achieve</w:t>
      </w:r>
      <w:r w:rsidR="00506603">
        <w:t xml:space="preserve"> desired benefits from the REDD+ program we need to </w:t>
      </w:r>
      <w:r w:rsidR="00850988">
        <w:t xml:space="preserve">quantity the gender dimension in forest management, use, governance, land tenure arrangement in support of the effective implementation of the REDD+ program. </w:t>
      </w:r>
      <w:r w:rsidR="00131F44" w:rsidRPr="00843C15">
        <w:t xml:space="preserve"> </w:t>
      </w:r>
      <w:r w:rsidR="00D011D5">
        <w:t xml:space="preserve">Based on the summary review the </w:t>
      </w:r>
      <w:r w:rsidR="00850988">
        <w:t xml:space="preserve">following </w:t>
      </w:r>
      <w:r w:rsidR="002A3868">
        <w:t xml:space="preserve">issues need to be </w:t>
      </w:r>
      <w:r w:rsidR="00850988">
        <w:t>considered</w:t>
      </w:r>
      <w:r w:rsidR="00D011D5">
        <w:t xml:space="preserve"> for the effective implementation of the national REDD+ strategy:</w:t>
      </w:r>
    </w:p>
    <w:p w:rsidR="002A3868" w:rsidRDefault="00C52BAF" w:rsidP="002A3868">
      <w:pPr>
        <w:pStyle w:val="ListParagraph"/>
        <w:numPr>
          <w:ilvl w:val="0"/>
          <w:numId w:val="7"/>
        </w:numPr>
        <w:spacing w:line="360" w:lineRule="auto"/>
        <w:jc w:val="both"/>
      </w:pPr>
      <w:r>
        <w:t>L</w:t>
      </w:r>
      <w:r w:rsidR="002A3868">
        <w:t xml:space="preserve">egal and policy frameworks </w:t>
      </w:r>
      <w:r>
        <w:t xml:space="preserve">related to forestry sector </w:t>
      </w:r>
      <w:r w:rsidR="002A3868">
        <w:t xml:space="preserve">have made the provision of addressing and engaging women in the </w:t>
      </w:r>
      <w:r>
        <w:t xml:space="preserve">planning, implementation and </w:t>
      </w:r>
      <w:r w:rsidR="00174800">
        <w:t>governance of</w:t>
      </w:r>
      <w:r w:rsidR="002A3868">
        <w:t xml:space="preserve"> the forestry program</w:t>
      </w:r>
      <w:r w:rsidR="00985998">
        <w:t>s</w:t>
      </w:r>
      <w:r w:rsidR="00174800">
        <w:t xml:space="preserve"> (section-3)</w:t>
      </w:r>
      <w:r w:rsidR="002A3868">
        <w:t xml:space="preserve">. However, the success largely depends on the </w:t>
      </w:r>
      <w:r w:rsidR="00174800">
        <w:t xml:space="preserve">program </w:t>
      </w:r>
      <w:r w:rsidR="002A3868">
        <w:t>level application of the legal and policy instruments from where REDD+ program can get clues for development</w:t>
      </w:r>
      <w:r w:rsidR="00174800">
        <w:t>.</w:t>
      </w:r>
      <w:r w:rsidR="002A3868">
        <w:t xml:space="preserve"> </w:t>
      </w:r>
    </w:p>
    <w:p w:rsidR="00A25D37" w:rsidRDefault="002606FF" w:rsidP="00266B8C">
      <w:pPr>
        <w:pStyle w:val="ListParagraph"/>
        <w:numPr>
          <w:ilvl w:val="0"/>
          <w:numId w:val="7"/>
        </w:numPr>
        <w:spacing w:line="360" w:lineRule="auto"/>
        <w:jc w:val="both"/>
      </w:pPr>
      <w:r w:rsidRPr="006C2E72">
        <w:t xml:space="preserve">Women’s experience and response to environmental change are being </w:t>
      </w:r>
      <w:r w:rsidR="00AA5D01">
        <w:t xml:space="preserve">widely </w:t>
      </w:r>
      <w:r w:rsidRPr="006C2E72">
        <w:t>shaped</w:t>
      </w:r>
      <w:r w:rsidR="00AA5D01">
        <w:t xml:space="preserve"> and influenced </w:t>
      </w:r>
      <w:r w:rsidR="00AA5D01" w:rsidRPr="006C2E72">
        <w:t>by</w:t>
      </w:r>
      <w:r w:rsidRPr="006C2E72">
        <w:t xml:space="preserve"> gendered roles, responsibilities and expectation.</w:t>
      </w:r>
      <w:r w:rsidR="00266B8C">
        <w:t xml:space="preserve"> Women participation in climate change decision-making process need to be mainstreamed to recognize their contribution as well to ensure effective participation.</w:t>
      </w:r>
    </w:p>
    <w:p w:rsidR="00C73BBC" w:rsidRDefault="002606FF" w:rsidP="00C73BBC">
      <w:pPr>
        <w:pStyle w:val="ListParagraph"/>
        <w:numPr>
          <w:ilvl w:val="0"/>
          <w:numId w:val="7"/>
        </w:numPr>
        <w:spacing w:line="360" w:lineRule="auto"/>
        <w:jc w:val="both"/>
      </w:pPr>
      <w:r w:rsidRPr="002606FF">
        <w:t>Restricted</w:t>
      </w:r>
      <w:r>
        <w:t xml:space="preserve"> </w:t>
      </w:r>
      <w:r w:rsidRPr="002606FF">
        <w:t xml:space="preserve">accessibility </w:t>
      </w:r>
      <w:r>
        <w:t>to resource utilization may affect livelihood of the forest</w:t>
      </w:r>
      <w:r w:rsidR="00C27419">
        <w:t xml:space="preserve"> dependent</w:t>
      </w:r>
      <w:r>
        <w:t xml:space="preserve"> community particularly the women section</w:t>
      </w:r>
      <w:r w:rsidR="00836F56">
        <w:t xml:space="preserve"> as experienced in </w:t>
      </w:r>
      <w:r w:rsidR="002A3868">
        <w:t>many</w:t>
      </w:r>
      <w:r w:rsidR="00836F56">
        <w:t xml:space="preserve"> studies</w:t>
      </w:r>
      <w:r>
        <w:t xml:space="preserve">. </w:t>
      </w:r>
      <w:r w:rsidR="00C73BBC">
        <w:t>Some studies revealed that access to resources like land, finance and technology may produce 20-30% more food by women compared to men. REDD+ program should take this message into their planning process.</w:t>
      </w:r>
    </w:p>
    <w:p w:rsidR="002606FF" w:rsidRDefault="002606FF" w:rsidP="00C73BBC">
      <w:pPr>
        <w:spacing w:line="360" w:lineRule="auto"/>
        <w:ind w:left="360"/>
        <w:jc w:val="both"/>
      </w:pPr>
    </w:p>
    <w:p w:rsidR="00C27419" w:rsidRDefault="002606FF" w:rsidP="009D0DD0">
      <w:pPr>
        <w:pStyle w:val="ListParagraph"/>
        <w:numPr>
          <w:ilvl w:val="0"/>
          <w:numId w:val="7"/>
        </w:numPr>
        <w:spacing w:line="360" w:lineRule="auto"/>
        <w:jc w:val="both"/>
      </w:pPr>
      <w:r>
        <w:t xml:space="preserve">Women had important role in subsistence based </w:t>
      </w:r>
      <w:r w:rsidR="00C27419">
        <w:t xml:space="preserve">on </w:t>
      </w:r>
      <w:proofErr w:type="spellStart"/>
      <w:r w:rsidR="00C27419">
        <w:t>sundarban</w:t>
      </w:r>
      <w:proofErr w:type="spellEnd"/>
      <w:r w:rsidR="00C27419">
        <w:t xml:space="preserve"> mangrove forest resources. However, this contribution often remains undervalued or remains </w:t>
      </w:r>
      <w:r w:rsidR="00174800">
        <w:t>unacknowledged thus need adequate recognition</w:t>
      </w:r>
      <w:r w:rsidR="00836F56">
        <w:t xml:space="preserve"> (section-5)</w:t>
      </w:r>
      <w:r w:rsidR="00C27419">
        <w:t>.</w:t>
      </w:r>
    </w:p>
    <w:p w:rsidR="00C27419" w:rsidRDefault="00C27419" w:rsidP="009D0DD0">
      <w:pPr>
        <w:pStyle w:val="ListParagraph"/>
        <w:numPr>
          <w:ilvl w:val="0"/>
          <w:numId w:val="7"/>
        </w:numPr>
        <w:spacing w:line="360" w:lineRule="auto"/>
        <w:jc w:val="both"/>
      </w:pPr>
      <w:r>
        <w:t>Gender sensitive p</w:t>
      </w:r>
      <w:r w:rsidR="00645B85">
        <w:t xml:space="preserve">olicies are strikingly limited although some project interventions </w:t>
      </w:r>
      <w:r w:rsidR="00266B8C">
        <w:t>namely IPAC</w:t>
      </w:r>
      <w:r w:rsidR="00645B85">
        <w:t>, CREL</w:t>
      </w:r>
      <w:r w:rsidR="00266B8C">
        <w:t xml:space="preserve"> </w:t>
      </w:r>
      <w:r w:rsidR="00645B85">
        <w:t xml:space="preserve">  has created some initial provisions.  </w:t>
      </w:r>
      <w:r>
        <w:t xml:space="preserve">Vulnerabilities of women to </w:t>
      </w:r>
      <w:r>
        <w:lastRenderedPageBreak/>
        <w:t xml:space="preserve">climate change and related issues may address superficially without adequate quantification but hardly included in the operational planning process.  </w:t>
      </w:r>
    </w:p>
    <w:p w:rsidR="00C27419" w:rsidRDefault="00C27419" w:rsidP="009D0DD0">
      <w:pPr>
        <w:pStyle w:val="ListParagraph"/>
        <w:numPr>
          <w:ilvl w:val="0"/>
          <w:numId w:val="7"/>
        </w:numPr>
        <w:spacing w:line="360" w:lineRule="auto"/>
        <w:jc w:val="both"/>
      </w:pPr>
      <w:r>
        <w:t>Ensuring livelihood security of the forest dependent community particularly vulnerable women and their family members using sustainable forest management principles are crucial.</w:t>
      </w:r>
      <w:r w:rsidR="00D011D5">
        <w:t xml:space="preserve"> Studies revealed that poor women without a male guardian are more vulnerable hence largely inclined to forest resources and their extraction</w:t>
      </w:r>
      <w:r w:rsidR="00836F56">
        <w:t>.</w:t>
      </w:r>
      <w:r w:rsidR="00645B85">
        <w:t xml:space="preserve"> REDD+ planning strategy need to consider this.</w:t>
      </w:r>
    </w:p>
    <w:p w:rsidR="008976BD" w:rsidRDefault="008976BD" w:rsidP="009D0DD0">
      <w:pPr>
        <w:pStyle w:val="ListParagraph"/>
        <w:numPr>
          <w:ilvl w:val="0"/>
          <w:numId w:val="7"/>
        </w:numPr>
        <w:spacing w:line="360" w:lineRule="auto"/>
        <w:jc w:val="both"/>
      </w:pPr>
      <w:r>
        <w:t xml:space="preserve">Education, information and decision-making power </w:t>
      </w:r>
      <w:r w:rsidR="00644417">
        <w:t xml:space="preserve">are the major </w:t>
      </w:r>
      <w:r w:rsidR="00C50A1C">
        <w:t>determinants to</w:t>
      </w:r>
      <w:r>
        <w:t xml:space="preserve"> combat the </w:t>
      </w:r>
      <w:r w:rsidR="00644417">
        <w:t xml:space="preserve">problems </w:t>
      </w:r>
      <w:r>
        <w:t xml:space="preserve">of deforestation and forest degradation thus </w:t>
      </w:r>
      <w:r w:rsidR="00644417">
        <w:t>assessing gender role in three of these aspects need to be quantified.</w:t>
      </w:r>
    </w:p>
    <w:p w:rsidR="00644417" w:rsidRDefault="00644417" w:rsidP="009D0DD0">
      <w:pPr>
        <w:pStyle w:val="ListParagraph"/>
        <w:numPr>
          <w:ilvl w:val="0"/>
          <w:numId w:val="7"/>
        </w:numPr>
        <w:spacing w:line="360" w:lineRule="auto"/>
        <w:jc w:val="both"/>
      </w:pPr>
      <w:r>
        <w:t>Dependency on forest and its</w:t>
      </w:r>
      <w:r w:rsidR="00C50A1C">
        <w:t xml:space="preserve"> resources</w:t>
      </w:r>
      <w:r>
        <w:t xml:space="preserve"> </w:t>
      </w:r>
      <w:r w:rsidR="00C50A1C">
        <w:t xml:space="preserve">depends on many factors including the distance of living from forest. However, while conducting baseline survey to determine the resource dependency of the community i.e. men, women and young groups, it is imperative to take into consideration of the people living away from the forest area. </w:t>
      </w:r>
    </w:p>
    <w:p w:rsidR="00C50A1C" w:rsidRDefault="00C50A1C" w:rsidP="009D0DD0">
      <w:pPr>
        <w:pStyle w:val="ListParagraph"/>
        <w:numPr>
          <w:ilvl w:val="0"/>
          <w:numId w:val="7"/>
        </w:numPr>
        <w:spacing w:line="360" w:lineRule="auto"/>
        <w:jc w:val="both"/>
      </w:pPr>
      <w:r>
        <w:t xml:space="preserve">Equitable engagement of women will strengthen joint decision making process provided their contributions are well documented and </w:t>
      </w:r>
      <w:r w:rsidR="00836F56">
        <w:t>acknowledged (Section-4.5.1)</w:t>
      </w:r>
      <w:r>
        <w:t>.</w:t>
      </w:r>
    </w:p>
    <w:p w:rsidR="006C2E72" w:rsidRDefault="006C2E72" w:rsidP="009D0DD0">
      <w:pPr>
        <w:pStyle w:val="ListParagraph"/>
        <w:numPr>
          <w:ilvl w:val="0"/>
          <w:numId w:val="7"/>
        </w:numPr>
        <w:spacing w:line="360" w:lineRule="auto"/>
        <w:jc w:val="both"/>
      </w:pPr>
      <w:r>
        <w:t>In co-management of forest protected areas as well as in wetlands</w:t>
      </w:r>
      <w:r w:rsidR="002A3868">
        <w:t>,</w:t>
      </w:r>
      <w:r>
        <w:t xml:space="preserve"> the engagement of women has been formalized through legal fra</w:t>
      </w:r>
      <w:r w:rsidR="002A3868">
        <w:t>mework and gazette notification. H</w:t>
      </w:r>
      <w:r>
        <w:t xml:space="preserve">owever, their active participation in decision-making </w:t>
      </w:r>
      <w:r w:rsidR="002A3868">
        <w:t xml:space="preserve">process is </w:t>
      </w:r>
      <w:r>
        <w:t>still a limiting factor. REDD+ program need to work further</w:t>
      </w:r>
      <w:r w:rsidR="009D0DD0">
        <w:t xml:space="preserve"> to operational engagement of the women groups.</w:t>
      </w:r>
      <w:r>
        <w:t xml:space="preserve"> </w:t>
      </w:r>
    </w:p>
    <w:p w:rsidR="006C2E72" w:rsidRDefault="006C2E72" w:rsidP="009D0DD0">
      <w:pPr>
        <w:pStyle w:val="ListParagraph"/>
        <w:numPr>
          <w:ilvl w:val="0"/>
          <w:numId w:val="7"/>
        </w:numPr>
        <w:spacing w:line="360" w:lineRule="auto"/>
        <w:jc w:val="both"/>
      </w:pPr>
      <w:r>
        <w:t>Fuelwood collection for domestic uses as well as for livelihood purposes is a critical factor of deforestation and forest degradation. Creating alternative in this regard, may impose positive</w:t>
      </w:r>
      <w:r w:rsidR="003307B4">
        <w:t xml:space="preserve"> impacts</w:t>
      </w:r>
      <w:r>
        <w:t xml:space="preserve">. </w:t>
      </w:r>
    </w:p>
    <w:p w:rsidR="009D0DD0" w:rsidRDefault="004227E4" w:rsidP="009D0DD0">
      <w:pPr>
        <w:pStyle w:val="ListParagraph"/>
        <w:numPr>
          <w:ilvl w:val="0"/>
          <w:numId w:val="7"/>
        </w:numPr>
        <w:spacing w:line="360" w:lineRule="auto"/>
        <w:jc w:val="both"/>
      </w:pPr>
      <w:r>
        <w:t xml:space="preserve">Forest dependency reduction and creating safeguards are mutually related.  </w:t>
      </w:r>
      <w:r w:rsidR="009D0DD0">
        <w:t xml:space="preserve">Scopes of alternative income generation (AIG) may reduce the dependency on forest resources particularly </w:t>
      </w:r>
      <w:r>
        <w:t xml:space="preserve">on </w:t>
      </w:r>
      <w:proofErr w:type="spellStart"/>
      <w:r w:rsidR="009D0DD0">
        <w:t>NTFPs</w:t>
      </w:r>
      <w:proofErr w:type="spellEnd"/>
      <w:r w:rsidR="009D0DD0">
        <w:t xml:space="preserve">, timber, fuelwood. </w:t>
      </w:r>
      <w:r>
        <w:t>Thus e</w:t>
      </w:r>
      <w:r w:rsidR="009D0DD0">
        <w:t xml:space="preserve">nsuring effective AIG activities is crucial factor to be considered while devising national REDD+ strategy. </w:t>
      </w:r>
    </w:p>
    <w:p w:rsidR="00850988" w:rsidRPr="00173781" w:rsidRDefault="00B37F73" w:rsidP="00D96B21">
      <w:pPr>
        <w:pStyle w:val="Heading1"/>
        <w:spacing w:line="360" w:lineRule="auto"/>
      </w:pPr>
      <w:bookmarkStart w:id="50" w:name="_Toc510958610"/>
      <w:bookmarkStart w:id="51" w:name="_Toc515223803"/>
      <w:r w:rsidRPr="00173781">
        <w:lastRenderedPageBreak/>
        <w:t>7</w:t>
      </w:r>
      <w:r w:rsidR="003307B4" w:rsidRPr="00173781">
        <w:t>. Conclusion</w:t>
      </w:r>
      <w:bookmarkEnd w:id="50"/>
      <w:bookmarkEnd w:id="51"/>
    </w:p>
    <w:p w:rsidR="00B37F73" w:rsidRDefault="003307B4" w:rsidP="00173781">
      <w:pPr>
        <w:spacing w:line="360" w:lineRule="auto"/>
        <w:jc w:val="both"/>
      </w:pPr>
      <w:r w:rsidRPr="003307B4">
        <w:t xml:space="preserve">National REDD+ program has got multiple benefits to forest conservation and to </w:t>
      </w:r>
      <w:r>
        <w:t xml:space="preserve">the </w:t>
      </w:r>
      <w:r w:rsidRPr="003307B4">
        <w:t xml:space="preserve">community </w:t>
      </w:r>
      <w:r>
        <w:t xml:space="preserve">participating in the process. At the same time </w:t>
      </w:r>
      <w:r w:rsidR="007F085F">
        <w:t>increasing resilience</w:t>
      </w:r>
      <w:r>
        <w:t xml:space="preserve"> capacity and combating climate</w:t>
      </w:r>
      <w:r w:rsidR="007F085F">
        <w:t xml:space="preserve"> </w:t>
      </w:r>
      <w:r>
        <w:t>induced vulnerabilities RE</w:t>
      </w:r>
      <w:r w:rsidR="007F085F">
        <w:t>D</w:t>
      </w:r>
      <w:r>
        <w:t>D+</w:t>
      </w:r>
      <w:r w:rsidR="007F085F">
        <w:t xml:space="preserve"> program </w:t>
      </w:r>
      <w:r w:rsidRPr="003307B4">
        <w:t>contributing</w:t>
      </w:r>
      <w:r>
        <w:t xml:space="preserve"> </w:t>
      </w:r>
      <w:r w:rsidRPr="003307B4">
        <w:t xml:space="preserve">towards </w:t>
      </w:r>
      <w:r>
        <w:t xml:space="preserve">the initiatives. </w:t>
      </w:r>
      <w:r w:rsidR="00DA6031">
        <w:t xml:space="preserve">Assessing </w:t>
      </w:r>
      <w:r>
        <w:t xml:space="preserve">the gender dimension </w:t>
      </w:r>
      <w:r w:rsidR="007F085F">
        <w:t xml:space="preserve">by </w:t>
      </w:r>
      <w:r w:rsidR="00DA6031">
        <w:t>determining</w:t>
      </w:r>
      <w:r w:rsidR="007F085F">
        <w:t xml:space="preserve"> the actual </w:t>
      </w:r>
      <w:r w:rsidR="00DA6031">
        <w:t>figures</w:t>
      </w:r>
      <w:r w:rsidR="007F085F">
        <w:t xml:space="preserve"> </w:t>
      </w:r>
      <w:r>
        <w:t xml:space="preserve">may have positive proposition </w:t>
      </w:r>
      <w:r w:rsidR="007F085F">
        <w:t xml:space="preserve">to </w:t>
      </w:r>
      <w:r w:rsidRPr="003307B4">
        <w:t>conservation</w:t>
      </w:r>
      <w:r w:rsidR="007F085F">
        <w:t xml:space="preserve"> and for acquiring result based payments</w:t>
      </w:r>
      <w:r w:rsidRPr="003307B4">
        <w:t xml:space="preserve">. </w:t>
      </w:r>
      <w:bookmarkStart w:id="52" w:name="_Toc510958611"/>
    </w:p>
    <w:p w:rsidR="007D1834" w:rsidRPr="007D1834" w:rsidRDefault="007D1834" w:rsidP="007D1834"/>
    <w:p w:rsidR="00716E71" w:rsidRPr="00A47196" w:rsidRDefault="00B37F73" w:rsidP="00A47196">
      <w:pPr>
        <w:pStyle w:val="Heading1"/>
      </w:pPr>
      <w:bookmarkStart w:id="53" w:name="_Toc515223804"/>
      <w:r w:rsidRPr="00173781">
        <w:t>8</w:t>
      </w:r>
      <w:r w:rsidR="007C49ED" w:rsidRPr="00173781">
        <w:t xml:space="preserve">. </w:t>
      </w:r>
      <w:r w:rsidR="00E105C1" w:rsidRPr="00173781">
        <w:t>References</w:t>
      </w:r>
      <w:bookmarkEnd w:id="52"/>
      <w:bookmarkEnd w:id="53"/>
      <w:r w:rsidR="00E105C1" w:rsidRPr="00173781">
        <w:t xml:space="preserve"> </w:t>
      </w:r>
    </w:p>
    <w:p w:rsidR="00716E71" w:rsidRPr="009B4C9B" w:rsidRDefault="00716E71" w:rsidP="00A97008">
      <w:pPr>
        <w:spacing w:before="0" w:after="0" w:line="240" w:lineRule="auto"/>
        <w:ind w:left="630"/>
        <w:jc w:val="both"/>
        <w:rPr>
          <w:rFonts w:asciiTheme="minorHAnsi" w:hAnsiTheme="minorHAnsi"/>
          <w:bCs/>
          <w:highlight w:val="yellow"/>
        </w:rPr>
      </w:pPr>
    </w:p>
    <w:p w:rsidR="00716E71" w:rsidRPr="00106BD2" w:rsidRDefault="00716E71" w:rsidP="00C74F86">
      <w:pPr>
        <w:numPr>
          <w:ilvl w:val="0"/>
          <w:numId w:val="1"/>
        </w:numPr>
        <w:spacing w:before="0" w:after="0"/>
        <w:jc w:val="both"/>
        <w:rPr>
          <w:rFonts w:asciiTheme="minorHAnsi" w:hAnsiTheme="minorHAnsi"/>
          <w:bCs/>
        </w:rPr>
      </w:pPr>
      <w:r w:rsidRPr="00106BD2">
        <w:rPr>
          <w:rFonts w:asciiTheme="minorHAnsi" w:hAnsiTheme="minorHAnsi"/>
          <w:bCs/>
        </w:rPr>
        <w:t xml:space="preserve">Ahmad, M. R. and J. G. </w:t>
      </w:r>
      <w:proofErr w:type="spellStart"/>
      <w:r w:rsidRPr="00106BD2">
        <w:rPr>
          <w:rFonts w:asciiTheme="minorHAnsi" w:hAnsiTheme="minorHAnsi"/>
          <w:bCs/>
        </w:rPr>
        <w:t>Laarman</w:t>
      </w:r>
      <w:proofErr w:type="spellEnd"/>
      <w:r w:rsidRPr="00106BD2">
        <w:rPr>
          <w:rFonts w:asciiTheme="minorHAnsi" w:hAnsiTheme="minorHAnsi"/>
          <w:bCs/>
        </w:rPr>
        <w:t>, 2000. Gender equity in social forestry programs in Bangladesh, Human Ecology, Vol. 28(</w:t>
      </w:r>
      <w:r w:rsidRPr="00106BD2">
        <w:rPr>
          <w:rFonts w:asciiTheme="minorHAnsi" w:hAnsiTheme="minorHAnsi"/>
          <w:b/>
          <w:bCs/>
        </w:rPr>
        <w:t>3</w:t>
      </w:r>
      <w:r w:rsidRPr="00106BD2">
        <w:rPr>
          <w:rFonts w:asciiTheme="minorHAnsi" w:hAnsiTheme="minorHAnsi"/>
          <w:bCs/>
        </w:rPr>
        <w:t>): 433-450.</w:t>
      </w:r>
    </w:p>
    <w:p w:rsidR="00716E71" w:rsidRPr="00106BD2" w:rsidRDefault="00716E71" w:rsidP="00C74F86">
      <w:pPr>
        <w:numPr>
          <w:ilvl w:val="0"/>
          <w:numId w:val="1"/>
        </w:numPr>
        <w:autoSpaceDE w:val="0"/>
        <w:autoSpaceDN w:val="0"/>
        <w:adjustRightInd w:val="0"/>
        <w:jc w:val="both"/>
        <w:rPr>
          <w:rFonts w:asciiTheme="minorHAnsi" w:hAnsiTheme="minorHAnsi"/>
        </w:rPr>
      </w:pPr>
      <w:r w:rsidRPr="00106BD2">
        <w:rPr>
          <w:rFonts w:asciiTheme="minorHAnsi" w:hAnsiTheme="minorHAnsi"/>
          <w:bCs/>
        </w:rPr>
        <w:t>Akhter  S, Alamgir M, Sohel M. S. I., Rana M. P., S. Ahmed J M and Chowdhury M. S. H., 2010</w:t>
      </w:r>
      <w:r w:rsidRPr="00106BD2">
        <w:rPr>
          <w:rFonts w:asciiTheme="minorHAnsi" w:hAnsiTheme="minorHAnsi"/>
        </w:rPr>
        <w:t xml:space="preserve">. </w:t>
      </w:r>
      <w:r w:rsidRPr="00106BD2">
        <w:rPr>
          <w:rFonts w:asciiTheme="minorHAnsi" w:hAnsiTheme="minorHAnsi"/>
          <w:bCs/>
        </w:rPr>
        <w:t xml:space="preserve">The role of women in traditional farming systems as practiced in home gardens: a case study in Sylhet </w:t>
      </w:r>
      <w:proofErr w:type="spellStart"/>
      <w:r w:rsidRPr="00106BD2">
        <w:rPr>
          <w:rFonts w:asciiTheme="minorHAnsi" w:hAnsiTheme="minorHAnsi"/>
          <w:bCs/>
        </w:rPr>
        <w:t>Sadar</w:t>
      </w:r>
      <w:proofErr w:type="spellEnd"/>
      <w:r w:rsidRPr="00106BD2">
        <w:rPr>
          <w:rFonts w:asciiTheme="minorHAnsi" w:hAnsiTheme="minorHAnsi"/>
          <w:bCs/>
        </w:rPr>
        <w:t xml:space="preserve"> </w:t>
      </w:r>
      <w:proofErr w:type="spellStart"/>
      <w:r w:rsidRPr="00106BD2">
        <w:rPr>
          <w:rFonts w:asciiTheme="minorHAnsi" w:hAnsiTheme="minorHAnsi"/>
          <w:bCs/>
        </w:rPr>
        <w:t>Upazila</w:t>
      </w:r>
      <w:proofErr w:type="spellEnd"/>
      <w:r w:rsidRPr="00106BD2">
        <w:rPr>
          <w:rFonts w:asciiTheme="minorHAnsi" w:hAnsiTheme="minorHAnsi"/>
          <w:bCs/>
        </w:rPr>
        <w:t>, Bangladesh, Tropical Conservation Science, Vol.</w:t>
      </w:r>
      <w:r w:rsidR="00106BD2">
        <w:rPr>
          <w:rFonts w:asciiTheme="minorHAnsi" w:hAnsiTheme="minorHAnsi"/>
          <w:bCs/>
        </w:rPr>
        <w:t xml:space="preserve"> </w:t>
      </w:r>
      <w:r w:rsidRPr="00106BD2">
        <w:rPr>
          <w:rFonts w:asciiTheme="minorHAnsi" w:hAnsiTheme="minorHAnsi"/>
          <w:bCs/>
        </w:rPr>
        <w:t>3(</w:t>
      </w:r>
      <w:r w:rsidRPr="00106BD2">
        <w:rPr>
          <w:rFonts w:asciiTheme="minorHAnsi" w:hAnsiTheme="minorHAnsi"/>
          <w:b/>
          <w:bCs/>
        </w:rPr>
        <w:t>1</w:t>
      </w:r>
      <w:r w:rsidRPr="00106BD2">
        <w:rPr>
          <w:rFonts w:asciiTheme="minorHAnsi" w:hAnsiTheme="minorHAnsi"/>
          <w:bCs/>
        </w:rPr>
        <w:t>):17-30.</w:t>
      </w:r>
    </w:p>
    <w:p w:rsidR="00716E71" w:rsidRPr="00106BD2" w:rsidRDefault="00716E71" w:rsidP="00C74F86">
      <w:pPr>
        <w:pStyle w:val="FootnoteText"/>
        <w:numPr>
          <w:ilvl w:val="0"/>
          <w:numId w:val="1"/>
        </w:numPr>
        <w:spacing w:line="276" w:lineRule="auto"/>
        <w:rPr>
          <w:rFonts w:asciiTheme="minorHAnsi" w:hAnsiTheme="minorHAnsi"/>
        </w:rPr>
      </w:pPr>
      <w:r w:rsidRPr="00106BD2">
        <w:rPr>
          <w:rFonts w:asciiTheme="minorHAnsi" w:hAnsiTheme="minorHAnsi"/>
        </w:rPr>
        <w:t xml:space="preserve">Ali, M., M Alamgir Kabir and A T M Rafiqul Hoque, 2006. People’s Attitude and Use of Forestland: Co-Evolution of Forest Administration in Bangladesh’, </w:t>
      </w:r>
      <w:r w:rsidRPr="00106BD2">
        <w:rPr>
          <w:rFonts w:asciiTheme="minorHAnsi" w:hAnsiTheme="minorHAnsi"/>
          <w:i/>
        </w:rPr>
        <w:t>Small-Scale Forest Economics, Management and Policy</w:t>
      </w:r>
      <w:r w:rsidRPr="00106BD2">
        <w:rPr>
          <w:rFonts w:asciiTheme="minorHAnsi" w:hAnsiTheme="minorHAnsi"/>
        </w:rPr>
        <w:t>, Vo. 5(2): 271, 273.</w:t>
      </w:r>
    </w:p>
    <w:p w:rsidR="00716E71" w:rsidRPr="00106BD2" w:rsidRDefault="00716E71" w:rsidP="00C74F86">
      <w:pPr>
        <w:pStyle w:val="FootnoteText"/>
        <w:numPr>
          <w:ilvl w:val="0"/>
          <w:numId w:val="1"/>
        </w:numPr>
        <w:spacing w:line="276" w:lineRule="auto"/>
        <w:rPr>
          <w:rFonts w:asciiTheme="minorHAnsi" w:hAnsiTheme="minorHAnsi"/>
        </w:rPr>
      </w:pPr>
      <w:proofErr w:type="spellStart"/>
      <w:r w:rsidRPr="00106BD2">
        <w:rPr>
          <w:rFonts w:asciiTheme="minorHAnsi" w:hAnsiTheme="minorHAnsi"/>
        </w:rPr>
        <w:t>Belchar</w:t>
      </w:r>
      <w:proofErr w:type="spellEnd"/>
      <w:r w:rsidRPr="00106BD2">
        <w:rPr>
          <w:rFonts w:asciiTheme="minorHAnsi" w:hAnsiTheme="minorHAnsi"/>
        </w:rPr>
        <w:t xml:space="preserve">, B.; M. Ruiz-Perez and R., </w:t>
      </w:r>
      <w:proofErr w:type="spellStart"/>
      <w:r w:rsidRPr="00106BD2">
        <w:rPr>
          <w:rFonts w:asciiTheme="minorHAnsi" w:hAnsiTheme="minorHAnsi"/>
        </w:rPr>
        <w:t>Achidiawan</w:t>
      </w:r>
      <w:proofErr w:type="spellEnd"/>
      <w:r w:rsidRPr="00106BD2">
        <w:rPr>
          <w:rFonts w:asciiTheme="minorHAnsi" w:hAnsiTheme="minorHAnsi"/>
        </w:rPr>
        <w:t xml:space="preserve">, 2005. Global pattern ad tends in the use and management of commercial NTFPs: implications for livelihoods and conservation, </w:t>
      </w:r>
      <w:r w:rsidRPr="00106BD2">
        <w:rPr>
          <w:rFonts w:asciiTheme="minorHAnsi" w:hAnsiTheme="minorHAnsi"/>
          <w:i/>
        </w:rPr>
        <w:t>World Dev</w:t>
      </w:r>
      <w:r w:rsidRPr="00106BD2">
        <w:rPr>
          <w:rFonts w:asciiTheme="minorHAnsi" w:hAnsiTheme="minorHAnsi"/>
        </w:rPr>
        <w:t>. Vol. 33(</w:t>
      </w:r>
      <w:r w:rsidRPr="00106BD2">
        <w:rPr>
          <w:rFonts w:asciiTheme="minorHAnsi" w:hAnsiTheme="minorHAnsi"/>
          <w:b/>
        </w:rPr>
        <w:t>9</w:t>
      </w:r>
      <w:r w:rsidRPr="00106BD2">
        <w:rPr>
          <w:rFonts w:asciiTheme="minorHAnsi" w:hAnsiTheme="minorHAnsi"/>
        </w:rPr>
        <w:t>):1435-1452.</w:t>
      </w:r>
    </w:p>
    <w:p w:rsidR="00716E71" w:rsidRPr="00106BD2" w:rsidRDefault="00716E71" w:rsidP="00C74F86">
      <w:pPr>
        <w:numPr>
          <w:ilvl w:val="0"/>
          <w:numId w:val="1"/>
        </w:numPr>
        <w:spacing w:before="0" w:after="0"/>
        <w:jc w:val="both"/>
        <w:rPr>
          <w:rFonts w:asciiTheme="minorHAnsi" w:hAnsiTheme="minorHAnsi"/>
          <w:bCs/>
        </w:rPr>
      </w:pPr>
      <w:r w:rsidRPr="00106BD2">
        <w:rPr>
          <w:rFonts w:asciiTheme="minorHAnsi" w:hAnsiTheme="minorHAnsi"/>
          <w:bCs/>
        </w:rPr>
        <w:t xml:space="preserve">BFD, 2010. Integrated resource management plan for the Sundarbans (2010-2020) Vol-1, Bangladesh Forest Department and </w:t>
      </w:r>
      <w:proofErr w:type="spellStart"/>
      <w:r w:rsidRPr="00106BD2">
        <w:rPr>
          <w:rFonts w:asciiTheme="minorHAnsi" w:hAnsiTheme="minorHAnsi"/>
          <w:bCs/>
        </w:rPr>
        <w:t>Nishorgo</w:t>
      </w:r>
      <w:proofErr w:type="spellEnd"/>
      <w:r w:rsidRPr="00106BD2">
        <w:rPr>
          <w:rFonts w:asciiTheme="minorHAnsi" w:hAnsiTheme="minorHAnsi"/>
          <w:bCs/>
        </w:rPr>
        <w:t xml:space="preserve"> Network, Dhaka, Bangladesh, 323pp.</w:t>
      </w:r>
    </w:p>
    <w:p w:rsidR="00716E71" w:rsidRPr="00106BD2" w:rsidRDefault="00716E71" w:rsidP="00C74F86">
      <w:pPr>
        <w:numPr>
          <w:ilvl w:val="0"/>
          <w:numId w:val="1"/>
        </w:numPr>
        <w:jc w:val="both"/>
        <w:rPr>
          <w:rFonts w:asciiTheme="minorHAnsi" w:hAnsiTheme="minorHAnsi"/>
        </w:rPr>
      </w:pPr>
      <w:r w:rsidRPr="00106BD2">
        <w:rPr>
          <w:rFonts w:asciiTheme="minorHAnsi" w:hAnsiTheme="minorHAnsi"/>
        </w:rPr>
        <w:t xml:space="preserve">Chowdhury M. S. H. Koike M, Akther, S. and Miah M. D., 2011. </w:t>
      </w:r>
      <w:r w:rsidRPr="00106BD2">
        <w:rPr>
          <w:rFonts w:asciiTheme="minorHAnsi" w:hAnsiTheme="minorHAnsi"/>
          <w:bCs/>
        </w:rPr>
        <w:t>Biomass fuel use, burning technique and reasons for the denial of improved cooking stove by the Forest User Groups of Rema-</w:t>
      </w:r>
      <w:proofErr w:type="spellStart"/>
      <w:r w:rsidRPr="00106BD2">
        <w:rPr>
          <w:rFonts w:asciiTheme="minorHAnsi" w:hAnsiTheme="minorHAnsi"/>
          <w:bCs/>
        </w:rPr>
        <w:t>Kalenga</w:t>
      </w:r>
      <w:proofErr w:type="spellEnd"/>
      <w:r w:rsidRPr="00106BD2">
        <w:rPr>
          <w:rFonts w:asciiTheme="minorHAnsi" w:hAnsiTheme="minorHAnsi"/>
          <w:bCs/>
        </w:rPr>
        <w:t xml:space="preserve"> Wildlife Sanctuary, Bangladesh, </w:t>
      </w:r>
      <w:r w:rsidRPr="00106BD2">
        <w:rPr>
          <w:rFonts w:asciiTheme="minorHAnsi" w:hAnsiTheme="minorHAnsi"/>
          <w:bCs/>
          <w:i/>
        </w:rPr>
        <w:t xml:space="preserve">International Journal of Sustainable Development &amp; World Ecology, </w:t>
      </w:r>
      <w:r w:rsidRPr="00106BD2">
        <w:rPr>
          <w:rFonts w:asciiTheme="minorHAnsi" w:hAnsiTheme="minorHAnsi"/>
          <w:bCs/>
        </w:rPr>
        <w:t>Vol. 18(</w:t>
      </w:r>
      <w:r w:rsidRPr="00106BD2">
        <w:rPr>
          <w:rFonts w:asciiTheme="minorHAnsi" w:hAnsiTheme="minorHAnsi"/>
          <w:b/>
          <w:bCs/>
        </w:rPr>
        <w:t>1</w:t>
      </w:r>
      <w:r w:rsidRPr="00106BD2">
        <w:rPr>
          <w:rFonts w:asciiTheme="minorHAnsi" w:hAnsiTheme="minorHAnsi"/>
          <w:bCs/>
        </w:rPr>
        <w:t>):88-97.</w:t>
      </w:r>
      <w:r w:rsidRPr="00106BD2">
        <w:rPr>
          <w:rFonts w:asciiTheme="minorHAnsi" w:hAnsiTheme="minorHAnsi"/>
        </w:rPr>
        <w:t xml:space="preserve"> </w:t>
      </w:r>
    </w:p>
    <w:p w:rsidR="00716E71" w:rsidRPr="00106BD2" w:rsidRDefault="00716E71" w:rsidP="00C74F86">
      <w:pPr>
        <w:numPr>
          <w:ilvl w:val="0"/>
          <w:numId w:val="1"/>
        </w:numPr>
        <w:spacing w:before="0" w:after="0"/>
        <w:jc w:val="both"/>
        <w:rPr>
          <w:rFonts w:asciiTheme="minorHAnsi" w:hAnsiTheme="minorHAnsi"/>
          <w:bCs/>
        </w:rPr>
      </w:pPr>
      <w:r w:rsidRPr="00106BD2">
        <w:rPr>
          <w:rFonts w:asciiTheme="minorHAnsi" w:hAnsiTheme="minorHAnsi"/>
          <w:bCs/>
        </w:rPr>
        <w:t xml:space="preserve">Chowdhury, S. H and M. Koike, 2010. An overview on the protected area system for forest conservation in Bangladesh, </w:t>
      </w:r>
      <w:r w:rsidRPr="00106BD2">
        <w:rPr>
          <w:rFonts w:asciiTheme="minorHAnsi" w:hAnsiTheme="minorHAnsi"/>
          <w:bCs/>
          <w:i/>
        </w:rPr>
        <w:t>Journal of Forestry Research</w:t>
      </w:r>
      <w:r w:rsidRPr="00106BD2">
        <w:rPr>
          <w:rFonts w:asciiTheme="minorHAnsi" w:hAnsiTheme="minorHAnsi"/>
          <w:bCs/>
        </w:rPr>
        <w:t>, Vol 21(</w:t>
      </w:r>
      <w:r w:rsidRPr="00106BD2">
        <w:rPr>
          <w:rFonts w:asciiTheme="minorHAnsi" w:hAnsiTheme="minorHAnsi"/>
          <w:b/>
          <w:bCs/>
        </w:rPr>
        <w:t>1</w:t>
      </w:r>
      <w:r w:rsidRPr="00106BD2">
        <w:rPr>
          <w:rFonts w:asciiTheme="minorHAnsi" w:hAnsiTheme="minorHAnsi"/>
          <w:bCs/>
        </w:rPr>
        <w:t>): 111-118.</w:t>
      </w:r>
    </w:p>
    <w:p w:rsidR="00716E71" w:rsidRPr="00106BD2" w:rsidRDefault="00716E71" w:rsidP="00C74F86">
      <w:pPr>
        <w:numPr>
          <w:ilvl w:val="0"/>
          <w:numId w:val="1"/>
        </w:numPr>
        <w:autoSpaceDE w:val="0"/>
        <w:autoSpaceDN w:val="0"/>
        <w:adjustRightInd w:val="0"/>
        <w:jc w:val="both"/>
        <w:rPr>
          <w:rFonts w:asciiTheme="minorHAnsi" w:hAnsiTheme="minorHAnsi"/>
        </w:rPr>
      </w:pPr>
      <w:r w:rsidRPr="00106BD2">
        <w:rPr>
          <w:rFonts w:asciiTheme="minorHAnsi" w:hAnsiTheme="minorHAnsi"/>
        </w:rPr>
        <w:t xml:space="preserve">CREL, 2013. Annual progress report, October 2012-Septtember, 2013, </w:t>
      </w:r>
      <w:proofErr w:type="spellStart"/>
      <w:r w:rsidRPr="00106BD2">
        <w:rPr>
          <w:rFonts w:asciiTheme="minorHAnsi" w:hAnsiTheme="minorHAnsi"/>
        </w:rPr>
        <w:t>Winrock</w:t>
      </w:r>
      <w:proofErr w:type="spellEnd"/>
      <w:r w:rsidRPr="00106BD2">
        <w:rPr>
          <w:rFonts w:asciiTheme="minorHAnsi" w:hAnsiTheme="minorHAnsi"/>
        </w:rPr>
        <w:t xml:space="preserve"> International and USAID, Dhaka, Bangladesh.</w:t>
      </w:r>
    </w:p>
    <w:p w:rsidR="00716E71" w:rsidRPr="00106BD2" w:rsidRDefault="00716E71" w:rsidP="00C74F86">
      <w:pPr>
        <w:numPr>
          <w:ilvl w:val="0"/>
          <w:numId w:val="1"/>
        </w:numPr>
        <w:autoSpaceDE w:val="0"/>
        <w:autoSpaceDN w:val="0"/>
        <w:adjustRightInd w:val="0"/>
        <w:jc w:val="both"/>
        <w:rPr>
          <w:rFonts w:asciiTheme="minorHAnsi" w:hAnsiTheme="minorHAnsi"/>
        </w:rPr>
      </w:pPr>
      <w:r w:rsidRPr="00106BD2">
        <w:rPr>
          <w:rFonts w:asciiTheme="minorHAnsi" w:hAnsiTheme="minorHAnsi"/>
        </w:rPr>
        <w:t xml:space="preserve">CREL, 2014a. Annual progress report, October 2013- September, 2014, </w:t>
      </w:r>
      <w:proofErr w:type="spellStart"/>
      <w:r w:rsidRPr="00106BD2">
        <w:rPr>
          <w:rFonts w:asciiTheme="minorHAnsi" w:hAnsiTheme="minorHAnsi"/>
        </w:rPr>
        <w:t>Winrock</w:t>
      </w:r>
      <w:proofErr w:type="spellEnd"/>
      <w:r w:rsidRPr="00106BD2">
        <w:rPr>
          <w:rFonts w:asciiTheme="minorHAnsi" w:hAnsiTheme="minorHAnsi"/>
        </w:rPr>
        <w:t xml:space="preserve"> International and USAID, Dhaka, Bangladesh. </w:t>
      </w:r>
    </w:p>
    <w:p w:rsidR="00716E71" w:rsidRPr="00106BD2" w:rsidRDefault="00716E71" w:rsidP="00C74F86">
      <w:pPr>
        <w:numPr>
          <w:ilvl w:val="0"/>
          <w:numId w:val="1"/>
        </w:numPr>
        <w:autoSpaceDE w:val="0"/>
        <w:autoSpaceDN w:val="0"/>
        <w:adjustRightInd w:val="0"/>
        <w:jc w:val="both"/>
        <w:rPr>
          <w:rFonts w:asciiTheme="minorHAnsi" w:hAnsiTheme="minorHAnsi"/>
        </w:rPr>
      </w:pPr>
      <w:r w:rsidRPr="00106BD2">
        <w:rPr>
          <w:rFonts w:asciiTheme="minorHAnsi" w:hAnsiTheme="minorHAnsi"/>
        </w:rPr>
        <w:lastRenderedPageBreak/>
        <w:t>CREL, 2014b. Gender opportunities and action learning strategies, Climate-Resilient Ecosystems and Livelihood Projects, USAID.</w:t>
      </w:r>
    </w:p>
    <w:p w:rsidR="00716E71" w:rsidRPr="00106BD2" w:rsidRDefault="00716E71" w:rsidP="00C74F86">
      <w:pPr>
        <w:numPr>
          <w:ilvl w:val="0"/>
          <w:numId w:val="1"/>
        </w:numPr>
        <w:autoSpaceDE w:val="0"/>
        <w:autoSpaceDN w:val="0"/>
        <w:adjustRightInd w:val="0"/>
        <w:jc w:val="both"/>
        <w:rPr>
          <w:rFonts w:asciiTheme="minorHAnsi" w:hAnsiTheme="minorHAnsi"/>
        </w:rPr>
      </w:pPr>
      <w:r w:rsidRPr="00106BD2">
        <w:rPr>
          <w:rFonts w:asciiTheme="minorHAnsi" w:hAnsiTheme="minorHAnsi"/>
        </w:rPr>
        <w:t xml:space="preserve">CREL, 2015. Annual progress report, October 2014- September, 2015, </w:t>
      </w:r>
      <w:proofErr w:type="spellStart"/>
      <w:r w:rsidRPr="00106BD2">
        <w:rPr>
          <w:rFonts w:asciiTheme="minorHAnsi" w:hAnsiTheme="minorHAnsi"/>
        </w:rPr>
        <w:t>Winrock</w:t>
      </w:r>
      <w:proofErr w:type="spellEnd"/>
      <w:r w:rsidRPr="00106BD2">
        <w:rPr>
          <w:rFonts w:asciiTheme="minorHAnsi" w:hAnsiTheme="minorHAnsi"/>
        </w:rPr>
        <w:t xml:space="preserve"> International and USAID, Dhaka, Bangladesh. </w:t>
      </w:r>
    </w:p>
    <w:p w:rsidR="00716E71" w:rsidRPr="00106BD2" w:rsidRDefault="00716E71" w:rsidP="00C74F86">
      <w:pPr>
        <w:numPr>
          <w:ilvl w:val="0"/>
          <w:numId w:val="1"/>
        </w:numPr>
        <w:autoSpaceDE w:val="0"/>
        <w:autoSpaceDN w:val="0"/>
        <w:adjustRightInd w:val="0"/>
        <w:jc w:val="both"/>
        <w:rPr>
          <w:rFonts w:asciiTheme="minorHAnsi" w:hAnsiTheme="minorHAnsi"/>
        </w:rPr>
      </w:pPr>
      <w:r w:rsidRPr="00106BD2">
        <w:rPr>
          <w:rFonts w:asciiTheme="minorHAnsi" w:hAnsiTheme="minorHAnsi"/>
        </w:rPr>
        <w:t xml:space="preserve">CREL, 2016. Annual progress report, October 2015- September, 2016, </w:t>
      </w:r>
      <w:proofErr w:type="spellStart"/>
      <w:r w:rsidRPr="00106BD2">
        <w:rPr>
          <w:rFonts w:asciiTheme="minorHAnsi" w:hAnsiTheme="minorHAnsi"/>
        </w:rPr>
        <w:t>Winrock</w:t>
      </w:r>
      <w:proofErr w:type="spellEnd"/>
      <w:r w:rsidRPr="00106BD2">
        <w:rPr>
          <w:rFonts w:asciiTheme="minorHAnsi" w:hAnsiTheme="minorHAnsi"/>
        </w:rPr>
        <w:t xml:space="preserve"> International and USAID, Dhaka, Bangladesh. </w:t>
      </w:r>
    </w:p>
    <w:p w:rsidR="00716E71" w:rsidRPr="00106BD2" w:rsidRDefault="00716E71" w:rsidP="00C74F86">
      <w:pPr>
        <w:numPr>
          <w:ilvl w:val="0"/>
          <w:numId w:val="1"/>
        </w:numPr>
        <w:autoSpaceDE w:val="0"/>
        <w:autoSpaceDN w:val="0"/>
        <w:adjustRightInd w:val="0"/>
        <w:jc w:val="both"/>
        <w:rPr>
          <w:rFonts w:asciiTheme="minorHAnsi" w:hAnsiTheme="minorHAnsi"/>
        </w:rPr>
      </w:pPr>
      <w:r w:rsidRPr="00106BD2">
        <w:rPr>
          <w:rFonts w:asciiTheme="minorHAnsi" w:hAnsiTheme="minorHAnsi"/>
        </w:rPr>
        <w:t xml:space="preserve">CREL, 2017.  Annual progress report, October 2016- September, 2017, </w:t>
      </w:r>
      <w:proofErr w:type="spellStart"/>
      <w:r w:rsidRPr="00106BD2">
        <w:rPr>
          <w:rFonts w:asciiTheme="minorHAnsi" w:hAnsiTheme="minorHAnsi"/>
        </w:rPr>
        <w:t>Winrock</w:t>
      </w:r>
      <w:proofErr w:type="spellEnd"/>
      <w:r w:rsidRPr="00106BD2">
        <w:rPr>
          <w:rFonts w:asciiTheme="minorHAnsi" w:hAnsiTheme="minorHAnsi"/>
        </w:rPr>
        <w:t xml:space="preserve"> International and USAID, Dhaka, Bangladesh. </w:t>
      </w:r>
    </w:p>
    <w:p w:rsidR="00716E71" w:rsidRPr="00106BD2" w:rsidRDefault="00716E71" w:rsidP="00C74F86">
      <w:pPr>
        <w:numPr>
          <w:ilvl w:val="0"/>
          <w:numId w:val="1"/>
        </w:numPr>
        <w:spacing w:before="0" w:after="0"/>
        <w:jc w:val="both"/>
        <w:rPr>
          <w:rFonts w:asciiTheme="minorHAnsi" w:hAnsiTheme="minorHAnsi"/>
          <w:bCs/>
        </w:rPr>
      </w:pPr>
      <w:proofErr w:type="spellStart"/>
      <w:r w:rsidRPr="00106BD2">
        <w:rPr>
          <w:rFonts w:asciiTheme="minorHAnsi" w:hAnsiTheme="minorHAnsi"/>
          <w:bCs/>
        </w:rPr>
        <w:t>DeCosse</w:t>
      </w:r>
      <w:proofErr w:type="spellEnd"/>
      <w:r w:rsidRPr="00106BD2">
        <w:rPr>
          <w:rFonts w:asciiTheme="minorHAnsi" w:hAnsiTheme="minorHAnsi"/>
          <w:bCs/>
        </w:rPr>
        <w:t xml:space="preserve">, </w:t>
      </w:r>
      <w:proofErr w:type="spellStart"/>
      <w:r w:rsidRPr="00106BD2">
        <w:rPr>
          <w:rFonts w:asciiTheme="minorHAnsi" w:hAnsiTheme="minorHAnsi"/>
          <w:bCs/>
        </w:rPr>
        <w:t>P.J</w:t>
      </w:r>
      <w:proofErr w:type="spellEnd"/>
      <w:r w:rsidRPr="00106BD2">
        <w:rPr>
          <w:rFonts w:asciiTheme="minorHAnsi" w:hAnsiTheme="minorHAnsi"/>
          <w:bCs/>
        </w:rPr>
        <w:t>. et al., 2012 (</w:t>
      </w:r>
      <w:proofErr w:type="spellStart"/>
      <w:r w:rsidRPr="00106BD2">
        <w:rPr>
          <w:rFonts w:asciiTheme="minorHAnsi" w:hAnsiTheme="minorHAnsi"/>
          <w:bCs/>
        </w:rPr>
        <w:t>Eds</w:t>
      </w:r>
      <w:proofErr w:type="spellEnd"/>
      <w:r w:rsidRPr="00106BD2">
        <w:rPr>
          <w:rFonts w:asciiTheme="minorHAnsi" w:hAnsiTheme="minorHAnsi"/>
          <w:bCs/>
        </w:rPr>
        <w:t xml:space="preserve">). Protected area co-management where people and poverty intersect-Lessons from </w:t>
      </w:r>
      <w:proofErr w:type="spellStart"/>
      <w:r w:rsidRPr="00106BD2">
        <w:rPr>
          <w:rFonts w:asciiTheme="minorHAnsi" w:hAnsiTheme="minorHAnsi"/>
          <w:bCs/>
        </w:rPr>
        <w:t>Nishorgo</w:t>
      </w:r>
      <w:proofErr w:type="spellEnd"/>
      <w:r w:rsidRPr="00106BD2">
        <w:rPr>
          <w:rFonts w:asciiTheme="minorHAnsi" w:hAnsiTheme="minorHAnsi"/>
          <w:bCs/>
        </w:rPr>
        <w:t xml:space="preserve"> in Bangladesh, </w:t>
      </w:r>
      <w:r w:rsidR="00106BD2">
        <w:rPr>
          <w:rFonts w:asciiTheme="minorHAnsi" w:hAnsiTheme="minorHAnsi"/>
          <w:bCs/>
        </w:rPr>
        <w:t xml:space="preserve">USAID and </w:t>
      </w:r>
      <w:proofErr w:type="spellStart"/>
      <w:r w:rsidR="00106BD2">
        <w:rPr>
          <w:rFonts w:asciiTheme="minorHAnsi" w:hAnsiTheme="minorHAnsi"/>
          <w:bCs/>
        </w:rPr>
        <w:t>Nishorgo</w:t>
      </w:r>
      <w:proofErr w:type="spellEnd"/>
      <w:r w:rsidR="00106BD2">
        <w:rPr>
          <w:rFonts w:asciiTheme="minorHAnsi" w:hAnsiTheme="minorHAnsi"/>
          <w:bCs/>
        </w:rPr>
        <w:t xml:space="preserve"> Network, 346</w:t>
      </w:r>
      <w:r w:rsidRPr="00106BD2">
        <w:rPr>
          <w:rFonts w:asciiTheme="minorHAnsi" w:hAnsiTheme="minorHAnsi"/>
          <w:bCs/>
        </w:rPr>
        <w:t>pp.</w:t>
      </w:r>
    </w:p>
    <w:p w:rsidR="00716E71" w:rsidRPr="00106BD2" w:rsidRDefault="00716E71" w:rsidP="00C74F86">
      <w:pPr>
        <w:numPr>
          <w:ilvl w:val="0"/>
          <w:numId w:val="1"/>
        </w:numPr>
        <w:jc w:val="both"/>
        <w:rPr>
          <w:rFonts w:asciiTheme="minorHAnsi" w:hAnsiTheme="minorHAnsi"/>
          <w:bCs/>
        </w:rPr>
      </w:pPr>
      <w:proofErr w:type="spellStart"/>
      <w:r w:rsidRPr="00106BD2">
        <w:rPr>
          <w:rFonts w:asciiTheme="minorHAnsi" w:hAnsiTheme="minorHAnsi"/>
          <w:bCs/>
        </w:rPr>
        <w:t>Dhali</w:t>
      </w:r>
      <w:proofErr w:type="spellEnd"/>
      <w:r w:rsidRPr="00106BD2">
        <w:rPr>
          <w:rFonts w:asciiTheme="minorHAnsi" w:hAnsiTheme="minorHAnsi"/>
          <w:bCs/>
        </w:rPr>
        <w:t xml:space="preserve"> H. H., 2008. Deforestation and its Impacts on Indigenous Women: A Case from the Chittagong Hill Tracts in Bangladesh, </w:t>
      </w:r>
      <w:r w:rsidRPr="00106BD2">
        <w:rPr>
          <w:rFonts w:asciiTheme="minorHAnsi" w:hAnsiTheme="minorHAnsi"/>
          <w:bCs/>
          <w:i/>
        </w:rPr>
        <w:t>Gender, Technology and Development</w:t>
      </w:r>
      <w:r w:rsidRPr="00106BD2">
        <w:rPr>
          <w:rFonts w:asciiTheme="minorHAnsi" w:hAnsiTheme="minorHAnsi"/>
          <w:bCs/>
        </w:rPr>
        <w:t>, Vol. 12(</w:t>
      </w:r>
      <w:r w:rsidRPr="00106BD2">
        <w:rPr>
          <w:rFonts w:asciiTheme="minorHAnsi" w:hAnsiTheme="minorHAnsi"/>
          <w:b/>
          <w:bCs/>
        </w:rPr>
        <w:t>2</w:t>
      </w:r>
      <w:r w:rsidRPr="00106BD2">
        <w:rPr>
          <w:rFonts w:asciiTheme="minorHAnsi" w:hAnsiTheme="minorHAnsi"/>
          <w:bCs/>
        </w:rPr>
        <w:t>): 229-246.</w:t>
      </w:r>
    </w:p>
    <w:p w:rsidR="00716E71" w:rsidRPr="00106BD2" w:rsidRDefault="00716E71" w:rsidP="00C74F86">
      <w:pPr>
        <w:numPr>
          <w:ilvl w:val="0"/>
          <w:numId w:val="1"/>
        </w:numPr>
        <w:spacing w:before="0" w:after="0"/>
        <w:jc w:val="both"/>
        <w:rPr>
          <w:rFonts w:asciiTheme="minorHAnsi" w:hAnsiTheme="minorHAnsi"/>
          <w:bCs/>
        </w:rPr>
      </w:pPr>
      <w:proofErr w:type="spellStart"/>
      <w:r w:rsidRPr="00106BD2">
        <w:rPr>
          <w:rFonts w:asciiTheme="minorHAnsi" w:hAnsiTheme="minorHAnsi"/>
          <w:bCs/>
        </w:rPr>
        <w:t>Fonjong,L</w:t>
      </w:r>
      <w:proofErr w:type="spellEnd"/>
      <w:r w:rsidRPr="00106BD2">
        <w:rPr>
          <w:rFonts w:asciiTheme="minorHAnsi" w:hAnsiTheme="minorHAnsi"/>
          <w:bCs/>
        </w:rPr>
        <w:t>., 2008. Gender roles and practices in natural resource management in the North West Province of Cameroon, The International Journal of Justice and Sustainability, Vol. 13(</w:t>
      </w:r>
      <w:r w:rsidRPr="00106BD2">
        <w:rPr>
          <w:rFonts w:asciiTheme="minorHAnsi" w:hAnsiTheme="minorHAnsi"/>
          <w:b/>
          <w:bCs/>
        </w:rPr>
        <w:t>5</w:t>
      </w:r>
      <w:r w:rsidRPr="00106BD2">
        <w:rPr>
          <w:rFonts w:asciiTheme="minorHAnsi" w:hAnsiTheme="minorHAnsi"/>
          <w:bCs/>
        </w:rPr>
        <w:t xml:space="preserve">): 461-475. </w:t>
      </w:r>
    </w:p>
    <w:p w:rsidR="00716E71" w:rsidRPr="00106BD2" w:rsidRDefault="00716E71" w:rsidP="00C74F86">
      <w:pPr>
        <w:numPr>
          <w:ilvl w:val="0"/>
          <w:numId w:val="1"/>
        </w:numPr>
        <w:autoSpaceDE w:val="0"/>
        <w:autoSpaceDN w:val="0"/>
        <w:adjustRightInd w:val="0"/>
        <w:jc w:val="both"/>
        <w:rPr>
          <w:rFonts w:asciiTheme="minorHAnsi" w:hAnsiTheme="minorHAnsi"/>
        </w:rPr>
      </w:pPr>
      <w:proofErr w:type="spellStart"/>
      <w:r w:rsidRPr="00106BD2">
        <w:rPr>
          <w:rFonts w:asciiTheme="minorHAnsi" w:hAnsiTheme="minorHAnsi"/>
        </w:rPr>
        <w:t>GoB</w:t>
      </w:r>
      <w:proofErr w:type="spellEnd"/>
      <w:r w:rsidRPr="00106BD2">
        <w:rPr>
          <w:rFonts w:asciiTheme="minorHAnsi" w:hAnsiTheme="minorHAnsi"/>
        </w:rPr>
        <w:t xml:space="preserve">, 2009. National Adaptation Program of Action. Ministry of Environment and Forest, Government of Bangladesh, Dhaka, </w:t>
      </w:r>
      <w:r w:rsidR="00106BD2">
        <w:rPr>
          <w:rFonts w:asciiTheme="minorHAnsi" w:hAnsiTheme="minorHAnsi"/>
        </w:rPr>
        <w:t>48pp.</w:t>
      </w:r>
    </w:p>
    <w:p w:rsidR="00716E71" w:rsidRPr="00106BD2" w:rsidRDefault="00716E71" w:rsidP="00C74F86">
      <w:pPr>
        <w:numPr>
          <w:ilvl w:val="0"/>
          <w:numId w:val="1"/>
        </w:numPr>
        <w:autoSpaceDE w:val="0"/>
        <w:autoSpaceDN w:val="0"/>
        <w:adjustRightInd w:val="0"/>
        <w:jc w:val="both"/>
        <w:rPr>
          <w:rFonts w:asciiTheme="minorHAnsi" w:hAnsiTheme="minorHAnsi"/>
        </w:rPr>
      </w:pPr>
      <w:proofErr w:type="spellStart"/>
      <w:r w:rsidRPr="00106BD2">
        <w:rPr>
          <w:rFonts w:asciiTheme="minorHAnsi" w:hAnsiTheme="minorHAnsi"/>
        </w:rPr>
        <w:t>GoB</w:t>
      </w:r>
      <w:proofErr w:type="spellEnd"/>
      <w:r w:rsidRPr="00106BD2">
        <w:rPr>
          <w:rFonts w:asciiTheme="minorHAnsi" w:hAnsiTheme="minorHAnsi"/>
        </w:rPr>
        <w:t>, 2012.  Perspective plan of Bangladesh, General Economics Division Planning Commission Government of the People’s Republic of Bangladesh April 2012.</w:t>
      </w:r>
    </w:p>
    <w:p w:rsidR="00716E71" w:rsidRPr="00106BD2" w:rsidRDefault="00716E71" w:rsidP="00C74F86">
      <w:pPr>
        <w:numPr>
          <w:ilvl w:val="0"/>
          <w:numId w:val="1"/>
        </w:numPr>
        <w:autoSpaceDE w:val="0"/>
        <w:autoSpaceDN w:val="0"/>
        <w:adjustRightInd w:val="0"/>
        <w:jc w:val="both"/>
        <w:rPr>
          <w:rFonts w:asciiTheme="minorHAnsi" w:hAnsiTheme="minorHAnsi"/>
        </w:rPr>
      </w:pPr>
      <w:proofErr w:type="spellStart"/>
      <w:r w:rsidRPr="00106BD2">
        <w:rPr>
          <w:rFonts w:asciiTheme="minorHAnsi" w:hAnsiTheme="minorHAnsi"/>
        </w:rPr>
        <w:t>GoB</w:t>
      </w:r>
      <w:proofErr w:type="spellEnd"/>
      <w:r w:rsidRPr="00106BD2">
        <w:rPr>
          <w:rFonts w:asciiTheme="minorHAnsi" w:hAnsiTheme="minorHAnsi"/>
        </w:rPr>
        <w:t xml:space="preserve">, 2013. National Sustainable Development Strategies, 2010-21 Ministry of Planning, Government of Bangladesh, Dhaka, </w:t>
      </w:r>
      <w:r w:rsidR="00106BD2">
        <w:rPr>
          <w:rFonts w:asciiTheme="minorHAnsi" w:hAnsiTheme="minorHAnsi"/>
        </w:rPr>
        <w:t>143pp.</w:t>
      </w:r>
    </w:p>
    <w:p w:rsidR="00716E71" w:rsidRPr="00106BD2" w:rsidRDefault="00716E71" w:rsidP="00C74F86">
      <w:pPr>
        <w:numPr>
          <w:ilvl w:val="0"/>
          <w:numId w:val="1"/>
        </w:numPr>
        <w:autoSpaceDE w:val="0"/>
        <w:autoSpaceDN w:val="0"/>
        <w:adjustRightInd w:val="0"/>
        <w:jc w:val="both"/>
        <w:rPr>
          <w:rFonts w:asciiTheme="minorHAnsi" w:hAnsiTheme="minorHAnsi"/>
        </w:rPr>
      </w:pPr>
      <w:proofErr w:type="spellStart"/>
      <w:r w:rsidRPr="00106BD2">
        <w:rPr>
          <w:rFonts w:asciiTheme="minorHAnsi" w:hAnsiTheme="minorHAnsi"/>
        </w:rPr>
        <w:t>GoB</w:t>
      </w:r>
      <w:proofErr w:type="spellEnd"/>
      <w:r w:rsidRPr="00106BD2">
        <w:rPr>
          <w:rFonts w:asciiTheme="minorHAnsi" w:hAnsiTheme="minorHAnsi"/>
        </w:rPr>
        <w:t>, 2016. National Conservation Strategy, 2016-31. Ministry of Environment and Forest, Government of Bangladesh, Dhaka,</w:t>
      </w:r>
      <w:r w:rsidR="00106BD2">
        <w:rPr>
          <w:rFonts w:asciiTheme="minorHAnsi" w:hAnsiTheme="minorHAnsi"/>
        </w:rPr>
        <w:t>103pp.</w:t>
      </w:r>
    </w:p>
    <w:p w:rsidR="00716E71" w:rsidRPr="00106BD2" w:rsidRDefault="00716E71" w:rsidP="00C74F86">
      <w:pPr>
        <w:numPr>
          <w:ilvl w:val="0"/>
          <w:numId w:val="1"/>
        </w:numPr>
        <w:autoSpaceDE w:val="0"/>
        <w:autoSpaceDN w:val="0"/>
        <w:adjustRightInd w:val="0"/>
        <w:jc w:val="both"/>
        <w:rPr>
          <w:rFonts w:asciiTheme="minorHAnsi" w:hAnsiTheme="minorHAnsi"/>
        </w:rPr>
      </w:pPr>
      <w:proofErr w:type="spellStart"/>
      <w:r w:rsidRPr="00106BD2">
        <w:rPr>
          <w:rFonts w:asciiTheme="minorHAnsi" w:hAnsiTheme="minorHAnsi"/>
        </w:rPr>
        <w:t>GoB</w:t>
      </w:r>
      <w:proofErr w:type="spellEnd"/>
      <w:r w:rsidRPr="00106BD2">
        <w:rPr>
          <w:rFonts w:asciiTheme="minorHAnsi" w:hAnsiTheme="minorHAnsi"/>
        </w:rPr>
        <w:t>, 2017. Drivers of deforestation and degradation in Bangladesh, UN-REDD Bangladesh National Program, Bangladesh Forest Department.</w:t>
      </w:r>
    </w:p>
    <w:p w:rsidR="00716E71" w:rsidRPr="00106BD2" w:rsidRDefault="00716E71" w:rsidP="00C74F86">
      <w:pPr>
        <w:numPr>
          <w:ilvl w:val="0"/>
          <w:numId w:val="1"/>
        </w:numPr>
        <w:autoSpaceDE w:val="0"/>
        <w:autoSpaceDN w:val="0"/>
        <w:adjustRightInd w:val="0"/>
        <w:jc w:val="both"/>
        <w:rPr>
          <w:rFonts w:asciiTheme="minorHAnsi" w:hAnsiTheme="minorHAnsi"/>
        </w:rPr>
      </w:pPr>
      <w:proofErr w:type="spellStart"/>
      <w:r w:rsidRPr="00106BD2">
        <w:rPr>
          <w:rFonts w:asciiTheme="minorHAnsi" w:hAnsiTheme="minorHAnsi"/>
        </w:rPr>
        <w:t>Guhathakurta</w:t>
      </w:r>
      <w:proofErr w:type="spellEnd"/>
      <w:r w:rsidRPr="00106BD2">
        <w:rPr>
          <w:rFonts w:asciiTheme="minorHAnsi" w:hAnsiTheme="minorHAnsi"/>
        </w:rPr>
        <w:t xml:space="preserve">, Meghna, 2008. Globalization, class and gender relations: The shrimp industry in southwestern Bangladesh, </w:t>
      </w:r>
      <w:r w:rsidR="00106BD2" w:rsidRPr="00106BD2">
        <w:rPr>
          <w:rFonts w:asciiTheme="minorHAnsi" w:hAnsiTheme="minorHAnsi"/>
          <w:i/>
        </w:rPr>
        <w:t>Development,</w:t>
      </w:r>
      <w:r w:rsidRPr="00106BD2">
        <w:rPr>
          <w:rFonts w:asciiTheme="minorHAnsi" w:hAnsiTheme="minorHAnsi"/>
        </w:rPr>
        <w:t xml:space="preserve"> 51: 212-219.</w:t>
      </w:r>
    </w:p>
    <w:p w:rsidR="00716E71" w:rsidRPr="00106BD2" w:rsidRDefault="00716E71" w:rsidP="00C74F86">
      <w:pPr>
        <w:numPr>
          <w:ilvl w:val="0"/>
          <w:numId w:val="1"/>
        </w:numPr>
        <w:jc w:val="both"/>
        <w:rPr>
          <w:rFonts w:asciiTheme="minorHAnsi" w:hAnsiTheme="minorHAnsi"/>
        </w:rPr>
      </w:pPr>
      <w:r w:rsidRPr="00106BD2">
        <w:rPr>
          <w:rFonts w:asciiTheme="minorHAnsi" w:hAnsiTheme="minorHAnsi"/>
        </w:rPr>
        <w:t xml:space="preserve">Iftekhar M. S. and </w:t>
      </w:r>
      <w:proofErr w:type="spellStart"/>
      <w:r w:rsidRPr="00106BD2">
        <w:rPr>
          <w:rFonts w:asciiTheme="minorHAnsi" w:hAnsiTheme="minorHAnsi"/>
        </w:rPr>
        <w:t>Takama</w:t>
      </w:r>
      <w:proofErr w:type="spellEnd"/>
      <w:r w:rsidRPr="00106BD2">
        <w:rPr>
          <w:rFonts w:asciiTheme="minorHAnsi" w:hAnsiTheme="minorHAnsi"/>
        </w:rPr>
        <w:t xml:space="preserve">, T., 2008. Perceptions of biodiversity, environmental services, and conservation of planted mangroves: a case study on </w:t>
      </w:r>
      <w:proofErr w:type="spellStart"/>
      <w:r w:rsidRPr="00106BD2">
        <w:rPr>
          <w:rFonts w:asciiTheme="minorHAnsi" w:hAnsiTheme="minorHAnsi"/>
        </w:rPr>
        <w:t>Nijhum</w:t>
      </w:r>
      <w:proofErr w:type="spellEnd"/>
      <w:r w:rsidRPr="00106BD2">
        <w:rPr>
          <w:rFonts w:asciiTheme="minorHAnsi" w:hAnsiTheme="minorHAnsi"/>
        </w:rPr>
        <w:t xml:space="preserve"> </w:t>
      </w:r>
      <w:proofErr w:type="spellStart"/>
      <w:r w:rsidRPr="00106BD2">
        <w:rPr>
          <w:rFonts w:asciiTheme="minorHAnsi" w:hAnsiTheme="minorHAnsi"/>
        </w:rPr>
        <w:t>Dwip</w:t>
      </w:r>
      <w:proofErr w:type="spellEnd"/>
      <w:r w:rsidRPr="00106BD2">
        <w:rPr>
          <w:rFonts w:asciiTheme="minorHAnsi" w:hAnsiTheme="minorHAnsi"/>
        </w:rPr>
        <w:t xml:space="preserve"> Island, Bangladesh, Wetlands Ecology and Management, Vol. 16(</w:t>
      </w:r>
      <w:r w:rsidRPr="00106BD2">
        <w:rPr>
          <w:rFonts w:asciiTheme="minorHAnsi" w:hAnsiTheme="minorHAnsi"/>
          <w:b/>
        </w:rPr>
        <w:t>2</w:t>
      </w:r>
      <w:r w:rsidRPr="00106BD2">
        <w:rPr>
          <w:rFonts w:asciiTheme="minorHAnsi" w:hAnsiTheme="minorHAnsi"/>
        </w:rPr>
        <w:t>): 119-137.</w:t>
      </w:r>
    </w:p>
    <w:p w:rsidR="00716E71" w:rsidRPr="00106BD2" w:rsidRDefault="00716E71" w:rsidP="00C74F86">
      <w:pPr>
        <w:numPr>
          <w:ilvl w:val="0"/>
          <w:numId w:val="1"/>
        </w:numPr>
        <w:spacing w:before="0" w:after="0"/>
        <w:jc w:val="both"/>
        <w:rPr>
          <w:rFonts w:asciiTheme="minorHAnsi" w:hAnsiTheme="minorHAnsi"/>
          <w:bCs/>
        </w:rPr>
      </w:pPr>
      <w:r w:rsidRPr="00106BD2">
        <w:rPr>
          <w:rFonts w:asciiTheme="minorHAnsi" w:hAnsiTheme="minorHAnsi"/>
          <w:bCs/>
        </w:rPr>
        <w:lastRenderedPageBreak/>
        <w:t xml:space="preserve">Iftekhar, M. S. and A. K. F. Hoque, 2005. Causes of forest encroachment: An analysis of Bangladesh, </w:t>
      </w:r>
      <w:proofErr w:type="spellStart"/>
      <w:r w:rsidRPr="00106BD2">
        <w:rPr>
          <w:rFonts w:asciiTheme="minorHAnsi" w:hAnsiTheme="minorHAnsi"/>
          <w:bCs/>
          <w:i/>
        </w:rPr>
        <w:t>GeoJournal</w:t>
      </w:r>
      <w:proofErr w:type="spellEnd"/>
      <w:r w:rsidRPr="00106BD2">
        <w:rPr>
          <w:rFonts w:asciiTheme="minorHAnsi" w:hAnsiTheme="minorHAnsi"/>
          <w:bCs/>
        </w:rPr>
        <w:t>, 62:95-106.</w:t>
      </w:r>
    </w:p>
    <w:p w:rsidR="00716E71" w:rsidRPr="00106BD2" w:rsidRDefault="00716E71" w:rsidP="00C74F86">
      <w:pPr>
        <w:numPr>
          <w:ilvl w:val="0"/>
          <w:numId w:val="1"/>
        </w:numPr>
        <w:autoSpaceDE w:val="0"/>
        <w:autoSpaceDN w:val="0"/>
        <w:adjustRightInd w:val="0"/>
        <w:jc w:val="both"/>
        <w:rPr>
          <w:rFonts w:asciiTheme="minorHAnsi" w:hAnsiTheme="minorHAnsi"/>
        </w:rPr>
      </w:pPr>
      <w:r w:rsidRPr="00106BD2">
        <w:rPr>
          <w:rFonts w:asciiTheme="minorHAnsi" w:hAnsiTheme="minorHAnsi"/>
        </w:rPr>
        <w:t xml:space="preserve"> IPAC, 2009a. Site-Level Field Appraisal for Forest Co-management: IPAC </w:t>
      </w:r>
      <w:proofErr w:type="spellStart"/>
      <w:r w:rsidRPr="00106BD2">
        <w:rPr>
          <w:rFonts w:asciiTheme="minorHAnsi" w:hAnsiTheme="minorHAnsi"/>
        </w:rPr>
        <w:t>Bhawal</w:t>
      </w:r>
      <w:proofErr w:type="spellEnd"/>
      <w:r w:rsidRPr="00106BD2">
        <w:rPr>
          <w:rFonts w:asciiTheme="minorHAnsi" w:hAnsiTheme="minorHAnsi"/>
        </w:rPr>
        <w:t xml:space="preserve"> National Park Site, IRG, 165pp.</w:t>
      </w:r>
    </w:p>
    <w:p w:rsidR="00716E71" w:rsidRPr="00106BD2" w:rsidRDefault="00716E71" w:rsidP="00C74F86">
      <w:pPr>
        <w:numPr>
          <w:ilvl w:val="0"/>
          <w:numId w:val="1"/>
        </w:numPr>
        <w:autoSpaceDE w:val="0"/>
        <w:autoSpaceDN w:val="0"/>
        <w:adjustRightInd w:val="0"/>
        <w:jc w:val="both"/>
        <w:rPr>
          <w:rFonts w:asciiTheme="minorHAnsi" w:hAnsiTheme="minorHAnsi"/>
        </w:rPr>
      </w:pPr>
      <w:r w:rsidRPr="00106BD2">
        <w:rPr>
          <w:rFonts w:asciiTheme="minorHAnsi" w:hAnsiTheme="minorHAnsi"/>
        </w:rPr>
        <w:t>IPAC, 2009b. Site-Level Field Appraisal for Forest Co-management: IPAC Madhupur National Park Site, IRG, 128pp.</w:t>
      </w:r>
    </w:p>
    <w:p w:rsidR="00716E71" w:rsidRPr="00106BD2" w:rsidRDefault="00716E71" w:rsidP="00C74F86">
      <w:pPr>
        <w:pStyle w:val="ListParagraph"/>
        <w:numPr>
          <w:ilvl w:val="0"/>
          <w:numId w:val="1"/>
        </w:numPr>
        <w:autoSpaceDE w:val="0"/>
        <w:autoSpaceDN w:val="0"/>
        <w:adjustRightInd w:val="0"/>
        <w:spacing w:after="0"/>
        <w:jc w:val="both"/>
        <w:rPr>
          <w:rFonts w:asciiTheme="minorHAnsi" w:hAnsiTheme="minorHAnsi"/>
        </w:rPr>
      </w:pPr>
      <w:r w:rsidRPr="00106BD2">
        <w:rPr>
          <w:rFonts w:asciiTheme="minorHAnsi" w:hAnsiTheme="minorHAnsi"/>
        </w:rPr>
        <w:t xml:space="preserve">IPAC, 2010. Study on the conservation and management of the fisheries resources of Sundarbans (Draft report), USAID, IPAC and IRG, </w:t>
      </w:r>
      <w:r w:rsidR="00106BD2">
        <w:rPr>
          <w:rFonts w:asciiTheme="minorHAnsi" w:hAnsiTheme="minorHAnsi"/>
        </w:rPr>
        <w:t>130pp.</w:t>
      </w:r>
      <w:r w:rsidRPr="00106BD2">
        <w:rPr>
          <w:rFonts w:asciiTheme="minorHAnsi" w:hAnsiTheme="minorHAnsi"/>
        </w:rPr>
        <w:t xml:space="preserve"> </w:t>
      </w:r>
    </w:p>
    <w:p w:rsidR="00716E71" w:rsidRPr="00106BD2" w:rsidRDefault="00716E71" w:rsidP="00C74F86">
      <w:pPr>
        <w:numPr>
          <w:ilvl w:val="0"/>
          <w:numId w:val="1"/>
        </w:numPr>
        <w:spacing w:after="0"/>
        <w:jc w:val="both"/>
        <w:rPr>
          <w:rFonts w:asciiTheme="minorHAnsi" w:hAnsiTheme="minorHAnsi"/>
          <w:bCs/>
        </w:rPr>
      </w:pPr>
      <w:proofErr w:type="spellStart"/>
      <w:r w:rsidRPr="00106BD2">
        <w:rPr>
          <w:rFonts w:asciiTheme="minorHAnsi" w:hAnsiTheme="minorHAnsi"/>
          <w:bCs/>
        </w:rPr>
        <w:t>Jasimuddin</w:t>
      </w:r>
      <w:proofErr w:type="spellEnd"/>
      <w:r w:rsidRPr="00106BD2">
        <w:rPr>
          <w:rFonts w:asciiTheme="minorHAnsi" w:hAnsiTheme="minorHAnsi"/>
          <w:bCs/>
        </w:rPr>
        <w:t xml:space="preserve">, M.; K. M. Masum and M. A. Salam, 2006. Preference and consumption pattern of biomass fuel in some disregarded villages of Bangladesh, </w:t>
      </w:r>
      <w:r w:rsidRPr="00106BD2">
        <w:rPr>
          <w:rFonts w:asciiTheme="minorHAnsi" w:hAnsiTheme="minorHAnsi"/>
          <w:bCs/>
          <w:i/>
        </w:rPr>
        <w:t>Biomass &amp; Energy</w:t>
      </w:r>
      <w:r w:rsidRPr="00106BD2">
        <w:rPr>
          <w:rFonts w:asciiTheme="minorHAnsi" w:hAnsiTheme="minorHAnsi"/>
          <w:bCs/>
        </w:rPr>
        <w:t xml:space="preserve"> 30: 446-451.</w:t>
      </w:r>
    </w:p>
    <w:p w:rsidR="00716E71" w:rsidRPr="00106BD2" w:rsidRDefault="00716E71" w:rsidP="00C74F86">
      <w:pPr>
        <w:numPr>
          <w:ilvl w:val="0"/>
          <w:numId w:val="1"/>
        </w:numPr>
        <w:autoSpaceDE w:val="0"/>
        <w:autoSpaceDN w:val="0"/>
        <w:adjustRightInd w:val="0"/>
        <w:jc w:val="both"/>
        <w:rPr>
          <w:rFonts w:asciiTheme="minorHAnsi" w:hAnsiTheme="minorHAnsi"/>
          <w:color w:val="000000"/>
        </w:rPr>
      </w:pPr>
      <w:r w:rsidRPr="00106BD2">
        <w:rPr>
          <w:rFonts w:asciiTheme="minorHAnsi" w:hAnsiTheme="minorHAnsi"/>
          <w:color w:val="000000"/>
        </w:rPr>
        <w:t xml:space="preserve">Kar, S. P., 2010. NTFP utilization and livelihood development in Bangladesh , PhD dissertation, Pennsylvania State University, 2010. </w:t>
      </w:r>
    </w:p>
    <w:p w:rsidR="00716E71" w:rsidRPr="00106BD2" w:rsidRDefault="00716E71" w:rsidP="00C74F86">
      <w:pPr>
        <w:numPr>
          <w:ilvl w:val="0"/>
          <w:numId w:val="1"/>
        </w:numPr>
        <w:autoSpaceDE w:val="0"/>
        <w:autoSpaceDN w:val="0"/>
        <w:adjustRightInd w:val="0"/>
        <w:jc w:val="both"/>
        <w:rPr>
          <w:rFonts w:asciiTheme="minorHAnsi" w:hAnsiTheme="minorHAnsi"/>
        </w:rPr>
      </w:pPr>
      <w:r w:rsidRPr="00106BD2">
        <w:rPr>
          <w:rFonts w:asciiTheme="minorHAnsi" w:hAnsiTheme="minorHAnsi"/>
        </w:rPr>
        <w:t xml:space="preserve"> Khan, N. A.; </w:t>
      </w:r>
      <w:proofErr w:type="spellStart"/>
      <w:r w:rsidRPr="00106BD2">
        <w:rPr>
          <w:rFonts w:asciiTheme="minorHAnsi" w:hAnsiTheme="minorHAnsi"/>
        </w:rPr>
        <w:t>J.K</w:t>
      </w:r>
      <w:proofErr w:type="spellEnd"/>
      <w:r w:rsidRPr="00106BD2">
        <w:rPr>
          <w:rFonts w:asciiTheme="minorHAnsi" w:hAnsiTheme="minorHAnsi"/>
        </w:rPr>
        <w:t xml:space="preserve">. Chowdhury; </w:t>
      </w:r>
      <w:proofErr w:type="spellStart"/>
      <w:r w:rsidRPr="00106BD2">
        <w:rPr>
          <w:rFonts w:asciiTheme="minorHAnsi" w:hAnsiTheme="minorHAnsi"/>
        </w:rPr>
        <w:t>K.S</w:t>
      </w:r>
      <w:proofErr w:type="spellEnd"/>
      <w:r w:rsidRPr="00106BD2">
        <w:rPr>
          <w:rFonts w:asciiTheme="minorHAnsi" w:hAnsiTheme="minorHAnsi"/>
        </w:rPr>
        <w:t xml:space="preserve">. Huda and M. I. </w:t>
      </w:r>
      <w:proofErr w:type="spellStart"/>
      <w:r w:rsidRPr="00106BD2">
        <w:rPr>
          <w:rFonts w:asciiTheme="minorHAnsi" w:hAnsiTheme="minorHAnsi"/>
        </w:rPr>
        <w:t>Mondol</w:t>
      </w:r>
      <w:proofErr w:type="spellEnd"/>
      <w:r w:rsidRPr="00106BD2">
        <w:rPr>
          <w:rFonts w:asciiTheme="minorHAnsi" w:hAnsiTheme="minorHAnsi"/>
        </w:rPr>
        <w:t xml:space="preserve">, 2004. An overview of social forestry in Bangladesh, Bangladesh Forest Department and University of Chittagong. </w:t>
      </w:r>
    </w:p>
    <w:p w:rsidR="00716E71" w:rsidRPr="00106BD2" w:rsidRDefault="00716E71" w:rsidP="00C74F86">
      <w:pPr>
        <w:numPr>
          <w:ilvl w:val="0"/>
          <w:numId w:val="1"/>
        </w:numPr>
        <w:autoSpaceDE w:val="0"/>
        <w:autoSpaceDN w:val="0"/>
        <w:adjustRightInd w:val="0"/>
        <w:jc w:val="both"/>
        <w:rPr>
          <w:rFonts w:asciiTheme="minorHAnsi" w:hAnsiTheme="minorHAnsi"/>
        </w:rPr>
      </w:pPr>
      <w:r w:rsidRPr="00106BD2">
        <w:rPr>
          <w:rFonts w:asciiTheme="minorHAnsi" w:hAnsiTheme="minorHAnsi"/>
        </w:rPr>
        <w:t>Khan, N.A., 1998.  Land Tenurial Dynamics and Participatory Forestry Management in Bangladesh, Public Administration and Development, Vol. 18. 335, 335.</w:t>
      </w:r>
    </w:p>
    <w:p w:rsidR="00716E71" w:rsidRPr="00106BD2" w:rsidRDefault="00716E71" w:rsidP="00C74F86">
      <w:pPr>
        <w:numPr>
          <w:ilvl w:val="0"/>
          <w:numId w:val="1"/>
        </w:numPr>
        <w:spacing w:after="0"/>
        <w:jc w:val="both"/>
        <w:rPr>
          <w:rFonts w:asciiTheme="minorHAnsi" w:hAnsiTheme="minorHAnsi"/>
          <w:bCs/>
        </w:rPr>
      </w:pPr>
      <w:r w:rsidRPr="00106BD2">
        <w:rPr>
          <w:rFonts w:asciiTheme="minorHAnsi" w:hAnsiTheme="minorHAnsi"/>
          <w:bCs/>
        </w:rPr>
        <w:t xml:space="preserve"> Kumar, M. and C. M. Sharma, 2009. Fuelwood consumption pattern at different altitudes in rural areas of </w:t>
      </w:r>
      <w:proofErr w:type="spellStart"/>
      <w:r w:rsidRPr="00106BD2">
        <w:rPr>
          <w:rFonts w:asciiTheme="minorHAnsi" w:hAnsiTheme="minorHAnsi"/>
          <w:bCs/>
        </w:rPr>
        <w:t>Garhwal</w:t>
      </w:r>
      <w:proofErr w:type="spellEnd"/>
      <w:r w:rsidRPr="00106BD2">
        <w:rPr>
          <w:rFonts w:asciiTheme="minorHAnsi" w:hAnsiTheme="minorHAnsi"/>
          <w:bCs/>
        </w:rPr>
        <w:t xml:space="preserve"> </w:t>
      </w:r>
      <w:proofErr w:type="spellStart"/>
      <w:r w:rsidRPr="00106BD2">
        <w:rPr>
          <w:rFonts w:asciiTheme="minorHAnsi" w:hAnsiTheme="minorHAnsi"/>
          <w:bCs/>
        </w:rPr>
        <w:t>Himalay</w:t>
      </w:r>
      <w:proofErr w:type="spellEnd"/>
      <w:r w:rsidRPr="00106BD2">
        <w:rPr>
          <w:rFonts w:asciiTheme="minorHAnsi" w:hAnsiTheme="minorHAnsi"/>
          <w:bCs/>
        </w:rPr>
        <w:t xml:space="preserve">, </w:t>
      </w:r>
      <w:r w:rsidRPr="00106BD2">
        <w:rPr>
          <w:rFonts w:asciiTheme="minorHAnsi" w:hAnsiTheme="minorHAnsi"/>
          <w:bCs/>
          <w:i/>
        </w:rPr>
        <w:t>Biomass &amp; Energy</w:t>
      </w:r>
      <w:r w:rsidRPr="00106BD2">
        <w:rPr>
          <w:rFonts w:asciiTheme="minorHAnsi" w:hAnsiTheme="minorHAnsi"/>
          <w:bCs/>
        </w:rPr>
        <w:t xml:space="preserve"> 33: 143-148.</w:t>
      </w:r>
    </w:p>
    <w:p w:rsidR="00716E71" w:rsidRPr="00106BD2" w:rsidRDefault="00716E71" w:rsidP="00C74F86">
      <w:pPr>
        <w:numPr>
          <w:ilvl w:val="0"/>
          <w:numId w:val="1"/>
        </w:numPr>
        <w:spacing w:after="0"/>
        <w:jc w:val="both"/>
        <w:rPr>
          <w:rFonts w:asciiTheme="minorHAnsi" w:hAnsiTheme="minorHAnsi"/>
          <w:bCs/>
        </w:rPr>
      </w:pPr>
      <w:r w:rsidRPr="00106BD2">
        <w:rPr>
          <w:rFonts w:asciiTheme="minorHAnsi" w:hAnsiTheme="minorHAnsi"/>
          <w:bCs/>
        </w:rPr>
        <w:t xml:space="preserve">Mahapatra, A. K. and C. P. Mitchell, 1999. Biofuel consumption, deforestation and farm level tree growing in rural India, </w:t>
      </w:r>
      <w:r w:rsidRPr="00106BD2">
        <w:rPr>
          <w:rFonts w:asciiTheme="minorHAnsi" w:hAnsiTheme="minorHAnsi"/>
          <w:bCs/>
          <w:i/>
        </w:rPr>
        <w:t>Biomass &amp; Energy</w:t>
      </w:r>
      <w:r w:rsidRPr="00106BD2">
        <w:rPr>
          <w:rFonts w:asciiTheme="minorHAnsi" w:hAnsiTheme="minorHAnsi"/>
          <w:bCs/>
        </w:rPr>
        <w:t xml:space="preserve"> 17:299-303.</w:t>
      </w:r>
    </w:p>
    <w:p w:rsidR="00716E71" w:rsidRPr="00106BD2" w:rsidRDefault="00716E71" w:rsidP="00C74F86">
      <w:pPr>
        <w:numPr>
          <w:ilvl w:val="0"/>
          <w:numId w:val="1"/>
        </w:numPr>
        <w:spacing w:after="0"/>
        <w:jc w:val="both"/>
        <w:rPr>
          <w:rFonts w:asciiTheme="minorHAnsi" w:hAnsiTheme="minorHAnsi"/>
          <w:bCs/>
        </w:rPr>
      </w:pPr>
      <w:r w:rsidRPr="00106BD2">
        <w:rPr>
          <w:rFonts w:asciiTheme="minorHAnsi" w:hAnsiTheme="minorHAnsi"/>
          <w:bCs/>
        </w:rPr>
        <w:t xml:space="preserve">Mia Danesh; R. Ahmed and M </w:t>
      </w:r>
      <w:proofErr w:type="spellStart"/>
      <w:r w:rsidRPr="00106BD2">
        <w:rPr>
          <w:rFonts w:asciiTheme="minorHAnsi" w:hAnsiTheme="minorHAnsi"/>
          <w:bCs/>
        </w:rPr>
        <w:t>Belal</w:t>
      </w:r>
      <w:proofErr w:type="spellEnd"/>
      <w:r w:rsidRPr="00106BD2">
        <w:rPr>
          <w:rFonts w:asciiTheme="minorHAnsi" w:hAnsiTheme="minorHAnsi"/>
          <w:bCs/>
        </w:rPr>
        <w:t xml:space="preserve"> Uddin, 2003. Biomass fuel use by the rural households in Chittagong region, Bangladesh, </w:t>
      </w:r>
      <w:r w:rsidRPr="00106BD2">
        <w:rPr>
          <w:rFonts w:asciiTheme="minorHAnsi" w:hAnsiTheme="minorHAnsi"/>
          <w:bCs/>
          <w:i/>
        </w:rPr>
        <w:t>Biomass &amp; Energy</w:t>
      </w:r>
      <w:r w:rsidRPr="00106BD2">
        <w:rPr>
          <w:rFonts w:asciiTheme="minorHAnsi" w:hAnsiTheme="minorHAnsi"/>
          <w:bCs/>
        </w:rPr>
        <w:t xml:space="preserve"> 24: 277-283.</w:t>
      </w:r>
    </w:p>
    <w:p w:rsidR="00716E71" w:rsidRPr="00106BD2" w:rsidRDefault="00716E71" w:rsidP="00C74F86">
      <w:pPr>
        <w:numPr>
          <w:ilvl w:val="0"/>
          <w:numId w:val="1"/>
        </w:numPr>
        <w:autoSpaceDE w:val="0"/>
        <w:autoSpaceDN w:val="0"/>
        <w:adjustRightInd w:val="0"/>
        <w:jc w:val="both"/>
        <w:rPr>
          <w:rFonts w:asciiTheme="minorHAnsi" w:hAnsiTheme="minorHAnsi"/>
        </w:rPr>
      </w:pPr>
      <w:r w:rsidRPr="00106BD2">
        <w:rPr>
          <w:rFonts w:asciiTheme="minorHAnsi" w:hAnsiTheme="minorHAnsi"/>
        </w:rPr>
        <w:t xml:space="preserve">Muhammed N, </w:t>
      </w:r>
      <w:proofErr w:type="spellStart"/>
      <w:r w:rsidRPr="00106BD2">
        <w:rPr>
          <w:rFonts w:asciiTheme="minorHAnsi" w:hAnsiTheme="minorHAnsi"/>
        </w:rPr>
        <w:t>Koikea</w:t>
      </w:r>
      <w:proofErr w:type="spellEnd"/>
      <w:r w:rsidRPr="00106BD2">
        <w:rPr>
          <w:rFonts w:asciiTheme="minorHAnsi" w:hAnsiTheme="minorHAnsi"/>
        </w:rPr>
        <w:t xml:space="preserve"> M, </w:t>
      </w:r>
      <w:proofErr w:type="spellStart"/>
      <w:r w:rsidRPr="00106BD2">
        <w:rPr>
          <w:rFonts w:asciiTheme="minorHAnsi" w:hAnsiTheme="minorHAnsi"/>
        </w:rPr>
        <w:t>Haquea</w:t>
      </w:r>
      <w:proofErr w:type="spellEnd"/>
      <w:r w:rsidRPr="00106BD2">
        <w:rPr>
          <w:rFonts w:asciiTheme="minorHAnsi" w:hAnsiTheme="minorHAnsi"/>
        </w:rPr>
        <w:t xml:space="preserve"> F, Miah M. D., 2008. Quantitative assessment of people-oriented forestry in Bangladesh: A case study in the Tangail forest division, Journal of Environmental Management, Vol. 88(</w:t>
      </w:r>
      <w:r w:rsidRPr="00106BD2">
        <w:rPr>
          <w:rFonts w:asciiTheme="minorHAnsi" w:hAnsiTheme="minorHAnsi"/>
          <w:b/>
        </w:rPr>
        <w:t>1</w:t>
      </w:r>
      <w:r w:rsidRPr="00106BD2">
        <w:rPr>
          <w:rFonts w:asciiTheme="minorHAnsi" w:hAnsiTheme="minorHAnsi"/>
        </w:rPr>
        <w:t>):83-92.</w:t>
      </w:r>
    </w:p>
    <w:p w:rsidR="00716E71" w:rsidRPr="00106BD2" w:rsidRDefault="00716E71" w:rsidP="00C74F86">
      <w:pPr>
        <w:numPr>
          <w:ilvl w:val="0"/>
          <w:numId w:val="1"/>
        </w:numPr>
        <w:autoSpaceDE w:val="0"/>
        <w:autoSpaceDN w:val="0"/>
        <w:adjustRightInd w:val="0"/>
        <w:jc w:val="both"/>
        <w:rPr>
          <w:rFonts w:asciiTheme="minorHAnsi" w:hAnsiTheme="minorHAnsi"/>
        </w:rPr>
      </w:pPr>
      <w:r w:rsidRPr="00106BD2">
        <w:rPr>
          <w:rFonts w:asciiTheme="minorHAnsi" w:hAnsiTheme="minorHAnsi"/>
        </w:rPr>
        <w:t xml:space="preserve">Mukul, S. A. and A. Z. M. Manzoor Rashid (eds.), 2017. Protected Areas: Policies, management and future directions, Nova Science Publishers, </w:t>
      </w:r>
      <w:proofErr w:type="spellStart"/>
      <w:r w:rsidRPr="00106BD2">
        <w:rPr>
          <w:rFonts w:asciiTheme="minorHAnsi" w:hAnsiTheme="minorHAnsi"/>
        </w:rPr>
        <w:t>NewYork</w:t>
      </w:r>
      <w:proofErr w:type="spellEnd"/>
      <w:r w:rsidRPr="00106BD2">
        <w:rPr>
          <w:rFonts w:asciiTheme="minorHAnsi" w:hAnsiTheme="minorHAnsi"/>
        </w:rPr>
        <w:t xml:space="preserve">, 247pp. </w:t>
      </w:r>
    </w:p>
    <w:p w:rsidR="00716E71" w:rsidRPr="00106BD2" w:rsidRDefault="00716E71" w:rsidP="00C74F86">
      <w:pPr>
        <w:numPr>
          <w:ilvl w:val="0"/>
          <w:numId w:val="1"/>
        </w:numPr>
        <w:spacing w:after="0"/>
        <w:jc w:val="both"/>
        <w:rPr>
          <w:rFonts w:asciiTheme="minorHAnsi" w:hAnsiTheme="minorHAnsi"/>
          <w:b/>
          <w:bCs/>
        </w:rPr>
      </w:pPr>
      <w:r w:rsidRPr="00106BD2">
        <w:rPr>
          <w:rFonts w:asciiTheme="minorHAnsi" w:hAnsiTheme="minorHAnsi"/>
        </w:rPr>
        <w:t xml:space="preserve">Mukul, Sharif Ahmed; M. </w:t>
      </w:r>
      <w:proofErr w:type="spellStart"/>
      <w:r w:rsidRPr="00106BD2">
        <w:rPr>
          <w:rFonts w:asciiTheme="minorHAnsi" w:hAnsiTheme="minorHAnsi"/>
        </w:rPr>
        <w:t>Belal</w:t>
      </w:r>
      <w:proofErr w:type="spellEnd"/>
      <w:r w:rsidRPr="00106BD2">
        <w:rPr>
          <w:rFonts w:asciiTheme="minorHAnsi" w:hAnsiTheme="minorHAnsi"/>
        </w:rPr>
        <w:t xml:space="preserve"> Uddin; A. Z. M. Manzoor Rashid and Jefferson Fox, 2010. Integrating livelihoods and conservation in protected areas: understanding the role and stakeholder views on prospects for non-timber forest products, a Bangladesh case study. </w:t>
      </w:r>
      <w:r w:rsidRPr="00106BD2">
        <w:rPr>
          <w:rFonts w:asciiTheme="minorHAnsi" w:hAnsiTheme="minorHAnsi"/>
          <w:i/>
        </w:rPr>
        <w:t>International Journal of Sustainable Development and World Ecology</w:t>
      </w:r>
      <w:r w:rsidRPr="00106BD2">
        <w:rPr>
          <w:rFonts w:asciiTheme="minorHAnsi" w:hAnsiTheme="minorHAnsi"/>
        </w:rPr>
        <w:t>, Vol. 17(</w:t>
      </w:r>
      <w:r w:rsidRPr="00106BD2">
        <w:rPr>
          <w:rFonts w:asciiTheme="minorHAnsi" w:hAnsiTheme="minorHAnsi"/>
          <w:b/>
        </w:rPr>
        <w:t>2</w:t>
      </w:r>
      <w:r w:rsidRPr="00106BD2">
        <w:rPr>
          <w:rFonts w:asciiTheme="minorHAnsi" w:hAnsiTheme="minorHAnsi"/>
        </w:rPr>
        <w:t>):180-188.</w:t>
      </w:r>
    </w:p>
    <w:p w:rsidR="00716E71" w:rsidRPr="00106BD2" w:rsidRDefault="00716E71" w:rsidP="00C74F86">
      <w:pPr>
        <w:numPr>
          <w:ilvl w:val="0"/>
          <w:numId w:val="1"/>
        </w:numPr>
        <w:spacing w:after="0"/>
        <w:jc w:val="both"/>
        <w:rPr>
          <w:rFonts w:asciiTheme="minorHAnsi" w:hAnsiTheme="minorHAnsi"/>
          <w:b/>
          <w:bCs/>
        </w:rPr>
      </w:pPr>
      <w:r w:rsidRPr="00106BD2">
        <w:rPr>
          <w:rFonts w:asciiTheme="minorHAnsi" w:hAnsiTheme="minorHAnsi"/>
        </w:rPr>
        <w:lastRenderedPageBreak/>
        <w:t xml:space="preserve">Mustafa, Millat e, 2002.  A review of forest policy trends in Bangladesh, </w:t>
      </w:r>
      <w:r w:rsidRPr="00106BD2">
        <w:rPr>
          <w:rFonts w:asciiTheme="minorHAnsi" w:hAnsiTheme="minorHAnsi"/>
          <w:i/>
        </w:rPr>
        <w:t>Policy Trend Repot</w:t>
      </w:r>
      <w:r w:rsidRPr="00106BD2">
        <w:rPr>
          <w:rFonts w:asciiTheme="minorHAnsi" w:hAnsiTheme="minorHAnsi"/>
        </w:rPr>
        <w:t xml:space="preserve"> 2002: 114-121. </w:t>
      </w:r>
    </w:p>
    <w:p w:rsidR="00716E71" w:rsidRPr="00106BD2" w:rsidRDefault="00716E71" w:rsidP="00C74F86">
      <w:pPr>
        <w:numPr>
          <w:ilvl w:val="0"/>
          <w:numId w:val="1"/>
        </w:numPr>
        <w:autoSpaceDE w:val="0"/>
        <w:autoSpaceDN w:val="0"/>
        <w:adjustRightInd w:val="0"/>
        <w:jc w:val="both"/>
        <w:rPr>
          <w:rFonts w:asciiTheme="minorHAnsi" w:hAnsiTheme="minorHAnsi"/>
        </w:rPr>
      </w:pPr>
      <w:r w:rsidRPr="00106BD2">
        <w:rPr>
          <w:rFonts w:asciiTheme="minorHAnsi" w:hAnsiTheme="minorHAnsi"/>
        </w:rPr>
        <w:t xml:space="preserve">Naser, Abdullah, Abu ; N. Stacy; </w:t>
      </w:r>
      <w:proofErr w:type="spellStart"/>
      <w:r w:rsidRPr="00106BD2">
        <w:rPr>
          <w:rFonts w:asciiTheme="minorHAnsi" w:hAnsiTheme="minorHAnsi"/>
        </w:rPr>
        <w:t>Stephant</w:t>
      </w:r>
      <w:proofErr w:type="spellEnd"/>
      <w:r w:rsidRPr="00106BD2">
        <w:rPr>
          <w:rFonts w:asciiTheme="minorHAnsi" w:hAnsiTheme="minorHAnsi"/>
        </w:rPr>
        <w:t xml:space="preserve">, T. G. and Bronwyn, M., 2016. Economic dependence on mangrove forest resources for livelihoods in the Sundarbans, Bangladesh, </w:t>
      </w:r>
      <w:r w:rsidRPr="00106BD2">
        <w:rPr>
          <w:rFonts w:asciiTheme="minorHAnsi" w:hAnsiTheme="minorHAnsi"/>
          <w:i/>
        </w:rPr>
        <w:t>Forest Policy &amp; Economics</w:t>
      </w:r>
      <w:r w:rsidRPr="00106BD2">
        <w:rPr>
          <w:rFonts w:asciiTheme="minorHAnsi" w:hAnsiTheme="minorHAnsi"/>
        </w:rPr>
        <w:t>, 64: 15-24.</w:t>
      </w:r>
    </w:p>
    <w:p w:rsidR="00716E71" w:rsidRPr="00106BD2" w:rsidRDefault="00716E71" w:rsidP="00C74F86">
      <w:pPr>
        <w:numPr>
          <w:ilvl w:val="0"/>
          <w:numId w:val="1"/>
        </w:numPr>
        <w:spacing w:after="0"/>
        <w:jc w:val="both"/>
        <w:rPr>
          <w:rFonts w:asciiTheme="minorHAnsi" w:hAnsiTheme="minorHAnsi"/>
          <w:bCs/>
        </w:rPr>
      </w:pPr>
      <w:r w:rsidRPr="00106BD2">
        <w:rPr>
          <w:rFonts w:asciiTheme="minorHAnsi" w:hAnsiTheme="minorHAnsi"/>
          <w:color w:val="0D0D0D"/>
        </w:rPr>
        <w:t xml:space="preserve">Nath </w:t>
      </w:r>
      <w:proofErr w:type="spellStart"/>
      <w:r w:rsidRPr="00106BD2">
        <w:rPr>
          <w:rFonts w:asciiTheme="minorHAnsi" w:hAnsiTheme="minorHAnsi"/>
          <w:color w:val="0D0D0D"/>
        </w:rPr>
        <w:t>T.K</w:t>
      </w:r>
      <w:proofErr w:type="spellEnd"/>
      <w:r w:rsidRPr="00106BD2">
        <w:rPr>
          <w:rFonts w:asciiTheme="minorHAnsi" w:hAnsiTheme="minorHAnsi"/>
          <w:color w:val="0D0D0D"/>
        </w:rPr>
        <w:t xml:space="preserve">., Makoto I., Islam M. J. and Kabir M. A., 2003.  The </w:t>
      </w:r>
      <w:proofErr w:type="spellStart"/>
      <w:r w:rsidRPr="00106BD2">
        <w:rPr>
          <w:rFonts w:asciiTheme="minorHAnsi" w:hAnsiTheme="minorHAnsi"/>
          <w:color w:val="0D0D0D"/>
        </w:rPr>
        <w:t>Khasia</w:t>
      </w:r>
      <w:proofErr w:type="spellEnd"/>
      <w:r w:rsidRPr="00106BD2">
        <w:rPr>
          <w:rFonts w:asciiTheme="minorHAnsi" w:hAnsiTheme="minorHAnsi"/>
          <w:color w:val="0D0D0D"/>
        </w:rPr>
        <w:t xml:space="preserve"> tribe of northeastern Bangladesh: Their socio-economic status, hill farming practice and impacts on forest conservation, </w:t>
      </w:r>
      <w:r w:rsidRPr="00106BD2">
        <w:rPr>
          <w:rFonts w:asciiTheme="minorHAnsi" w:hAnsiTheme="minorHAnsi"/>
          <w:i/>
          <w:color w:val="0D0D0D"/>
        </w:rPr>
        <w:t>Forest Trees and Livelihood</w:t>
      </w:r>
      <w:r w:rsidRPr="00106BD2">
        <w:rPr>
          <w:rFonts w:asciiTheme="minorHAnsi" w:hAnsiTheme="minorHAnsi"/>
          <w:color w:val="0D0D0D"/>
        </w:rPr>
        <w:t>, Vol. 3 (</w:t>
      </w:r>
      <w:r w:rsidRPr="00106BD2">
        <w:rPr>
          <w:rFonts w:asciiTheme="minorHAnsi" w:hAnsiTheme="minorHAnsi"/>
          <w:b/>
          <w:color w:val="0D0D0D"/>
        </w:rPr>
        <w:t>4</w:t>
      </w:r>
      <w:r w:rsidRPr="00106BD2">
        <w:rPr>
          <w:rFonts w:asciiTheme="minorHAnsi" w:hAnsiTheme="minorHAnsi"/>
          <w:color w:val="0D0D0D"/>
        </w:rPr>
        <w:t>): 297-311.</w:t>
      </w:r>
    </w:p>
    <w:p w:rsidR="00716E71" w:rsidRPr="00106BD2" w:rsidRDefault="00716E71" w:rsidP="00C74F86">
      <w:pPr>
        <w:numPr>
          <w:ilvl w:val="0"/>
          <w:numId w:val="1"/>
        </w:numPr>
        <w:spacing w:after="0"/>
        <w:jc w:val="both"/>
        <w:rPr>
          <w:rFonts w:asciiTheme="minorHAnsi" w:hAnsiTheme="minorHAnsi"/>
          <w:bCs/>
        </w:rPr>
      </w:pPr>
      <w:r w:rsidRPr="00106BD2">
        <w:rPr>
          <w:rFonts w:asciiTheme="minorHAnsi" w:hAnsiTheme="minorHAnsi"/>
          <w:bCs/>
        </w:rPr>
        <w:t>Nath, T. K., M. Jashimuddin and M. Inoue, 2016. Community based forest management (CBFM) in Bangl</w:t>
      </w:r>
      <w:r w:rsidR="00106BD2">
        <w:rPr>
          <w:rFonts w:asciiTheme="minorHAnsi" w:hAnsiTheme="minorHAnsi"/>
          <w:bCs/>
        </w:rPr>
        <w:t>adesh, Springer Publishers, 187</w:t>
      </w:r>
      <w:r w:rsidRPr="00106BD2">
        <w:rPr>
          <w:rFonts w:asciiTheme="minorHAnsi" w:hAnsiTheme="minorHAnsi"/>
          <w:bCs/>
        </w:rPr>
        <w:t xml:space="preserve">pp. </w:t>
      </w:r>
    </w:p>
    <w:p w:rsidR="00716E71" w:rsidRPr="00106BD2" w:rsidRDefault="00716E71" w:rsidP="00C74F86">
      <w:pPr>
        <w:numPr>
          <w:ilvl w:val="0"/>
          <w:numId w:val="1"/>
        </w:numPr>
        <w:autoSpaceDE w:val="0"/>
        <w:autoSpaceDN w:val="0"/>
        <w:adjustRightInd w:val="0"/>
        <w:jc w:val="both"/>
        <w:rPr>
          <w:rFonts w:asciiTheme="minorHAnsi" w:hAnsiTheme="minorHAnsi"/>
        </w:rPr>
      </w:pPr>
      <w:r w:rsidRPr="00106BD2">
        <w:rPr>
          <w:rFonts w:asciiTheme="minorHAnsi" w:hAnsiTheme="minorHAnsi"/>
        </w:rPr>
        <w:t xml:space="preserve">NSP, 2003a. Secondary data collection for pilot protected areas: </w:t>
      </w:r>
      <w:proofErr w:type="spellStart"/>
      <w:r w:rsidRPr="00106BD2">
        <w:rPr>
          <w:rFonts w:asciiTheme="minorHAnsi" w:hAnsiTheme="minorHAnsi"/>
        </w:rPr>
        <w:t>Lawachara</w:t>
      </w:r>
      <w:proofErr w:type="spellEnd"/>
      <w:r w:rsidRPr="00106BD2">
        <w:rPr>
          <w:rFonts w:asciiTheme="minorHAnsi" w:hAnsiTheme="minorHAnsi"/>
        </w:rPr>
        <w:t xml:space="preserve"> National Park, Rema-</w:t>
      </w:r>
      <w:proofErr w:type="spellStart"/>
      <w:r w:rsidRPr="00106BD2">
        <w:rPr>
          <w:rFonts w:asciiTheme="minorHAnsi" w:hAnsiTheme="minorHAnsi"/>
        </w:rPr>
        <w:t>Kalenga</w:t>
      </w:r>
      <w:proofErr w:type="spellEnd"/>
      <w:r w:rsidRPr="00106BD2">
        <w:rPr>
          <w:rFonts w:asciiTheme="minorHAnsi" w:hAnsiTheme="minorHAnsi"/>
        </w:rPr>
        <w:t xml:space="preserve"> Wildlife Sanctuary, IRG, NACOM and CODEC.</w:t>
      </w:r>
    </w:p>
    <w:p w:rsidR="00716E71" w:rsidRPr="00106BD2" w:rsidRDefault="00716E71" w:rsidP="00C74F86">
      <w:pPr>
        <w:numPr>
          <w:ilvl w:val="0"/>
          <w:numId w:val="1"/>
        </w:numPr>
        <w:autoSpaceDE w:val="0"/>
        <w:autoSpaceDN w:val="0"/>
        <w:adjustRightInd w:val="0"/>
        <w:jc w:val="both"/>
        <w:rPr>
          <w:rFonts w:asciiTheme="minorHAnsi" w:hAnsiTheme="minorHAnsi"/>
        </w:rPr>
      </w:pPr>
      <w:r w:rsidRPr="00106BD2">
        <w:rPr>
          <w:rFonts w:asciiTheme="minorHAnsi" w:hAnsiTheme="minorHAnsi"/>
        </w:rPr>
        <w:t xml:space="preserve">NSP, 2003b. Secondary data collection for pilot protected areas: </w:t>
      </w:r>
      <w:proofErr w:type="spellStart"/>
      <w:r w:rsidRPr="00106BD2">
        <w:rPr>
          <w:rFonts w:asciiTheme="minorHAnsi" w:hAnsiTheme="minorHAnsi"/>
        </w:rPr>
        <w:t>Chunati</w:t>
      </w:r>
      <w:proofErr w:type="spellEnd"/>
      <w:r w:rsidRPr="00106BD2">
        <w:rPr>
          <w:rFonts w:asciiTheme="minorHAnsi" w:hAnsiTheme="minorHAnsi"/>
        </w:rPr>
        <w:t xml:space="preserve"> </w:t>
      </w:r>
      <w:proofErr w:type="spellStart"/>
      <w:r w:rsidRPr="00106BD2">
        <w:rPr>
          <w:rFonts w:asciiTheme="minorHAnsi" w:hAnsiTheme="minorHAnsi"/>
        </w:rPr>
        <w:t>Willdlife</w:t>
      </w:r>
      <w:proofErr w:type="spellEnd"/>
      <w:r w:rsidRPr="00106BD2">
        <w:rPr>
          <w:rFonts w:asciiTheme="minorHAnsi" w:hAnsiTheme="minorHAnsi"/>
        </w:rPr>
        <w:t xml:space="preserve"> Sanctuary, IRG, NACOM and CODEC.</w:t>
      </w:r>
    </w:p>
    <w:p w:rsidR="00716E71" w:rsidRPr="00106BD2" w:rsidRDefault="00716E71" w:rsidP="00C74F86">
      <w:pPr>
        <w:numPr>
          <w:ilvl w:val="0"/>
          <w:numId w:val="1"/>
        </w:numPr>
        <w:autoSpaceDE w:val="0"/>
        <w:autoSpaceDN w:val="0"/>
        <w:adjustRightInd w:val="0"/>
        <w:jc w:val="both"/>
        <w:rPr>
          <w:rFonts w:asciiTheme="minorHAnsi" w:hAnsiTheme="minorHAnsi"/>
        </w:rPr>
      </w:pPr>
      <w:r w:rsidRPr="00106BD2">
        <w:rPr>
          <w:rFonts w:asciiTheme="minorHAnsi" w:hAnsiTheme="minorHAnsi"/>
        </w:rPr>
        <w:t xml:space="preserve">NSP, 2004a. Secondary data collection for pilot protected areas: </w:t>
      </w:r>
      <w:proofErr w:type="spellStart"/>
      <w:r w:rsidRPr="00106BD2">
        <w:rPr>
          <w:rFonts w:asciiTheme="minorHAnsi" w:hAnsiTheme="minorHAnsi"/>
        </w:rPr>
        <w:t>Satchari</w:t>
      </w:r>
      <w:proofErr w:type="spellEnd"/>
      <w:r w:rsidRPr="00106BD2">
        <w:rPr>
          <w:rFonts w:asciiTheme="minorHAnsi" w:hAnsiTheme="minorHAnsi"/>
        </w:rPr>
        <w:t xml:space="preserve"> Reserved Forest, IRG, NACOM and CODEC, 30pp.</w:t>
      </w:r>
    </w:p>
    <w:p w:rsidR="00716E71" w:rsidRPr="00106BD2" w:rsidRDefault="00716E71" w:rsidP="00C74F86">
      <w:pPr>
        <w:numPr>
          <w:ilvl w:val="0"/>
          <w:numId w:val="1"/>
        </w:numPr>
        <w:autoSpaceDE w:val="0"/>
        <w:autoSpaceDN w:val="0"/>
        <w:adjustRightInd w:val="0"/>
        <w:jc w:val="both"/>
        <w:rPr>
          <w:rFonts w:asciiTheme="minorHAnsi" w:hAnsiTheme="minorHAnsi"/>
        </w:rPr>
      </w:pPr>
      <w:r w:rsidRPr="00106BD2">
        <w:rPr>
          <w:rFonts w:asciiTheme="minorHAnsi" w:hAnsiTheme="minorHAnsi"/>
        </w:rPr>
        <w:t xml:space="preserve">NSP, 2004b. Secondary data collection for pilot protected areas: </w:t>
      </w:r>
      <w:proofErr w:type="spellStart"/>
      <w:r w:rsidRPr="00106BD2">
        <w:rPr>
          <w:rFonts w:asciiTheme="minorHAnsi" w:hAnsiTheme="minorHAnsi"/>
        </w:rPr>
        <w:t>Teknaf</w:t>
      </w:r>
      <w:proofErr w:type="spellEnd"/>
      <w:r w:rsidRPr="00106BD2">
        <w:rPr>
          <w:rFonts w:asciiTheme="minorHAnsi" w:hAnsiTheme="minorHAnsi"/>
        </w:rPr>
        <w:t xml:space="preserve"> Game Reserve, IRG, NACOM and CODEC, 40pp.</w:t>
      </w:r>
    </w:p>
    <w:p w:rsidR="00716E71" w:rsidRPr="00106BD2" w:rsidRDefault="00716E71" w:rsidP="00C74F86">
      <w:pPr>
        <w:numPr>
          <w:ilvl w:val="0"/>
          <w:numId w:val="1"/>
        </w:numPr>
        <w:autoSpaceDE w:val="0"/>
        <w:autoSpaceDN w:val="0"/>
        <w:adjustRightInd w:val="0"/>
        <w:jc w:val="both"/>
        <w:rPr>
          <w:rFonts w:asciiTheme="minorHAnsi" w:hAnsiTheme="minorHAnsi"/>
        </w:rPr>
      </w:pPr>
      <w:r w:rsidRPr="00106BD2">
        <w:rPr>
          <w:rFonts w:asciiTheme="minorHAnsi" w:hAnsiTheme="minorHAnsi"/>
        </w:rPr>
        <w:t xml:space="preserve"> NSP, 2004c. Site Level Field Appraisal for Protected Area Co-management: </w:t>
      </w:r>
      <w:proofErr w:type="spellStart"/>
      <w:r w:rsidRPr="00106BD2">
        <w:rPr>
          <w:rFonts w:asciiTheme="minorHAnsi" w:hAnsiTheme="minorHAnsi"/>
        </w:rPr>
        <w:t>Chunati</w:t>
      </w:r>
      <w:proofErr w:type="spellEnd"/>
      <w:r w:rsidRPr="00106BD2">
        <w:rPr>
          <w:rFonts w:asciiTheme="minorHAnsi" w:hAnsiTheme="minorHAnsi"/>
        </w:rPr>
        <w:t xml:space="preserve"> Wildlife Sanctuary, NACOM, IRG and USAID, 122pp.</w:t>
      </w:r>
    </w:p>
    <w:p w:rsidR="00716E71" w:rsidRPr="00106BD2" w:rsidRDefault="00716E71" w:rsidP="00C74F86">
      <w:pPr>
        <w:numPr>
          <w:ilvl w:val="0"/>
          <w:numId w:val="1"/>
        </w:numPr>
        <w:autoSpaceDE w:val="0"/>
        <w:autoSpaceDN w:val="0"/>
        <w:adjustRightInd w:val="0"/>
        <w:jc w:val="both"/>
        <w:rPr>
          <w:rFonts w:asciiTheme="minorHAnsi" w:hAnsiTheme="minorHAnsi"/>
        </w:rPr>
      </w:pPr>
      <w:r w:rsidRPr="00106BD2">
        <w:rPr>
          <w:rFonts w:asciiTheme="minorHAnsi" w:hAnsiTheme="minorHAnsi"/>
        </w:rPr>
        <w:t xml:space="preserve">NSP, 2004d. Site Level Field Appraisal for Protected Area Co-management: </w:t>
      </w:r>
      <w:proofErr w:type="spellStart"/>
      <w:r w:rsidRPr="00106BD2">
        <w:rPr>
          <w:rFonts w:asciiTheme="minorHAnsi" w:hAnsiTheme="minorHAnsi"/>
        </w:rPr>
        <w:t>Lawachara</w:t>
      </w:r>
      <w:proofErr w:type="spellEnd"/>
      <w:r w:rsidRPr="00106BD2">
        <w:rPr>
          <w:rFonts w:asciiTheme="minorHAnsi" w:hAnsiTheme="minorHAnsi"/>
        </w:rPr>
        <w:t xml:space="preserve"> National Park, NACOM, IRG and USAID, 135pp.</w:t>
      </w:r>
    </w:p>
    <w:p w:rsidR="00716E71" w:rsidRPr="00106BD2" w:rsidRDefault="00716E71" w:rsidP="00C74F86">
      <w:pPr>
        <w:numPr>
          <w:ilvl w:val="0"/>
          <w:numId w:val="1"/>
        </w:numPr>
        <w:autoSpaceDE w:val="0"/>
        <w:autoSpaceDN w:val="0"/>
        <w:adjustRightInd w:val="0"/>
        <w:jc w:val="both"/>
        <w:rPr>
          <w:rFonts w:asciiTheme="minorHAnsi" w:hAnsiTheme="minorHAnsi"/>
        </w:rPr>
      </w:pPr>
      <w:r w:rsidRPr="00106BD2">
        <w:rPr>
          <w:rFonts w:asciiTheme="minorHAnsi" w:hAnsiTheme="minorHAnsi"/>
        </w:rPr>
        <w:t>NSP, 2004e. Site Level Field Appraisal for Protected Area Co-management: Rema-</w:t>
      </w:r>
      <w:proofErr w:type="spellStart"/>
      <w:r w:rsidRPr="00106BD2">
        <w:rPr>
          <w:rFonts w:asciiTheme="minorHAnsi" w:hAnsiTheme="minorHAnsi"/>
        </w:rPr>
        <w:t>Kalenga</w:t>
      </w:r>
      <w:proofErr w:type="spellEnd"/>
      <w:r w:rsidRPr="00106BD2">
        <w:rPr>
          <w:rFonts w:asciiTheme="minorHAnsi" w:hAnsiTheme="minorHAnsi"/>
        </w:rPr>
        <w:t xml:space="preserve"> Wildlife Sanctuary, NACOM, IRG and USAID, 116pp.</w:t>
      </w:r>
    </w:p>
    <w:p w:rsidR="00716E71" w:rsidRPr="00106BD2" w:rsidRDefault="00716E71" w:rsidP="00C74F86">
      <w:pPr>
        <w:numPr>
          <w:ilvl w:val="0"/>
          <w:numId w:val="1"/>
        </w:numPr>
        <w:autoSpaceDE w:val="0"/>
        <w:autoSpaceDN w:val="0"/>
        <w:adjustRightInd w:val="0"/>
        <w:jc w:val="both"/>
        <w:rPr>
          <w:rFonts w:asciiTheme="minorHAnsi" w:hAnsiTheme="minorHAnsi"/>
        </w:rPr>
      </w:pPr>
      <w:r w:rsidRPr="00106BD2">
        <w:rPr>
          <w:rFonts w:asciiTheme="minorHAnsi" w:hAnsiTheme="minorHAnsi"/>
        </w:rPr>
        <w:t xml:space="preserve">Nur Muhammed, et al, 2008. ‘Quantitative Assessment of People-Oriented Forestry in Bangladesh: A Case Study in the Tangail Forest Division’ </w:t>
      </w:r>
      <w:r w:rsidRPr="00106BD2">
        <w:rPr>
          <w:rFonts w:asciiTheme="minorHAnsi" w:hAnsiTheme="minorHAnsi"/>
          <w:i/>
        </w:rPr>
        <w:t>Journal of Environmental Management</w:t>
      </w:r>
      <w:r w:rsidRPr="00106BD2">
        <w:rPr>
          <w:rFonts w:asciiTheme="minorHAnsi" w:hAnsiTheme="minorHAnsi"/>
        </w:rPr>
        <w:t xml:space="preserve"> 88.</w:t>
      </w:r>
    </w:p>
    <w:p w:rsidR="00716E71" w:rsidRPr="00106BD2" w:rsidRDefault="00716E71" w:rsidP="00C74F86">
      <w:pPr>
        <w:numPr>
          <w:ilvl w:val="0"/>
          <w:numId w:val="1"/>
        </w:numPr>
        <w:spacing w:after="0"/>
        <w:jc w:val="both"/>
        <w:rPr>
          <w:rFonts w:asciiTheme="minorHAnsi" w:hAnsiTheme="minorHAnsi"/>
          <w:bCs/>
        </w:rPr>
      </w:pPr>
      <w:proofErr w:type="spellStart"/>
      <w:r w:rsidRPr="00106BD2">
        <w:rPr>
          <w:rFonts w:asciiTheme="minorHAnsi" w:hAnsiTheme="minorHAnsi"/>
          <w:bCs/>
        </w:rPr>
        <w:t>Poffenberger</w:t>
      </w:r>
      <w:proofErr w:type="spellEnd"/>
      <w:r w:rsidRPr="00106BD2">
        <w:rPr>
          <w:rFonts w:asciiTheme="minorHAnsi" w:hAnsiTheme="minorHAnsi"/>
          <w:bCs/>
        </w:rPr>
        <w:t>, M., 2000. Communities and forest management in South Asia, a regiona</w:t>
      </w:r>
      <w:r w:rsidR="00106BD2">
        <w:rPr>
          <w:rFonts w:asciiTheme="minorHAnsi" w:hAnsiTheme="minorHAnsi"/>
          <w:bCs/>
        </w:rPr>
        <w:t>l profile of WG-CIFM, IUCN, 174</w:t>
      </w:r>
      <w:r w:rsidRPr="00106BD2">
        <w:rPr>
          <w:rFonts w:asciiTheme="minorHAnsi" w:hAnsiTheme="minorHAnsi"/>
          <w:bCs/>
        </w:rPr>
        <w:t>pp.</w:t>
      </w:r>
    </w:p>
    <w:p w:rsidR="00716E71" w:rsidRPr="00106BD2" w:rsidRDefault="00716E71" w:rsidP="00C74F86">
      <w:pPr>
        <w:numPr>
          <w:ilvl w:val="0"/>
          <w:numId w:val="1"/>
        </w:numPr>
        <w:spacing w:after="0"/>
        <w:jc w:val="both"/>
        <w:rPr>
          <w:rFonts w:asciiTheme="minorHAnsi" w:hAnsiTheme="minorHAnsi"/>
          <w:bCs/>
        </w:rPr>
      </w:pPr>
      <w:proofErr w:type="spellStart"/>
      <w:r w:rsidRPr="00106BD2">
        <w:rPr>
          <w:rFonts w:asciiTheme="minorHAnsi" w:hAnsiTheme="minorHAnsi"/>
          <w:bCs/>
        </w:rPr>
        <w:t>Rajwar</w:t>
      </w:r>
      <w:proofErr w:type="spellEnd"/>
      <w:r w:rsidRPr="00106BD2">
        <w:rPr>
          <w:rFonts w:asciiTheme="minorHAnsi" w:hAnsiTheme="minorHAnsi"/>
          <w:bCs/>
        </w:rPr>
        <w:t xml:space="preserve">, G. S. and M. Kumar, 2011. Fuelwood consumption in two tribal villages of the Nanda Devi Biosphere Reserve of the Indian Himalaya and strategies for fuelwood sustainability, </w:t>
      </w:r>
      <w:r w:rsidRPr="00106BD2">
        <w:rPr>
          <w:rFonts w:asciiTheme="minorHAnsi" w:hAnsiTheme="minorHAnsi"/>
          <w:bCs/>
          <w:i/>
        </w:rPr>
        <w:t>Environ Dev Sustain</w:t>
      </w:r>
      <w:r w:rsidRPr="00106BD2">
        <w:rPr>
          <w:rFonts w:asciiTheme="minorHAnsi" w:hAnsiTheme="minorHAnsi"/>
          <w:bCs/>
        </w:rPr>
        <w:t xml:space="preserve"> 13: 727-741.</w:t>
      </w:r>
    </w:p>
    <w:p w:rsidR="00716E71" w:rsidRPr="00106BD2" w:rsidRDefault="00716E71" w:rsidP="00C74F86">
      <w:pPr>
        <w:numPr>
          <w:ilvl w:val="0"/>
          <w:numId w:val="1"/>
        </w:numPr>
        <w:spacing w:after="0"/>
        <w:jc w:val="both"/>
        <w:rPr>
          <w:rFonts w:asciiTheme="minorHAnsi" w:hAnsiTheme="minorHAnsi"/>
          <w:bCs/>
        </w:rPr>
      </w:pPr>
      <w:r w:rsidRPr="00106BD2">
        <w:rPr>
          <w:rFonts w:asciiTheme="minorHAnsi" w:hAnsiTheme="minorHAnsi"/>
          <w:bCs/>
        </w:rPr>
        <w:t xml:space="preserve"> Ramos, M. A. et al., 2008. Use and knowledge of </w:t>
      </w:r>
      <w:proofErr w:type="spellStart"/>
      <w:r w:rsidRPr="00106BD2">
        <w:rPr>
          <w:rFonts w:asciiTheme="minorHAnsi" w:hAnsiTheme="minorHAnsi"/>
          <w:bCs/>
        </w:rPr>
        <w:t>fuewlwood</w:t>
      </w:r>
      <w:proofErr w:type="spellEnd"/>
      <w:r w:rsidRPr="00106BD2">
        <w:rPr>
          <w:rFonts w:asciiTheme="minorHAnsi" w:hAnsiTheme="minorHAnsi"/>
          <w:bCs/>
        </w:rPr>
        <w:t xml:space="preserve"> in an area of Caatinga vegetation in NE Brazil, </w:t>
      </w:r>
      <w:r w:rsidRPr="00106BD2">
        <w:rPr>
          <w:rFonts w:asciiTheme="minorHAnsi" w:hAnsiTheme="minorHAnsi"/>
          <w:bCs/>
          <w:i/>
        </w:rPr>
        <w:t>Biomass &amp; Energy</w:t>
      </w:r>
      <w:r w:rsidRPr="00106BD2">
        <w:rPr>
          <w:rFonts w:asciiTheme="minorHAnsi" w:hAnsiTheme="minorHAnsi"/>
          <w:bCs/>
        </w:rPr>
        <w:t xml:space="preserve"> 32: 510-517.</w:t>
      </w:r>
    </w:p>
    <w:p w:rsidR="00716E71" w:rsidRPr="00106BD2" w:rsidRDefault="00716E71" w:rsidP="00C74F86">
      <w:pPr>
        <w:numPr>
          <w:ilvl w:val="0"/>
          <w:numId w:val="1"/>
        </w:numPr>
        <w:spacing w:after="0"/>
        <w:jc w:val="both"/>
        <w:rPr>
          <w:rFonts w:asciiTheme="minorHAnsi" w:hAnsiTheme="minorHAnsi"/>
          <w:bCs/>
        </w:rPr>
      </w:pPr>
      <w:r w:rsidRPr="00106BD2">
        <w:rPr>
          <w:rFonts w:asciiTheme="minorHAnsi" w:hAnsiTheme="minorHAnsi"/>
          <w:bCs/>
        </w:rPr>
        <w:lastRenderedPageBreak/>
        <w:t>Rashid, A. Z. M. M.; D., Craig and S. A. Mukul, 2017. Shifting paradigm of governance in the natural resources management of Bangladesh: a centralist to pluralist approach in the forest protected areas management In Mukul an Rashid (</w:t>
      </w:r>
      <w:proofErr w:type="spellStart"/>
      <w:r w:rsidRPr="00106BD2">
        <w:rPr>
          <w:rFonts w:asciiTheme="minorHAnsi" w:hAnsiTheme="minorHAnsi"/>
          <w:bCs/>
        </w:rPr>
        <w:t>eds</w:t>
      </w:r>
      <w:proofErr w:type="spellEnd"/>
      <w:r w:rsidRPr="00106BD2">
        <w:rPr>
          <w:rFonts w:asciiTheme="minorHAnsi" w:hAnsiTheme="minorHAnsi"/>
          <w:bCs/>
        </w:rPr>
        <w:t>), Protected areas: policies, management and future directions, Nova Sc</w:t>
      </w:r>
      <w:r w:rsidR="00106BD2">
        <w:rPr>
          <w:rFonts w:asciiTheme="minorHAnsi" w:hAnsiTheme="minorHAnsi"/>
          <w:bCs/>
        </w:rPr>
        <w:t>ience Publishers, New York, 247</w:t>
      </w:r>
      <w:r w:rsidRPr="00106BD2">
        <w:rPr>
          <w:rFonts w:asciiTheme="minorHAnsi" w:hAnsiTheme="minorHAnsi"/>
          <w:bCs/>
        </w:rPr>
        <w:t>pp.</w:t>
      </w:r>
    </w:p>
    <w:p w:rsidR="00716E71" w:rsidRPr="00106BD2" w:rsidRDefault="00716E71" w:rsidP="00C74F86">
      <w:pPr>
        <w:numPr>
          <w:ilvl w:val="0"/>
          <w:numId w:val="1"/>
        </w:numPr>
        <w:autoSpaceDE w:val="0"/>
        <w:autoSpaceDN w:val="0"/>
        <w:adjustRightInd w:val="0"/>
        <w:jc w:val="both"/>
        <w:rPr>
          <w:rFonts w:asciiTheme="minorHAnsi" w:hAnsiTheme="minorHAnsi"/>
        </w:rPr>
      </w:pPr>
      <w:r w:rsidRPr="00106BD2">
        <w:rPr>
          <w:rFonts w:asciiTheme="minorHAnsi" w:hAnsiTheme="minorHAnsi"/>
        </w:rPr>
        <w:t xml:space="preserve">Rashid, A. Z. M. Manzoor, Donna Craig, Michael I Jeffery and Niaz Ahmed Khan, 2013a. Forest protected area governance in Bangladesh: A focus on the legal and policy framework, </w:t>
      </w:r>
      <w:r w:rsidRPr="00106BD2">
        <w:rPr>
          <w:rFonts w:asciiTheme="minorHAnsi" w:hAnsiTheme="minorHAnsi"/>
          <w:i/>
        </w:rPr>
        <w:t>Chinese Journal of Population, Resources and Environment</w:t>
      </w:r>
      <w:r w:rsidRPr="00106BD2">
        <w:rPr>
          <w:rFonts w:asciiTheme="minorHAnsi" w:hAnsiTheme="minorHAnsi"/>
        </w:rPr>
        <w:t>, Vol. 11(</w:t>
      </w:r>
      <w:r w:rsidRPr="00106BD2">
        <w:rPr>
          <w:rFonts w:asciiTheme="minorHAnsi" w:hAnsiTheme="minorHAnsi"/>
          <w:b/>
        </w:rPr>
        <w:t>4</w:t>
      </w:r>
      <w:r w:rsidRPr="00106BD2">
        <w:rPr>
          <w:rFonts w:asciiTheme="minorHAnsi" w:hAnsiTheme="minorHAnsi"/>
        </w:rPr>
        <w:t>): 345-351.</w:t>
      </w:r>
    </w:p>
    <w:p w:rsidR="00716E71" w:rsidRPr="00106BD2" w:rsidRDefault="00716E71" w:rsidP="00C74F86">
      <w:pPr>
        <w:numPr>
          <w:ilvl w:val="0"/>
          <w:numId w:val="1"/>
        </w:numPr>
        <w:autoSpaceDE w:val="0"/>
        <w:autoSpaceDN w:val="0"/>
        <w:adjustRightInd w:val="0"/>
        <w:jc w:val="both"/>
        <w:rPr>
          <w:rFonts w:asciiTheme="minorHAnsi" w:hAnsiTheme="minorHAnsi"/>
        </w:rPr>
      </w:pPr>
      <w:r w:rsidRPr="00106BD2">
        <w:rPr>
          <w:rFonts w:asciiTheme="minorHAnsi" w:hAnsiTheme="minorHAnsi"/>
        </w:rPr>
        <w:t xml:space="preserve"> Rashid, A. Z. M. Manzoor, Donna Craig, Sharif Ahmed Mukul and Niaz Ahmed Khan, 2013b. </w:t>
      </w:r>
      <w:r w:rsidRPr="00106BD2">
        <w:rPr>
          <w:rFonts w:asciiTheme="minorHAnsi" w:hAnsiTheme="minorHAnsi"/>
          <w:bCs/>
        </w:rPr>
        <w:t>A journey towards shared governance</w:t>
      </w:r>
      <w:r w:rsidRPr="00106BD2">
        <w:rPr>
          <w:rFonts w:asciiTheme="minorHAnsi" w:hAnsiTheme="minorHAnsi"/>
          <w:b/>
          <w:bCs/>
        </w:rPr>
        <w:t xml:space="preserve">: </w:t>
      </w:r>
      <w:r w:rsidRPr="00106BD2">
        <w:rPr>
          <w:rFonts w:asciiTheme="minorHAnsi" w:hAnsiTheme="minorHAnsi"/>
        </w:rPr>
        <w:t xml:space="preserve">status and prospects of collaborative management in the protected areas of Bangladesh, </w:t>
      </w:r>
      <w:r w:rsidRPr="00106BD2">
        <w:rPr>
          <w:rFonts w:asciiTheme="minorHAnsi" w:hAnsiTheme="minorHAnsi"/>
          <w:i/>
        </w:rPr>
        <w:t>Journal of Forestry Research</w:t>
      </w:r>
      <w:r w:rsidRPr="00106BD2">
        <w:rPr>
          <w:rFonts w:asciiTheme="minorHAnsi" w:hAnsiTheme="minorHAnsi"/>
        </w:rPr>
        <w:t>, Vol. 24(</w:t>
      </w:r>
      <w:r w:rsidRPr="00106BD2">
        <w:rPr>
          <w:rFonts w:asciiTheme="minorHAnsi" w:hAnsiTheme="minorHAnsi"/>
          <w:b/>
        </w:rPr>
        <w:t>3</w:t>
      </w:r>
      <w:r w:rsidRPr="00106BD2">
        <w:rPr>
          <w:rFonts w:asciiTheme="minorHAnsi" w:hAnsiTheme="minorHAnsi"/>
        </w:rPr>
        <w:t>): 599-605.</w:t>
      </w:r>
    </w:p>
    <w:p w:rsidR="00716E71" w:rsidRPr="00106BD2" w:rsidRDefault="00716E71" w:rsidP="00C74F86">
      <w:pPr>
        <w:numPr>
          <w:ilvl w:val="0"/>
          <w:numId w:val="1"/>
        </w:numPr>
        <w:spacing w:before="0" w:after="0"/>
        <w:jc w:val="both"/>
        <w:rPr>
          <w:rFonts w:asciiTheme="minorHAnsi" w:hAnsiTheme="minorHAnsi"/>
          <w:bCs/>
        </w:rPr>
      </w:pPr>
      <w:r w:rsidRPr="00106BD2">
        <w:rPr>
          <w:rFonts w:asciiTheme="minorHAnsi" w:hAnsiTheme="minorHAnsi"/>
          <w:bCs/>
        </w:rPr>
        <w:t xml:space="preserve">Resurrection, B. P. and R. </w:t>
      </w:r>
      <w:proofErr w:type="spellStart"/>
      <w:r w:rsidRPr="00106BD2">
        <w:rPr>
          <w:rFonts w:asciiTheme="minorHAnsi" w:hAnsiTheme="minorHAnsi"/>
          <w:bCs/>
        </w:rPr>
        <w:t>Elmhirst</w:t>
      </w:r>
      <w:proofErr w:type="spellEnd"/>
      <w:r w:rsidRPr="00106BD2">
        <w:rPr>
          <w:rFonts w:asciiTheme="minorHAnsi" w:hAnsiTheme="minorHAnsi"/>
          <w:bCs/>
        </w:rPr>
        <w:t>(eds.), 2008. Gender and Natural Resource Management: Livelihoods, mobility and intervent</w:t>
      </w:r>
      <w:r w:rsidR="00106BD2">
        <w:rPr>
          <w:rFonts w:asciiTheme="minorHAnsi" w:hAnsiTheme="minorHAnsi"/>
          <w:bCs/>
        </w:rPr>
        <w:t>ions, Earthscan Publishers, 276</w:t>
      </w:r>
      <w:r w:rsidRPr="00106BD2">
        <w:rPr>
          <w:rFonts w:asciiTheme="minorHAnsi" w:hAnsiTheme="minorHAnsi"/>
          <w:bCs/>
        </w:rPr>
        <w:t>pp.</w:t>
      </w:r>
    </w:p>
    <w:p w:rsidR="00716E71" w:rsidRPr="00106BD2" w:rsidRDefault="00716E71" w:rsidP="00C74F86">
      <w:pPr>
        <w:numPr>
          <w:ilvl w:val="0"/>
          <w:numId w:val="1"/>
        </w:numPr>
        <w:autoSpaceDE w:val="0"/>
        <w:autoSpaceDN w:val="0"/>
        <w:adjustRightInd w:val="0"/>
        <w:jc w:val="both"/>
        <w:rPr>
          <w:rFonts w:asciiTheme="minorHAnsi" w:hAnsiTheme="minorHAnsi"/>
        </w:rPr>
      </w:pPr>
      <w:r w:rsidRPr="00106BD2">
        <w:rPr>
          <w:rFonts w:asciiTheme="minorHAnsi" w:hAnsiTheme="minorHAnsi"/>
        </w:rPr>
        <w:t xml:space="preserve">Roy, A. K. D.; K. Alam and J. </w:t>
      </w:r>
      <w:proofErr w:type="spellStart"/>
      <w:r w:rsidRPr="00106BD2">
        <w:rPr>
          <w:rFonts w:asciiTheme="minorHAnsi" w:hAnsiTheme="minorHAnsi"/>
        </w:rPr>
        <w:t>Gow</w:t>
      </w:r>
      <w:proofErr w:type="spellEnd"/>
      <w:r w:rsidRPr="00106BD2">
        <w:rPr>
          <w:rFonts w:asciiTheme="minorHAnsi" w:hAnsiTheme="minorHAnsi"/>
        </w:rPr>
        <w:t xml:space="preserve">, 2012. A review of the role of property rights and forest policies in the management of the Sundarbans Mangrove Forest in Bangladesh, </w:t>
      </w:r>
      <w:r w:rsidRPr="00106BD2">
        <w:rPr>
          <w:rFonts w:asciiTheme="minorHAnsi" w:hAnsiTheme="minorHAnsi"/>
          <w:i/>
        </w:rPr>
        <w:t>Forest Policy and Economics</w:t>
      </w:r>
      <w:r w:rsidRPr="00106BD2">
        <w:rPr>
          <w:rFonts w:asciiTheme="minorHAnsi" w:hAnsiTheme="minorHAnsi"/>
        </w:rPr>
        <w:t xml:space="preserve"> 15:46-53.</w:t>
      </w:r>
    </w:p>
    <w:p w:rsidR="00716E71" w:rsidRPr="00106BD2" w:rsidRDefault="00716E71" w:rsidP="00C74F86">
      <w:pPr>
        <w:numPr>
          <w:ilvl w:val="0"/>
          <w:numId w:val="1"/>
        </w:numPr>
        <w:spacing w:before="0" w:after="0"/>
        <w:jc w:val="both"/>
        <w:rPr>
          <w:rFonts w:asciiTheme="minorHAnsi" w:hAnsiTheme="minorHAnsi"/>
          <w:bCs/>
        </w:rPr>
      </w:pPr>
      <w:r w:rsidRPr="00106BD2">
        <w:rPr>
          <w:rFonts w:asciiTheme="minorHAnsi" w:hAnsiTheme="minorHAnsi"/>
          <w:bCs/>
        </w:rPr>
        <w:t xml:space="preserve"> Salam, M A. and T. Noguchi, 1998. Factor influencing the loss of forest cover in       Bangladesh: An analysis from socio-economic and demographic perspectives, </w:t>
      </w:r>
      <w:r w:rsidRPr="00106BD2">
        <w:rPr>
          <w:rFonts w:asciiTheme="minorHAnsi" w:hAnsiTheme="minorHAnsi"/>
          <w:bCs/>
          <w:i/>
        </w:rPr>
        <w:t>J. For. Res.</w:t>
      </w:r>
      <w:r w:rsidRPr="00106BD2">
        <w:rPr>
          <w:rFonts w:asciiTheme="minorHAnsi" w:hAnsiTheme="minorHAnsi"/>
          <w:bCs/>
        </w:rPr>
        <w:t>, 3: 145-150.</w:t>
      </w:r>
    </w:p>
    <w:p w:rsidR="00716E71" w:rsidRPr="00106BD2" w:rsidRDefault="00716E71" w:rsidP="00C74F86">
      <w:pPr>
        <w:numPr>
          <w:ilvl w:val="0"/>
          <w:numId w:val="1"/>
        </w:numPr>
        <w:autoSpaceDE w:val="0"/>
        <w:autoSpaceDN w:val="0"/>
        <w:adjustRightInd w:val="0"/>
        <w:jc w:val="both"/>
        <w:rPr>
          <w:rFonts w:asciiTheme="minorHAnsi" w:hAnsiTheme="minorHAnsi"/>
        </w:rPr>
      </w:pPr>
      <w:proofErr w:type="spellStart"/>
      <w:r w:rsidRPr="00106BD2">
        <w:rPr>
          <w:rFonts w:asciiTheme="minorHAnsi" w:hAnsiTheme="minorHAnsi"/>
        </w:rPr>
        <w:t>Shabib</w:t>
      </w:r>
      <w:proofErr w:type="spellEnd"/>
      <w:r w:rsidRPr="00106BD2">
        <w:rPr>
          <w:rFonts w:asciiTheme="minorHAnsi" w:hAnsiTheme="minorHAnsi"/>
        </w:rPr>
        <w:t xml:space="preserve">, Dalia and S. Khan, 2014. Gender sensitive adaptation policy making in Bangladesh: status and ways forward for improved mainstreaming, </w:t>
      </w:r>
      <w:r w:rsidRPr="00106BD2">
        <w:rPr>
          <w:rFonts w:asciiTheme="minorHAnsi" w:hAnsiTheme="minorHAnsi"/>
          <w:i/>
        </w:rPr>
        <w:t xml:space="preserve">Climate and Development </w:t>
      </w:r>
      <w:r w:rsidRPr="00106BD2">
        <w:rPr>
          <w:rFonts w:asciiTheme="minorHAnsi" w:hAnsiTheme="minorHAnsi"/>
        </w:rPr>
        <w:t>Vol 6(</w:t>
      </w:r>
      <w:r w:rsidRPr="00106BD2">
        <w:rPr>
          <w:rFonts w:asciiTheme="minorHAnsi" w:hAnsiTheme="minorHAnsi"/>
          <w:b/>
        </w:rPr>
        <w:t>4</w:t>
      </w:r>
      <w:r w:rsidRPr="00106BD2">
        <w:rPr>
          <w:rFonts w:asciiTheme="minorHAnsi" w:hAnsiTheme="minorHAnsi"/>
        </w:rPr>
        <w:t>)329-335.</w:t>
      </w:r>
    </w:p>
    <w:p w:rsidR="00716E71" w:rsidRPr="00106BD2" w:rsidRDefault="00716E71" w:rsidP="00C74F86">
      <w:pPr>
        <w:numPr>
          <w:ilvl w:val="0"/>
          <w:numId w:val="1"/>
        </w:numPr>
        <w:autoSpaceDE w:val="0"/>
        <w:autoSpaceDN w:val="0"/>
        <w:adjustRightInd w:val="0"/>
        <w:jc w:val="both"/>
        <w:rPr>
          <w:rFonts w:asciiTheme="minorHAnsi" w:hAnsiTheme="minorHAnsi"/>
        </w:rPr>
      </w:pPr>
      <w:r w:rsidRPr="00106BD2">
        <w:rPr>
          <w:rFonts w:asciiTheme="minorHAnsi" w:hAnsiTheme="minorHAnsi"/>
        </w:rPr>
        <w:t xml:space="preserve">Sultana, R., 2007. Linking fuel wood collection and community livelihood in </w:t>
      </w:r>
      <w:proofErr w:type="spellStart"/>
      <w:r w:rsidRPr="00106BD2">
        <w:rPr>
          <w:rFonts w:asciiTheme="minorHAnsi" w:hAnsiTheme="minorHAnsi"/>
        </w:rPr>
        <w:t>Satchari</w:t>
      </w:r>
      <w:proofErr w:type="spellEnd"/>
      <w:r w:rsidRPr="00106BD2">
        <w:rPr>
          <w:rFonts w:asciiTheme="minorHAnsi" w:hAnsiTheme="minorHAnsi"/>
        </w:rPr>
        <w:t xml:space="preserve"> National Park.</w:t>
      </w:r>
    </w:p>
    <w:p w:rsidR="00716E71" w:rsidRPr="00106BD2" w:rsidRDefault="00716E71" w:rsidP="00C74F86">
      <w:pPr>
        <w:numPr>
          <w:ilvl w:val="0"/>
          <w:numId w:val="1"/>
        </w:numPr>
        <w:autoSpaceDE w:val="0"/>
        <w:autoSpaceDN w:val="0"/>
        <w:adjustRightInd w:val="0"/>
        <w:jc w:val="both"/>
        <w:rPr>
          <w:rFonts w:asciiTheme="minorHAnsi" w:hAnsiTheme="minorHAnsi"/>
        </w:rPr>
      </w:pPr>
      <w:r w:rsidRPr="00106BD2">
        <w:rPr>
          <w:rFonts w:asciiTheme="minorHAnsi" w:hAnsiTheme="minorHAnsi"/>
          <w:bCs/>
        </w:rPr>
        <w:t xml:space="preserve">Sweetman, C. and M. </w:t>
      </w:r>
      <w:proofErr w:type="spellStart"/>
      <w:r w:rsidRPr="00106BD2">
        <w:rPr>
          <w:rFonts w:asciiTheme="minorHAnsi" w:hAnsiTheme="minorHAnsi"/>
          <w:bCs/>
        </w:rPr>
        <w:t>Ezpeletay</w:t>
      </w:r>
      <w:proofErr w:type="spellEnd"/>
      <w:r w:rsidRPr="00106BD2">
        <w:rPr>
          <w:rFonts w:asciiTheme="minorHAnsi" w:hAnsiTheme="minorHAnsi"/>
          <w:bCs/>
        </w:rPr>
        <w:t>, 2017. Introduction: Natural Resource Justice, Gender &amp; development, Vol. 25(</w:t>
      </w:r>
      <w:r w:rsidRPr="00106BD2">
        <w:rPr>
          <w:rFonts w:asciiTheme="minorHAnsi" w:hAnsiTheme="minorHAnsi"/>
          <w:b/>
          <w:bCs/>
        </w:rPr>
        <w:t>3</w:t>
      </w:r>
      <w:r w:rsidRPr="00106BD2">
        <w:rPr>
          <w:rFonts w:asciiTheme="minorHAnsi" w:hAnsiTheme="minorHAnsi"/>
          <w:bCs/>
        </w:rPr>
        <w:t>): 353-366.</w:t>
      </w:r>
    </w:p>
    <w:p w:rsidR="00716E71" w:rsidRDefault="00716E71" w:rsidP="00C74F86">
      <w:pPr>
        <w:numPr>
          <w:ilvl w:val="0"/>
          <w:numId w:val="1"/>
        </w:numPr>
        <w:spacing w:before="0" w:after="0"/>
        <w:jc w:val="both"/>
        <w:rPr>
          <w:rFonts w:asciiTheme="minorHAnsi" w:hAnsiTheme="minorHAnsi"/>
          <w:bCs/>
        </w:rPr>
      </w:pPr>
      <w:r w:rsidRPr="00106BD2">
        <w:rPr>
          <w:rFonts w:asciiTheme="minorHAnsi" w:hAnsiTheme="minorHAnsi"/>
          <w:bCs/>
        </w:rPr>
        <w:t xml:space="preserve"> </w:t>
      </w:r>
      <w:proofErr w:type="spellStart"/>
      <w:r w:rsidRPr="00106BD2">
        <w:rPr>
          <w:rFonts w:asciiTheme="minorHAnsi" w:hAnsiTheme="minorHAnsi"/>
          <w:bCs/>
        </w:rPr>
        <w:t>Tabuti</w:t>
      </w:r>
      <w:proofErr w:type="spellEnd"/>
      <w:r w:rsidRPr="00106BD2">
        <w:rPr>
          <w:rFonts w:asciiTheme="minorHAnsi" w:hAnsiTheme="minorHAnsi"/>
          <w:bCs/>
        </w:rPr>
        <w:t xml:space="preserve">, J. R. S., 2007. The uses, local perceptions and ecological status of 16 woody species of </w:t>
      </w:r>
      <w:proofErr w:type="spellStart"/>
      <w:r w:rsidRPr="00106BD2">
        <w:rPr>
          <w:rFonts w:asciiTheme="minorHAnsi" w:hAnsiTheme="minorHAnsi"/>
          <w:bCs/>
        </w:rPr>
        <w:t>Gadumire</w:t>
      </w:r>
      <w:proofErr w:type="spellEnd"/>
      <w:r w:rsidRPr="00106BD2">
        <w:rPr>
          <w:rFonts w:asciiTheme="minorHAnsi" w:hAnsiTheme="minorHAnsi"/>
          <w:bCs/>
        </w:rPr>
        <w:t xml:space="preserve"> Sub-county, Uganda, </w:t>
      </w:r>
      <w:r w:rsidRPr="00106BD2">
        <w:rPr>
          <w:rFonts w:asciiTheme="minorHAnsi" w:hAnsiTheme="minorHAnsi"/>
          <w:bCs/>
          <w:i/>
        </w:rPr>
        <w:t xml:space="preserve">Biodiverse </w:t>
      </w:r>
      <w:proofErr w:type="spellStart"/>
      <w:r w:rsidRPr="00106BD2">
        <w:rPr>
          <w:rFonts w:asciiTheme="minorHAnsi" w:hAnsiTheme="minorHAnsi"/>
          <w:bCs/>
          <w:i/>
        </w:rPr>
        <w:t>Conserv</w:t>
      </w:r>
      <w:proofErr w:type="spellEnd"/>
      <w:r w:rsidRPr="00106BD2">
        <w:rPr>
          <w:rFonts w:asciiTheme="minorHAnsi" w:hAnsiTheme="minorHAnsi"/>
          <w:bCs/>
        </w:rPr>
        <w:t xml:space="preserve"> 16: 1901-1915.</w:t>
      </w:r>
    </w:p>
    <w:p w:rsidR="00C74F86" w:rsidRPr="00106BD2" w:rsidRDefault="00C74F86" w:rsidP="00C74F86">
      <w:pPr>
        <w:spacing w:before="0" w:after="0"/>
        <w:ind w:left="720"/>
        <w:jc w:val="both"/>
        <w:rPr>
          <w:rFonts w:asciiTheme="minorHAnsi" w:hAnsiTheme="minorHAnsi"/>
          <w:bCs/>
        </w:rPr>
      </w:pPr>
    </w:p>
    <w:p w:rsidR="00716E71" w:rsidRPr="00106BD2" w:rsidRDefault="00716E71" w:rsidP="00C74F86">
      <w:pPr>
        <w:numPr>
          <w:ilvl w:val="0"/>
          <w:numId w:val="1"/>
        </w:numPr>
        <w:spacing w:before="0" w:after="0"/>
        <w:jc w:val="both"/>
        <w:rPr>
          <w:rFonts w:asciiTheme="minorHAnsi" w:hAnsiTheme="minorHAnsi"/>
          <w:bCs/>
        </w:rPr>
      </w:pPr>
      <w:r w:rsidRPr="00106BD2">
        <w:rPr>
          <w:rFonts w:asciiTheme="minorHAnsi" w:hAnsiTheme="minorHAnsi"/>
          <w:bCs/>
        </w:rPr>
        <w:t>UNFCCC, 2017. Achieving the goal of gender balance, FCCC/TP/2017/8, United Nations.</w:t>
      </w:r>
    </w:p>
    <w:p w:rsidR="002027A1" w:rsidRPr="00C4496C" w:rsidRDefault="002027A1" w:rsidP="00603DDA">
      <w:pPr>
        <w:spacing w:before="0" w:after="0" w:line="240" w:lineRule="auto"/>
        <w:jc w:val="both"/>
        <w:rPr>
          <w:bCs/>
        </w:rPr>
      </w:pPr>
    </w:p>
    <w:sectPr w:rsidR="002027A1" w:rsidRPr="00C4496C" w:rsidSect="0018082C">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64EE" w:rsidRDefault="00C264EE" w:rsidP="0048171C">
      <w:pPr>
        <w:spacing w:before="0" w:after="0" w:line="240" w:lineRule="auto"/>
      </w:pPr>
      <w:r>
        <w:separator/>
      </w:r>
    </w:p>
  </w:endnote>
  <w:endnote w:type="continuationSeparator" w:id="0">
    <w:p w:rsidR="00C264EE" w:rsidRDefault="00C264EE" w:rsidP="0048171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rinda">
    <w:panose1 w:val="00000400000000000000"/>
    <w:charset w:val="00"/>
    <w:family w:val="swiss"/>
    <w:pitch w:val="variable"/>
    <w:sig w:usb0="00010003" w:usb1="00000000" w:usb2="00000000" w:usb3="00000000" w:csb0="00000001" w:csb1="00000000"/>
  </w:font>
  <w:font w:name="Open Sans">
    <w:altName w:val="Segoe UI"/>
    <w:panose1 w:val="00000000000000000000"/>
    <w:charset w:val="00"/>
    <w:family w:val="swiss"/>
    <w:notTrueType/>
    <w:pitch w:val="default"/>
    <w:sig w:usb0="00000003" w:usb1="00000000" w:usb2="00000000" w:usb3="00000000" w:csb0="00000001" w:csb1="00000000"/>
  </w:font>
  <w:font w:name="BundesSerifOffice">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6F56" w:rsidRDefault="00836F56" w:rsidP="00D813D8">
    <w:pPr>
      <w:pStyle w:val="Footer"/>
      <w:jc w:val="center"/>
    </w:pPr>
    <w:r w:rsidRPr="000A1354">
      <w:rPr>
        <w:rFonts w:cs="Calibri"/>
      </w:rPr>
      <w:fldChar w:fldCharType="begin"/>
    </w:r>
    <w:r w:rsidRPr="000A1354">
      <w:rPr>
        <w:rFonts w:cs="Calibri"/>
      </w:rPr>
      <w:instrText xml:space="preserve"> PAGE   \</w:instrText>
    </w:r>
    <w:r w:rsidRPr="000A1354">
      <w:rPr>
        <w:cs/>
      </w:rPr>
      <w:instrText xml:space="preserve">* </w:instrText>
    </w:r>
    <w:r w:rsidRPr="000A1354">
      <w:rPr>
        <w:rFonts w:cs="Calibri"/>
      </w:rPr>
      <w:instrText xml:space="preserve">MERGEFORMAT </w:instrText>
    </w:r>
    <w:r w:rsidRPr="000A1354">
      <w:rPr>
        <w:rFonts w:cs="Calibri"/>
      </w:rPr>
      <w:fldChar w:fldCharType="separate"/>
    </w:r>
    <w:r w:rsidR="00266721">
      <w:rPr>
        <w:rFonts w:cs="Calibri"/>
        <w:noProof/>
      </w:rPr>
      <w:t>20</w:t>
    </w:r>
    <w:r w:rsidRPr="000A1354">
      <w:rPr>
        <w:rFonts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6F56" w:rsidRDefault="00836F56" w:rsidP="00D813D8">
    <w:pPr>
      <w:pStyle w:val="Footer"/>
      <w:tabs>
        <w:tab w:val="clear" w:pos="4680"/>
        <w:tab w:val="clear" w:pos="9360"/>
        <w:tab w:val="left" w:pos="308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64EE" w:rsidRDefault="00C264EE" w:rsidP="0048171C">
      <w:pPr>
        <w:spacing w:before="0" w:after="0" w:line="240" w:lineRule="auto"/>
      </w:pPr>
      <w:r>
        <w:separator/>
      </w:r>
    </w:p>
  </w:footnote>
  <w:footnote w:type="continuationSeparator" w:id="0">
    <w:p w:rsidR="00C264EE" w:rsidRDefault="00C264EE" w:rsidP="0048171C">
      <w:pPr>
        <w:spacing w:before="0" w:after="0" w:line="240" w:lineRule="auto"/>
      </w:pPr>
      <w:r>
        <w:continuationSeparator/>
      </w:r>
    </w:p>
  </w:footnote>
  <w:footnote w:id="1">
    <w:p w:rsidR="00836F56" w:rsidRPr="006D1E2A" w:rsidRDefault="00836F56" w:rsidP="002F4910">
      <w:pPr>
        <w:pStyle w:val="FootnoteText"/>
        <w:ind w:hanging="357"/>
      </w:pPr>
      <w:r w:rsidRPr="006D1E2A">
        <w:rPr>
          <w:rStyle w:val="FootnoteReference"/>
        </w:rPr>
        <w:footnoteRef/>
      </w:r>
      <w:r w:rsidRPr="006D1E2A">
        <w:t xml:space="preserve"> </w:t>
      </w:r>
      <w:proofErr w:type="spellStart"/>
      <w:r w:rsidRPr="008C4748">
        <w:rPr>
          <w:sz w:val="20"/>
          <w:szCs w:val="20"/>
        </w:rPr>
        <w:t>Taungya</w:t>
      </w:r>
      <w:proofErr w:type="spellEnd"/>
      <w:r w:rsidRPr="008C4748">
        <w:rPr>
          <w:sz w:val="20"/>
          <w:szCs w:val="20"/>
        </w:rPr>
        <w:t xml:space="preserve"> derived from the Burmese terms where </w:t>
      </w:r>
      <w:proofErr w:type="spellStart"/>
      <w:r w:rsidRPr="008C4748">
        <w:rPr>
          <w:i/>
          <w:sz w:val="20"/>
          <w:szCs w:val="20"/>
        </w:rPr>
        <w:t>taung</w:t>
      </w:r>
      <w:proofErr w:type="spellEnd"/>
      <w:r w:rsidRPr="008C4748">
        <w:rPr>
          <w:sz w:val="20"/>
          <w:szCs w:val="20"/>
        </w:rPr>
        <w:t xml:space="preserve"> means hill and </w:t>
      </w:r>
      <w:proofErr w:type="spellStart"/>
      <w:r w:rsidRPr="008C4748">
        <w:rPr>
          <w:i/>
          <w:sz w:val="20"/>
          <w:szCs w:val="20"/>
        </w:rPr>
        <w:t>ya</w:t>
      </w:r>
      <w:proofErr w:type="spellEnd"/>
      <w:r w:rsidRPr="008C4748">
        <w:rPr>
          <w:sz w:val="20"/>
          <w:szCs w:val="20"/>
        </w:rPr>
        <w:t xml:space="preserve"> means cultivation. It is the form of hill cultivation widely practiced by the tribal swidden farmers in the Chittagong Hill Tracts.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257D9"/>
    <w:multiLevelType w:val="hybridMultilevel"/>
    <w:tmpl w:val="8FA63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DF75DA"/>
    <w:multiLevelType w:val="hybridMultilevel"/>
    <w:tmpl w:val="12C6B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C45FB4"/>
    <w:multiLevelType w:val="hybridMultilevel"/>
    <w:tmpl w:val="F96AE9F4"/>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170053"/>
    <w:multiLevelType w:val="hybridMultilevel"/>
    <w:tmpl w:val="C7ACB45A"/>
    <w:lvl w:ilvl="0" w:tplc="6B5AF3E8">
      <w:start w:val="1"/>
      <w:numFmt w:val="decimal"/>
      <w:lvlText w:val="%1."/>
      <w:lvlJc w:val="left"/>
      <w:pPr>
        <w:ind w:left="72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31497987"/>
    <w:multiLevelType w:val="hybridMultilevel"/>
    <w:tmpl w:val="34D2D23C"/>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3A3A0FB7"/>
    <w:multiLevelType w:val="hybridMultilevel"/>
    <w:tmpl w:val="12E64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503CCF"/>
    <w:multiLevelType w:val="hybridMultilevel"/>
    <w:tmpl w:val="FD764EE0"/>
    <w:lvl w:ilvl="0" w:tplc="6B5AF3E8">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7772C"/>
    <w:rsid w:val="0000670D"/>
    <w:rsid w:val="000126B4"/>
    <w:rsid w:val="00013050"/>
    <w:rsid w:val="0001566A"/>
    <w:rsid w:val="0002536B"/>
    <w:rsid w:val="00027BEB"/>
    <w:rsid w:val="00031760"/>
    <w:rsid w:val="000321E1"/>
    <w:rsid w:val="00032C2B"/>
    <w:rsid w:val="00036A19"/>
    <w:rsid w:val="00037CBE"/>
    <w:rsid w:val="00041556"/>
    <w:rsid w:val="0004172C"/>
    <w:rsid w:val="000510B0"/>
    <w:rsid w:val="000546A7"/>
    <w:rsid w:val="00055789"/>
    <w:rsid w:val="0006168C"/>
    <w:rsid w:val="0006296E"/>
    <w:rsid w:val="00063E52"/>
    <w:rsid w:val="00065AFC"/>
    <w:rsid w:val="00072E08"/>
    <w:rsid w:val="00075D76"/>
    <w:rsid w:val="00084529"/>
    <w:rsid w:val="000873F4"/>
    <w:rsid w:val="00093584"/>
    <w:rsid w:val="000946A5"/>
    <w:rsid w:val="00094BA5"/>
    <w:rsid w:val="000A0D0B"/>
    <w:rsid w:val="000A339F"/>
    <w:rsid w:val="000B1EBB"/>
    <w:rsid w:val="000E0CD0"/>
    <w:rsid w:val="000E6FF7"/>
    <w:rsid w:val="000F6FB4"/>
    <w:rsid w:val="00101F3C"/>
    <w:rsid w:val="0010458A"/>
    <w:rsid w:val="00105116"/>
    <w:rsid w:val="00106BD2"/>
    <w:rsid w:val="00114B3C"/>
    <w:rsid w:val="00117368"/>
    <w:rsid w:val="001241F4"/>
    <w:rsid w:val="00131F44"/>
    <w:rsid w:val="00133E59"/>
    <w:rsid w:val="00135917"/>
    <w:rsid w:val="00144504"/>
    <w:rsid w:val="00146747"/>
    <w:rsid w:val="0014692A"/>
    <w:rsid w:val="00156665"/>
    <w:rsid w:val="00157C1F"/>
    <w:rsid w:val="00170742"/>
    <w:rsid w:val="00170B63"/>
    <w:rsid w:val="00171B91"/>
    <w:rsid w:val="00173781"/>
    <w:rsid w:val="00174800"/>
    <w:rsid w:val="0018082C"/>
    <w:rsid w:val="001833F7"/>
    <w:rsid w:val="00185E6F"/>
    <w:rsid w:val="00191C29"/>
    <w:rsid w:val="00192765"/>
    <w:rsid w:val="0019513E"/>
    <w:rsid w:val="00196F93"/>
    <w:rsid w:val="001A2AF1"/>
    <w:rsid w:val="001A54B6"/>
    <w:rsid w:val="001A67C0"/>
    <w:rsid w:val="001A6A1C"/>
    <w:rsid w:val="001B1487"/>
    <w:rsid w:val="001B5073"/>
    <w:rsid w:val="001B57ED"/>
    <w:rsid w:val="001C15B5"/>
    <w:rsid w:val="001C315F"/>
    <w:rsid w:val="001C4BCC"/>
    <w:rsid w:val="001C6B6B"/>
    <w:rsid w:val="001D22B6"/>
    <w:rsid w:val="001E3874"/>
    <w:rsid w:val="001E6779"/>
    <w:rsid w:val="001F1E55"/>
    <w:rsid w:val="0020159C"/>
    <w:rsid w:val="00201D9B"/>
    <w:rsid w:val="002027A1"/>
    <w:rsid w:val="002038D3"/>
    <w:rsid w:val="0020769C"/>
    <w:rsid w:val="00214BE1"/>
    <w:rsid w:val="0022381D"/>
    <w:rsid w:val="00225157"/>
    <w:rsid w:val="00230047"/>
    <w:rsid w:val="00234546"/>
    <w:rsid w:val="00237DB8"/>
    <w:rsid w:val="00252A54"/>
    <w:rsid w:val="00254AD4"/>
    <w:rsid w:val="00256250"/>
    <w:rsid w:val="002606FF"/>
    <w:rsid w:val="00266721"/>
    <w:rsid w:val="00266B8C"/>
    <w:rsid w:val="002733B4"/>
    <w:rsid w:val="002770D6"/>
    <w:rsid w:val="00277629"/>
    <w:rsid w:val="002805B5"/>
    <w:rsid w:val="00293FDB"/>
    <w:rsid w:val="00295F38"/>
    <w:rsid w:val="002A01E2"/>
    <w:rsid w:val="002A3868"/>
    <w:rsid w:val="002A4532"/>
    <w:rsid w:val="002A4B4D"/>
    <w:rsid w:val="002A7ABC"/>
    <w:rsid w:val="002B59EA"/>
    <w:rsid w:val="002C113D"/>
    <w:rsid w:val="002C235B"/>
    <w:rsid w:val="002C64E6"/>
    <w:rsid w:val="002C6926"/>
    <w:rsid w:val="002D26F8"/>
    <w:rsid w:val="002D6BD2"/>
    <w:rsid w:val="002F4910"/>
    <w:rsid w:val="002F7B2F"/>
    <w:rsid w:val="003171F3"/>
    <w:rsid w:val="0032097D"/>
    <w:rsid w:val="003213CB"/>
    <w:rsid w:val="003307B4"/>
    <w:rsid w:val="0034116B"/>
    <w:rsid w:val="00341E33"/>
    <w:rsid w:val="003474BB"/>
    <w:rsid w:val="003523E5"/>
    <w:rsid w:val="00353BCC"/>
    <w:rsid w:val="0035423B"/>
    <w:rsid w:val="00367275"/>
    <w:rsid w:val="0038528E"/>
    <w:rsid w:val="00391830"/>
    <w:rsid w:val="003C265A"/>
    <w:rsid w:val="003C50FA"/>
    <w:rsid w:val="003C52B1"/>
    <w:rsid w:val="003C687D"/>
    <w:rsid w:val="003D05ED"/>
    <w:rsid w:val="003D0A5F"/>
    <w:rsid w:val="003D2062"/>
    <w:rsid w:val="003D2686"/>
    <w:rsid w:val="003E6ED9"/>
    <w:rsid w:val="003F1877"/>
    <w:rsid w:val="004172E0"/>
    <w:rsid w:val="00417D79"/>
    <w:rsid w:val="004227E4"/>
    <w:rsid w:val="00426AED"/>
    <w:rsid w:val="00433D1B"/>
    <w:rsid w:val="00434585"/>
    <w:rsid w:val="00442238"/>
    <w:rsid w:val="004502E2"/>
    <w:rsid w:val="00450AFC"/>
    <w:rsid w:val="0045505F"/>
    <w:rsid w:val="00456744"/>
    <w:rsid w:val="00460F92"/>
    <w:rsid w:val="00471CC2"/>
    <w:rsid w:val="0048024A"/>
    <w:rsid w:val="0048171C"/>
    <w:rsid w:val="004844A8"/>
    <w:rsid w:val="00484B6D"/>
    <w:rsid w:val="00486DE4"/>
    <w:rsid w:val="004917A3"/>
    <w:rsid w:val="004A3C5D"/>
    <w:rsid w:val="004B19D8"/>
    <w:rsid w:val="004B1A8B"/>
    <w:rsid w:val="004B1D44"/>
    <w:rsid w:val="004B317E"/>
    <w:rsid w:val="004B3FCE"/>
    <w:rsid w:val="004C37C3"/>
    <w:rsid w:val="004C4AA2"/>
    <w:rsid w:val="004D103E"/>
    <w:rsid w:val="004D11DD"/>
    <w:rsid w:val="004D1EB1"/>
    <w:rsid w:val="004D5F4D"/>
    <w:rsid w:val="004D7292"/>
    <w:rsid w:val="004D74EF"/>
    <w:rsid w:val="004E1248"/>
    <w:rsid w:val="004E1B7E"/>
    <w:rsid w:val="004F2488"/>
    <w:rsid w:val="004F353B"/>
    <w:rsid w:val="004F7729"/>
    <w:rsid w:val="004F7E1E"/>
    <w:rsid w:val="00503369"/>
    <w:rsid w:val="005041F5"/>
    <w:rsid w:val="00506603"/>
    <w:rsid w:val="005067A5"/>
    <w:rsid w:val="00506B22"/>
    <w:rsid w:val="00507347"/>
    <w:rsid w:val="00512910"/>
    <w:rsid w:val="00513A59"/>
    <w:rsid w:val="00526A02"/>
    <w:rsid w:val="005366E4"/>
    <w:rsid w:val="00545712"/>
    <w:rsid w:val="00550B1E"/>
    <w:rsid w:val="00553CBE"/>
    <w:rsid w:val="00560145"/>
    <w:rsid w:val="0056053A"/>
    <w:rsid w:val="00566F25"/>
    <w:rsid w:val="00570101"/>
    <w:rsid w:val="005903D2"/>
    <w:rsid w:val="00591E19"/>
    <w:rsid w:val="00594810"/>
    <w:rsid w:val="00595B2B"/>
    <w:rsid w:val="0059731C"/>
    <w:rsid w:val="005A2CB1"/>
    <w:rsid w:val="005A5263"/>
    <w:rsid w:val="005D1580"/>
    <w:rsid w:val="005F08B5"/>
    <w:rsid w:val="005F0E3F"/>
    <w:rsid w:val="005F3723"/>
    <w:rsid w:val="006034C1"/>
    <w:rsid w:val="00603B86"/>
    <w:rsid w:val="00603DDA"/>
    <w:rsid w:val="00615DD5"/>
    <w:rsid w:val="00617A6E"/>
    <w:rsid w:val="00620615"/>
    <w:rsid w:val="006263D9"/>
    <w:rsid w:val="0062771F"/>
    <w:rsid w:val="00630DFD"/>
    <w:rsid w:val="00633716"/>
    <w:rsid w:val="00634FB7"/>
    <w:rsid w:val="0063573C"/>
    <w:rsid w:val="0064028F"/>
    <w:rsid w:val="00644417"/>
    <w:rsid w:val="00645B85"/>
    <w:rsid w:val="00650502"/>
    <w:rsid w:val="00650820"/>
    <w:rsid w:val="00655211"/>
    <w:rsid w:val="00656180"/>
    <w:rsid w:val="006629C0"/>
    <w:rsid w:val="00663794"/>
    <w:rsid w:val="00666E80"/>
    <w:rsid w:val="00673D12"/>
    <w:rsid w:val="0067772C"/>
    <w:rsid w:val="00681ECB"/>
    <w:rsid w:val="0068500A"/>
    <w:rsid w:val="00686C93"/>
    <w:rsid w:val="00694039"/>
    <w:rsid w:val="0069614F"/>
    <w:rsid w:val="006A457B"/>
    <w:rsid w:val="006B0536"/>
    <w:rsid w:val="006B743E"/>
    <w:rsid w:val="006C0066"/>
    <w:rsid w:val="006C15FE"/>
    <w:rsid w:val="006C229F"/>
    <w:rsid w:val="006C2E72"/>
    <w:rsid w:val="006C3746"/>
    <w:rsid w:val="006C4D4A"/>
    <w:rsid w:val="006D10AE"/>
    <w:rsid w:val="006D75D4"/>
    <w:rsid w:val="006D7AD9"/>
    <w:rsid w:val="006E274A"/>
    <w:rsid w:val="006F2605"/>
    <w:rsid w:val="006F6B8A"/>
    <w:rsid w:val="007004C1"/>
    <w:rsid w:val="00700F0B"/>
    <w:rsid w:val="00701B48"/>
    <w:rsid w:val="0071137B"/>
    <w:rsid w:val="00716E71"/>
    <w:rsid w:val="00717538"/>
    <w:rsid w:val="00720C15"/>
    <w:rsid w:val="00721B42"/>
    <w:rsid w:val="00730F8A"/>
    <w:rsid w:val="00734BD8"/>
    <w:rsid w:val="00736F88"/>
    <w:rsid w:val="00742AEA"/>
    <w:rsid w:val="00751A8D"/>
    <w:rsid w:val="0075242B"/>
    <w:rsid w:val="007548C0"/>
    <w:rsid w:val="007549CD"/>
    <w:rsid w:val="00761F74"/>
    <w:rsid w:val="007620FB"/>
    <w:rsid w:val="0076225B"/>
    <w:rsid w:val="00767A9F"/>
    <w:rsid w:val="00775397"/>
    <w:rsid w:val="00781123"/>
    <w:rsid w:val="007851D0"/>
    <w:rsid w:val="007878FC"/>
    <w:rsid w:val="00792640"/>
    <w:rsid w:val="00793FC6"/>
    <w:rsid w:val="007A2F32"/>
    <w:rsid w:val="007A76D2"/>
    <w:rsid w:val="007B7063"/>
    <w:rsid w:val="007C010B"/>
    <w:rsid w:val="007C48F1"/>
    <w:rsid w:val="007C49ED"/>
    <w:rsid w:val="007D1834"/>
    <w:rsid w:val="007E0CC8"/>
    <w:rsid w:val="007E7062"/>
    <w:rsid w:val="007E7552"/>
    <w:rsid w:val="007F085F"/>
    <w:rsid w:val="007F289C"/>
    <w:rsid w:val="00800CDA"/>
    <w:rsid w:val="00801D69"/>
    <w:rsid w:val="008037D2"/>
    <w:rsid w:val="00805DD6"/>
    <w:rsid w:val="00812568"/>
    <w:rsid w:val="0081505E"/>
    <w:rsid w:val="008153E8"/>
    <w:rsid w:val="00817427"/>
    <w:rsid w:val="0082215F"/>
    <w:rsid w:val="00823552"/>
    <w:rsid w:val="00823CA9"/>
    <w:rsid w:val="00830C95"/>
    <w:rsid w:val="00833507"/>
    <w:rsid w:val="00833C8B"/>
    <w:rsid w:val="00834F3C"/>
    <w:rsid w:val="00835247"/>
    <w:rsid w:val="00836F56"/>
    <w:rsid w:val="008406D6"/>
    <w:rsid w:val="0084363B"/>
    <w:rsid w:val="00843C15"/>
    <w:rsid w:val="008508DC"/>
    <w:rsid w:val="00850988"/>
    <w:rsid w:val="00852BA3"/>
    <w:rsid w:val="00853930"/>
    <w:rsid w:val="00866C4E"/>
    <w:rsid w:val="00867479"/>
    <w:rsid w:val="0086755A"/>
    <w:rsid w:val="00876413"/>
    <w:rsid w:val="008973C1"/>
    <w:rsid w:val="008976BD"/>
    <w:rsid w:val="008B3BB6"/>
    <w:rsid w:val="008B4704"/>
    <w:rsid w:val="008B57F7"/>
    <w:rsid w:val="008B7E12"/>
    <w:rsid w:val="008C4748"/>
    <w:rsid w:val="008D049B"/>
    <w:rsid w:val="008D0F14"/>
    <w:rsid w:val="008D1C37"/>
    <w:rsid w:val="008D45D8"/>
    <w:rsid w:val="008E0C7A"/>
    <w:rsid w:val="008E5CDA"/>
    <w:rsid w:val="008F2A3C"/>
    <w:rsid w:val="008F380C"/>
    <w:rsid w:val="008F6C0C"/>
    <w:rsid w:val="0090135C"/>
    <w:rsid w:val="009048F1"/>
    <w:rsid w:val="00917033"/>
    <w:rsid w:val="00921F60"/>
    <w:rsid w:val="00923226"/>
    <w:rsid w:val="00941887"/>
    <w:rsid w:val="00943DF9"/>
    <w:rsid w:val="00950CEC"/>
    <w:rsid w:val="009535D5"/>
    <w:rsid w:val="00955059"/>
    <w:rsid w:val="00975481"/>
    <w:rsid w:val="00985998"/>
    <w:rsid w:val="009863BB"/>
    <w:rsid w:val="00987791"/>
    <w:rsid w:val="00997E3F"/>
    <w:rsid w:val="009A4F00"/>
    <w:rsid w:val="009B0C06"/>
    <w:rsid w:val="009B4C9B"/>
    <w:rsid w:val="009B61B9"/>
    <w:rsid w:val="009C12BF"/>
    <w:rsid w:val="009C49F5"/>
    <w:rsid w:val="009D0DD0"/>
    <w:rsid w:val="009D10FB"/>
    <w:rsid w:val="009D7C96"/>
    <w:rsid w:val="009F3034"/>
    <w:rsid w:val="00A03869"/>
    <w:rsid w:val="00A06028"/>
    <w:rsid w:val="00A11A5C"/>
    <w:rsid w:val="00A25D37"/>
    <w:rsid w:val="00A261C0"/>
    <w:rsid w:val="00A318B2"/>
    <w:rsid w:val="00A34E75"/>
    <w:rsid w:val="00A37343"/>
    <w:rsid w:val="00A40AC2"/>
    <w:rsid w:val="00A42BD9"/>
    <w:rsid w:val="00A46E12"/>
    <w:rsid w:val="00A47196"/>
    <w:rsid w:val="00A55F7C"/>
    <w:rsid w:val="00A62FF5"/>
    <w:rsid w:val="00A718DC"/>
    <w:rsid w:val="00A73F11"/>
    <w:rsid w:val="00A8160B"/>
    <w:rsid w:val="00A8297A"/>
    <w:rsid w:val="00A82D1B"/>
    <w:rsid w:val="00A839A8"/>
    <w:rsid w:val="00A854F0"/>
    <w:rsid w:val="00A85AF1"/>
    <w:rsid w:val="00A86A50"/>
    <w:rsid w:val="00A87369"/>
    <w:rsid w:val="00A87BFF"/>
    <w:rsid w:val="00A97008"/>
    <w:rsid w:val="00AA2331"/>
    <w:rsid w:val="00AA3DC5"/>
    <w:rsid w:val="00AA5D01"/>
    <w:rsid w:val="00AA7072"/>
    <w:rsid w:val="00AB0731"/>
    <w:rsid w:val="00AB711A"/>
    <w:rsid w:val="00AC13A3"/>
    <w:rsid w:val="00AC1864"/>
    <w:rsid w:val="00AC1876"/>
    <w:rsid w:val="00AC6EE0"/>
    <w:rsid w:val="00AD1D60"/>
    <w:rsid w:val="00AE3CDF"/>
    <w:rsid w:val="00AF29E2"/>
    <w:rsid w:val="00AF4B0D"/>
    <w:rsid w:val="00B024EE"/>
    <w:rsid w:val="00B117BC"/>
    <w:rsid w:val="00B21E39"/>
    <w:rsid w:val="00B24FA3"/>
    <w:rsid w:val="00B26EFD"/>
    <w:rsid w:val="00B31577"/>
    <w:rsid w:val="00B37548"/>
    <w:rsid w:val="00B37F73"/>
    <w:rsid w:val="00B41581"/>
    <w:rsid w:val="00B4262D"/>
    <w:rsid w:val="00B42ED4"/>
    <w:rsid w:val="00B70063"/>
    <w:rsid w:val="00B75A00"/>
    <w:rsid w:val="00B76938"/>
    <w:rsid w:val="00B807E2"/>
    <w:rsid w:val="00B8244F"/>
    <w:rsid w:val="00B86DEA"/>
    <w:rsid w:val="00B91E42"/>
    <w:rsid w:val="00B97D5F"/>
    <w:rsid w:val="00BA504D"/>
    <w:rsid w:val="00BA6BD4"/>
    <w:rsid w:val="00BA745D"/>
    <w:rsid w:val="00BB4ABE"/>
    <w:rsid w:val="00BC00E5"/>
    <w:rsid w:val="00BC57EF"/>
    <w:rsid w:val="00BD05F0"/>
    <w:rsid w:val="00BD3D6A"/>
    <w:rsid w:val="00BD61BC"/>
    <w:rsid w:val="00BE138B"/>
    <w:rsid w:val="00BE585A"/>
    <w:rsid w:val="00BE5EED"/>
    <w:rsid w:val="00BF69EA"/>
    <w:rsid w:val="00BF6F24"/>
    <w:rsid w:val="00C01F0F"/>
    <w:rsid w:val="00C14CC6"/>
    <w:rsid w:val="00C17667"/>
    <w:rsid w:val="00C264EE"/>
    <w:rsid w:val="00C26AE7"/>
    <w:rsid w:val="00C27419"/>
    <w:rsid w:val="00C31C53"/>
    <w:rsid w:val="00C32015"/>
    <w:rsid w:val="00C4496C"/>
    <w:rsid w:val="00C466A6"/>
    <w:rsid w:val="00C503F8"/>
    <w:rsid w:val="00C50A1C"/>
    <w:rsid w:val="00C52BAF"/>
    <w:rsid w:val="00C5522B"/>
    <w:rsid w:val="00C60F1C"/>
    <w:rsid w:val="00C6400F"/>
    <w:rsid w:val="00C64DA2"/>
    <w:rsid w:val="00C679B3"/>
    <w:rsid w:val="00C73BBC"/>
    <w:rsid w:val="00C745CC"/>
    <w:rsid w:val="00C74F86"/>
    <w:rsid w:val="00C75357"/>
    <w:rsid w:val="00C80506"/>
    <w:rsid w:val="00C84115"/>
    <w:rsid w:val="00C84B87"/>
    <w:rsid w:val="00C928B2"/>
    <w:rsid w:val="00C9582A"/>
    <w:rsid w:val="00C9726A"/>
    <w:rsid w:val="00CA39C3"/>
    <w:rsid w:val="00CA3ABC"/>
    <w:rsid w:val="00CA560D"/>
    <w:rsid w:val="00CB03FE"/>
    <w:rsid w:val="00CB406C"/>
    <w:rsid w:val="00CB4361"/>
    <w:rsid w:val="00CB5C87"/>
    <w:rsid w:val="00CC6770"/>
    <w:rsid w:val="00CC67D5"/>
    <w:rsid w:val="00CC73B7"/>
    <w:rsid w:val="00CD5439"/>
    <w:rsid w:val="00CD7E5E"/>
    <w:rsid w:val="00CE1604"/>
    <w:rsid w:val="00CF4A46"/>
    <w:rsid w:val="00CF7D67"/>
    <w:rsid w:val="00D011D5"/>
    <w:rsid w:val="00D03177"/>
    <w:rsid w:val="00D064D8"/>
    <w:rsid w:val="00D12D98"/>
    <w:rsid w:val="00D21F55"/>
    <w:rsid w:val="00D23E9E"/>
    <w:rsid w:val="00D23EF8"/>
    <w:rsid w:val="00D31F58"/>
    <w:rsid w:val="00D35188"/>
    <w:rsid w:val="00D5402C"/>
    <w:rsid w:val="00D566AC"/>
    <w:rsid w:val="00D6143A"/>
    <w:rsid w:val="00D643C1"/>
    <w:rsid w:val="00D813D8"/>
    <w:rsid w:val="00D87CB3"/>
    <w:rsid w:val="00D91791"/>
    <w:rsid w:val="00D94D96"/>
    <w:rsid w:val="00D96194"/>
    <w:rsid w:val="00D96B21"/>
    <w:rsid w:val="00DA1D80"/>
    <w:rsid w:val="00DA332E"/>
    <w:rsid w:val="00DA6031"/>
    <w:rsid w:val="00DB06F0"/>
    <w:rsid w:val="00DB19C8"/>
    <w:rsid w:val="00DC38DB"/>
    <w:rsid w:val="00DE2070"/>
    <w:rsid w:val="00DE5385"/>
    <w:rsid w:val="00DE5EBC"/>
    <w:rsid w:val="00DF3BA6"/>
    <w:rsid w:val="00DF49F8"/>
    <w:rsid w:val="00E105C1"/>
    <w:rsid w:val="00E10626"/>
    <w:rsid w:val="00E1733E"/>
    <w:rsid w:val="00E22C98"/>
    <w:rsid w:val="00E27904"/>
    <w:rsid w:val="00E30672"/>
    <w:rsid w:val="00E60293"/>
    <w:rsid w:val="00E64B77"/>
    <w:rsid w:val="00E73196"/>
    <w:rsid w:val="00E73711"/>
    <w:rsid w:val="00E73DD4"/>
    <w:rsid w:val="00E77358"/>
    <w:rsid w:val="00E84730"/>
    <w:rsid w:val="00E8660E"/>
    <w:rsid w:val="00EA3242"/>
    <w:rsid w:val="00EA44B4"/>
    <w:rsid w:val="00EB05D7"/>
    <w:rsid w:val="00EB50E5"/>
    <w:rsid w:val="00EB6E0A"/>
    <w:rsid w:val="00EC0B28"/>
    <w:rsid w:val="00EC0C9A"/>
    <w:rsid w:val="00EC3F5B"/>
    <w:rsid w:val="00EC5110"/>
    <w:rsid w:val="00EC7590"/>
    <w:rsid w:val="00ED379A"/>
    <w:rsid w:val="00ED5324"/>
    <w:rsid w:val="00ED61E2"/>
    <w:rsid w:val="00EE5C33"/>
    <w:rsid w:val="00EF12E2"/>
    <w:rsid w:val="00EF53C7"/>
    <w:rsid w:val="00EF58D4"/>
    <w:rsid w:val="00EF6935"/>
    <w:rsid w:val="00F04AD9"/>
    <w:rsid w:val="00F0780B"/>
    <w:rsid w:val="00F1169D"/>
    <w:rsid w:val="00F34D6B"/>
    <w:rsid w:val="00F36078"/>
    <w:rsid w:val="00F515C7"/>
    <w:rsid w:val="00F54904"/>
    <w:rsid w:val="00F56147"/>
    <w:rsid w:val="00F62F07"/>
    <w:rsid w:val="00F6499F"/>
    <w:rsid w:val="00F71258"/>
    <w:rsid w:val="00F72020"/>
    <w:rsid w:val="00F74997"/>
    <w:rsid w:val="00F776AB"/>
    <w:rsid w:val="00F85E06"/>
    <w:rsid w:val="00F860FD"/>
    <w:rsid w:val="00F86F8C"/>
    <w:rsid w:val="00F87045"/>
    <w:rsid w:val="00F90324"/>
    <w:rsid w:val="00F90391"/>
    <w:rsid w:val="00F927A1"/>
    <w:rsid w:val="00F96064"/>
    <w:rsid w:val="00F9630C"/>
    <w:rsid w:val="00FA2D35"/>
    <w:rsid w:val="00FC59AB"/>
    <w:rsid w:val="00FD4E98"/>
    <w:rsid w:val="00FE04A7"/>
    <w:rsid w:val="00FE11F8"/>
    <w:rsid w:val="00FE15A7"/>
    <w:rsid w:val="00FF5749"/>
    <w:rsid w:val="00FF7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B0798"/>
  <w15:docId w15:val="{66DE181F-DD05-41F2-90E2-7D73FEF7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heme="minorHAns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772C"/>
    <w:pPr>
      <w:spacing w:before="100" w:after="200" w:line="276" w:lineRule="auto"/>
    </w:pPr>
  </w:style>
  <w:style w:type="paragraph" w:styleId="Heading1">
    <w:name w:val="heading 1"/>
    <w:basedOn w:val="Normal"/>
    <w:next w:val="Normal"/>
    <w:link w:val="Heading1Char"/>
    <w:uiPriority w:val="9"/>
    <w:qFormat/>
    <w:rsid w:val="003307B4"/>
    <w:pPr>
      <w:keepNext/>
      <w:spacing w:before="240" w:after="60"/>
      <w:outlineLvl w:val="0"/>
    </w:pPr>
    <w:rPr>
      <w:rFonts w:ascii="Cambria" w:hAnsi="Cambria"/>
      <w:b/>
      <w:bCs/>
      <w:kern w:val="32"/>
      <w:sz w:val="28"/>
      <w:szCs w:val="32"/>
    </w:rPr>
  </w:style>
  <w:style w:type="paragraph" w:styleId="Heading2">
    <w:name w:val="heading 2"/>
    <w:basedOn w:val="Normal"/>
    <w:next w:val="Normal"/>
    <w:link w:val="Heading2Char"/>
    <w:uiPriority w:val="9"/>
    <w:unhideWhenUsed/>
    <w:qFormat/>
    <w:rsid w:val="003307B4"/>
    <w:pPr>
      <w:keepNext/>
      <w:spacing w:before="240" w:after="60"/>
      <w:outlineLvl w:val="1"/>
    </w:pPr>
    <w:rPr>
      <w:rFonts w:ascii="Cambria" w:hAnsi="Cambria"/>
      <w:b/>
      <w:bCs/>
      <w:i/>
      <w:iCs/>
      <w:szCs w:val="28"/>
    </w:rPr>
  </w:style>
  <w:style w:type="paragraph" w:styleId="Heading3">
    <w:name w:val="heading 3"/>
    <w:basedOn w:val="Normal"/>
    <w:next w:val="Normal"/>
    <w:link w:val="Heading3Char"/>
    <w:uiPriority w:val="9"/>
    <w:unhideWhenUsed/>
    <w:qFormat/>
    <w:rsid w:val="003307B4"/>
    <w:pPr>
      <w:keepNext/>
      <w:spacing w:before="240" w:after="60"/>
      <w:outlineLvl w:val="2"/>
    </w:pPr>
    <w:rPr>
      <w:rFonts w:ascii="Cambria" w:hAnsi="Cambria"/>
      <w:b/>
      <w:bCs/>
      <w:szCs w:val="26"/>
    </w:rPr>
  </w:style>
  <w:style w:type="paragraph" w:styleId="Heading4">
    <w:name w:val="heading 4"/>
    <w:basedOn w:val="Normal"/>
    <w:next w:val="Normal"/>
    <w:link w:val="Heading4Char"/>
    <w:uiPriority w:val="9"/>
    <w:unhideWhenUsed/>
    <w:qFormat/>
    <w:rsid w:val="0006296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772C"/>
    <w:pPr>
      <w:autoSpaceDE w:val="0"/>
      <w:autoSpaceDN w:val="0"/>
      <w:adjustRightInd w:val="0"/>
      <w:spacing w:before="100"/>
    </w:pPr>
    <w:rPr>
      <w:rFonts w:ascii="Cambria" w:eastAsia="Times New Roman" w:hAnsi="Cambria" w:cs="Cambria"/>
      <w:color w:val="000000"/>
    </w:rPr>
  </w:style>
  <w:style w:type="paragraph" w:styleId="IntenseQuote">
    <w:name w:val="Intense Quote"/>
    <w:basedOn w:val="Normal"/>
    <w:next w:val="Normal"/>
    <w:link w:val="IntenseQuoteChar"/>
    <w:uiPriority w:val="30"/>
    <w:qFormat/>
    <w:rsid w:val="0067772C"/>
    <w:pPr>
      <w:spacing w:before="240" w:after="240" w:line="240" w:lineRule="auto"/>
      <w:ind w:left="1080" w:right="1080"/>
      <w:jc w:val="center"/>
    </w:pPr>
    <w:rPr>
      <w:color w:val="4472C4"/>
    </w:rPr>
  </w:style>
  <w:style w:type="character" w:customStyle="1" w:styleId="IntenseQuoteChar">
    <w:name w:val="Intense Quote Char"/>
    <w:basedOn w:val="DefaultParagraphFont"/>
    <w:link w:val="IntenseQuote"/>
    <w:uiPriority w:val="30"/>
    <w:rsid w:val="0067772C"/>
    <w:rPr>
      <w:rFonts w:eastAsia="Times New Roman"/>
      <w:color w:val="4472C4"/>
      <w:sz w:val="24"/>
      <w:szCs w:val="24"/>
    </w:rPr>
  </w:style>
  <w:style w:type="paragraph" w:styleId="NormalWeb">
    <w:name w:val="Normal (Web)"/>
    <w:basedOn w:val="Normal"/>
    <w:uiPriority w:val="99"/>
    <w:unhideWhenUsed/>
    <w:rsid w:val="0067772C"/>
    <w:pPr>
      <w:spacing w:beforeAutospacing="1" w:after="100" w:afterAutospacing="1" w:line="240" w:lineRule="auto"/>
    </w:pPr>
    <w:rPr>
      <w:rFonts w:ascii="Times New Roman" w:hAnsi="Times New Roman"/>
    </w:rPr>
  </w:style>
  <w:style w:type="paragraph" w:styleId="Footer">
    <w:name w:val="footer"/>
    <w:basedOn w:val="Normal"/>
    <w:link w:val="FooterChar"/>
    <w:uiPriority w:val="99"/>
    <w:unhideWhenUsed/>
    <w:rsid w:val="0067772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7772C"/>
    <w:rPr>
      <w:rFonts w:eastAsia="Times New Roman"/>
      <w:sz w:val="20"/>
      <w:szCs w:val="20"/>
    </w:rPr>
  </w:style>
  <w:style w:type="character" w:customStyle="1" w:styleId="Heading1Char">
    <w:name w:val="Heading 1 Char"/>
    <w:basedOn w:val="DefaultParagraphFont"/>
    <w:link w:val="Heading1"/>
    <w:uiPriority w:val="9"/>
    <w:rsid w:val="003307B4"/>
    <w:rPr>
      <w:rFonts w:ascii="Cambria" w:eastAsia="Times New Roman" w:hAnsi="Cambria"/>
      <w:b/>
      <w:bCs/>
      <w:kern w:val="32"/>
      <w:sz w:val="28"/>
      <w:szCs w:val="32"/>
    </w:rPr>
  </w:style>
  <w:style w:type="paragraph" w:styleId="TOCHeading">
    <w:name w:val="TOC Heading"/>
    <w:basedOn w:val="Heading1"/>
    <w:next w:val="Normal"/>
    <w:uiPriority w:val="39"/>
    <w:semiHidden/>
    <w:unhideWhenUsed/>
    <w:qFormat/>
    <w:rsid w:val="00DB19C8"/>
    <w:pPr>
      <w:keepLines/>
      <w:spacing w:before="480" w:after="0"/>
      <w:outlineLvl w:val="9"/>
    </w:pPr>
    <w:rPr>
      <w:color w:val="365F91"/>
      <w:kern w:val="0"/>
      <w:szCs w:val="28"/>
    </w:rPr>
  </w:style>
  <w:style w:type="character" w:customStyle="1" w:styleId="Heading2Char">
    <w:name w:val="Heading 2 Char"/>
    <w:basedOn w:val="DefaultParagraphFont"/>
    <w:link w:val="Heading2"/>
    <w:uiPriority w:val="9"/>
    <w:rsid w:val="003307B4"/>
    <w:rPr>
      <w:rFonts w:ascii="Cambria" w:eastAsia="Times New Roman" w:hAnsi="Cambria"/>
      <w:b/>
      <w:bCs/>
      <w:i/>
      <w:iCs/>
      <w:sz w:val="24"/>
      <w:szCs w:val="28"/>
    </w:rPr>
  </w:style>
  <w:style w:type="paragraph" w:styleId="TOC1">
    <w:name w:val="toc 1"/>
    <w:basedOn w:val="Normal"/>
    <w:next w:val="Normal"/>
    <w:autoRedefine/>
    <w:uiPriority w:val="39"/>
    <w:unhideWhenUsed/>
    <w:rsid w:val="00DB19C8"/>
  </w:style>
  <w:style w:type="paragraph" w:styleId="TOC2">
    <w:name w:val="toc 2"/>
    <w:basedOn w:val="Normal"/>
    <w:next w:val="Normal"/>
    <w:autoRedefine/>
    <w:uiPriority w:val="39"/>
    <w:unhideWhenUsed/>
    <w:rsid w:val="00DB19C8"/>
    <w:pPr>
      <w:ind w:left="200"/>
    </w:pPr>
  </w:style>
  <w:style w:type="character" w:styleId="Hyperlink">
    <w:name w:val="Hyperlink"/>
    <w:basedOn w:val="DefaultParagraphFont"/>
    <w:uiPriority w:val="99"/>
    <w:unhideWhenUsed/>
    <w:rsid w:val="00DB19C8"/>
    <w:rPr>
      <w:color w:val="0000FF"/>
      <w:u w:val="single"/>
    </w:rPr>
  </w:style>
  <w:style w:type="paragraph" w:styleId="Subtitle">
    <w:name w:val="Subtitle"/>
    <w:basedOn w:val="Normal"/>
    <w:next w:val="Normal"/>
    <w:link w:val="SubtitleChar"/>
    <w:uiPriority w:val="11"/>
    <w:qFormat/>
    <w:rsid w:val="004F353B"/>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4F353B"/>
    <w:rPr>
      <w:rFonts w:ascii="Cambria" w:eastAsia="Times New Roman" w:hAnsi="Cambria" w:cs="Times New Roman"/>
      <w:sz w:val="24"/>
      <w:szCs w:val="24"/>
    </w:rPr>
  </w:style>
  <w:style w:type="paragraph" w:styleId="FootnoteText">
    <w:name w:val="footnote text"/>
    <w:aliases w:val="Car,Char Char,Footnote Text Char Char,Footnote Text Char2 Char Char,Footnote Text Char Char1 Char Char,Footnote Text Char1 Char Char Char Char,Footnote Text Char Char Char Char Char Char"/>
    <w:basedOn w:val="Normal"/>
    <w:link w:val="FootnoteTextChar"/>
    <w:uiPriority w:val="99"/>
    <w:unhideWhenUsed/>
    <w:qFormat/>
    <w:rsid w:val="00B75A00"/>
    <w:pPr>
      <w:spacing w:before="0" w:after="0" w:line="240" w:lineRule="auto"/>
      <w:ind w:left="360" w:hanging="360"/>
      <w:jc w:val="both"/>
    </w:pPr>
    <w:rPr>
      <w:rFonts w:ascii="Times New Roman" w:eastAsia="SimSun" w:hAnsi="Times New Roman"/>
      <w:kern w:val="2"/>
      <w:lang w:val="en-AU" w:eastAsia="zh-CN"/>
    </w:rPr>
  </w:style>
  <w:style w:type="character" w:customStyle="1" w:styleId="FootnoteTextChar">
    <w:name w:val="Footnote Text Char"/>
    <w:aliases w:val="Car Char,Char Char Char,Footnote Text Char Char Char,Footnote Text Char2 Char Char Char,Footnote Text Char Char1 Char Char Char,Footnote Text Char1 Char Char Char Char Char,Footnote Text Char Char Char Char Char Char Char"/>
    <w:basedOn w:val="DefaultParagraphFont"/>
    <w:link w:val="FootnoteText"/>
    <w:uiPriority w:val="99"/>
    <w:rsid w:val="00B75A00"/>
    <w:rPr>
      <w:rFonts w:ascii="Times New Roman" w:eastAsia="SimSun" w:hAnsi="Times New Roman"/>
      <w:kern w:val="2"/>
      <w:lang w:val="en-AU" w:eastAsia="zh-CN"/>
    </w:rPr>
  </w:style>
  <w:style w:type="character" w:styleId="FootnoteReference">
    <w:name w:val="footnote reference"/>
    <w:aliases w:val="Appel note de bas de p"/>
    <w:uiPriority w:val="99"/>
    <w:unhideWhenUsed/>
    <w:rsid w:val="00B75A00"/>
    <w:rPr>
      <w:vertAlign w:val="superscript"/>
    </w:rPr>
  </w:style>
  <w:style w:type="table" w:styleId="TableGrid">
    <w:name w:val="Table Grid"/>
    <w:basedOn w:val="TableNormal"/>
    <w:uiPriority w:val="39"/>
    <w:rsid w:val="00214B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307B4"/>
    <w:rPr>
      <w:rFonts w:ascii="Cambria" w:eastAsia="Times New Roman" w:hAnsi="Cambria"/>
      <w:b/>
      <w:bCs/>
      <w:sz w:val="24"/>
      <w:szCs w:val="26"/>
    </w:rPr>
  </w:style>
  <w:style w:type="paragraph" w:styleId="TOC3">
    <w:name w:val="toc 3"/>
    <w:basedOn w:val="Normal"/>
    <w:next w:val="Normal"/>
    <w:autoRedefine/>
    <w:uiPriority w:val="39"/>
    <w:unhideWhenUsed/>
    <w:rsid w:val="00843C15"/>
    <w:pPr>
      <w:ind w:left="400"/>
    </w:pPr>
  </w:style>
  <w:style w:type="character" w:styleId="IntenseEmphasis">
    <w:name w:val="Intense Emphasis"/>
    <w:basedOn w:val="DefaultParagraphFont"/>
    <w:uiPriority w:val="21"/>
    <w:qFormat/>
    <w:rsid w:val="0019513E"/>
    <w:rPr>
      <w:b/>
      <w:bCs/>
      <w:i/>
      <w:iCs/>
      <w:color w:val="4F81BD"/>
    </w:rPr>
  </w:style>
  <w:style w:type="character" w:customStyle="1" w:styleId="Heading4Char">
    <w:name w:val="Heading 4 Char"/>
    <w:basedOn w:val="DefaultParagraphFont"/>
    <w:link w:val="Heading4"/>
    <w:uiPriority w:val="9"/>
    <w:rsid w:val="0006296E"/>
    <w:rPr>
      <w:rFonts w:ascii="Calibri" w:eastAsia="Times New Roman" w:hAnsi="Calibri" w:cs="Times New Roman"/>
      <w:b/>
      <w:bCs/>
      <w:sz w:val="28"/>
      <w:szCs w:val="28"/>
    </w:rPr>
  </w:style>
  <w:style w:type="character" w:styleId="CommentReference">
    <w:name w:val="annotation reference"/>
    <w:basedOn w:val="DefaultParagraphFont"/>
    <w:uiPriority w:val="99"/>
    <w:semiHidden/>
    <w:unhideWhenUsed/>
    <w:rsid w:val="002805B5"/>
    <w:rPr>
      <w:sz w:val="16"/>
      <w:szCs w:val="16"/>
    </w:rPr>
  </w:style>
  <w:style w:type="paragraph" w:styleId="CommentText">
    <w:name w:val="annotation text"/>
    <w:basedOn w:val="Normal"/>
    <w:link w:val="CommentTextChar"/>
    <w:uiPriority w:val="99"/>
    <w:semiHidden/>
    <w:unhideWhenUsed/>
    <w:rsid w:val="002805B5"/>
    <w:pPr>
      <w:spacing w:line="240" w:lineRule="auto"/>
    </w:pPr>
  </w:style>
  <w:style w:type="character" w:customStyle="1" w:styleId="CommentTextChar">
    <w:name w:val="Comment Text Char"/>
    <w:basedOn w:val="DefaultParagraphFont"/>
    <w:link w:val="CommentText"/>
    <w:uiPriority w:val="99"/>
    <w:semiHidden/>
    <w:rsid w:val="002805B5"/>
    <w:rPr>
      <w:rFonts w:eastAsia="Times New Roman"/>
    </w:rPr>
  </w:style>
  <w:style w:type="paragraph" w:styleId="CommentSubject">
    <w:name w:val="annotation subject"/>
    <w:basedOn w:val="CommentText"/>
    <w:next w:val="CommentText"/>
    <w:link w:val="CommentSubjectChar"/>
    <w:uiPriority w:val="99"/>
    <w:semiHidden/>
    <w:unhideWhenUsed/>
    <w:rsid w:val="002805B5"/>
    <w:rPr>
      <w:b/>
      <w:bCs/>
    </w:rPr>
  </w:style>
  <w:style w:type="character" w:customStyle="1" w:styleId="CommentSubjectChar">
    <w:name w:val="Comment Subject Char"/>
    <w:basedOn w:val="CommentTextChar"/>
    <w:link w:val="CommentSubject"/>
    <w:uiPriority w:val="99"/>
    <w:semiHidden/>
    <w:rsid w:val="002805B5"/>
    <w:rPr>
      <w:rFonts w:eastAsia="Times New Roman"/>
      <w:b/>
      <w:bCs/>
    </w:rPr>
  </w:style>
  <w:style w:type="paragraph" w:styleId="BalloonText">
    <w:name w:val="Balloon Text"/>
    <w:basedOn w:val="Normal"/>
    <w:link w:val="BalloonTextChar"/>
    <w:uiPriority w:val="99"/>
    <w:semiHidden/>
    <w:unhideWhenUsed/>
    <w:rsid w:val="002805B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5B5"/>
    <w:rPr>
      <w:rFonts w:ascii="Segoe UI" w:eastAsia="Times New Roman" w:hAnsi="Segoe UI" w:cs="Segoe UI"/>
      <w:sz w:val="18"/>
      <w:szCs w:val="18"/>
    </w:rPr>
  </w:style>
  <w:style w:type="paragraph" w:styleId="ListParagraph">
    <w:name w:val="List Paragraph"/>
    <w:basedOn w:val="Normal"/>
    <w:uiPriority w:val="34"/>
    <w:qFormat/>
    <w:rsid w:val="007C48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81087">
      <w:bodyDiv w:val="1"/>
      <w:marLeft w:val="0"/>
      <w:marRight w:val="0"/>
      <w:marTop w:val="0"/>
      <w:marBottom w:val="0"/>
      <w:divBdr>
        <w:top w:val="none" w:sz="0" w:space="0" w:color="auto"/>
        <w:left w:val="none" w:sz="0" w:space="0" w:color="auto"/>
        <w:bottom w:val="none" w:sz="0" w:space="0" w:color="auto"/>
        <w:right w:val="none" w:sz="0" w:space="0" w:color="auto"/>
      </w:divBdr>
    </w:div>
    <w:div w:id="368995599">
      <w:bodyDiv w:val="1"/>
      <w:marLeft w:val="0"/>
      <w:marRight w:val="0"/>
      <w:marTop w:val="0"/>
      <w:marBottom w:val="0"/>
      <w:divBdr>
        <w:top w:val="none" w:sz="0" w:space="0" w:color="auto"/>
        <w:left w:val="none" w:sz="0" w:space="0" w:color="auto"/>
        <w:bottom w:val="none" w:sz="0" w:space="0" w:color="auto"/>
        <w:right w:val="none" w:sz="0" w:space="0" w:color="auto"/>
      </w:divBdr>
    </w:div>
    <w:div w:id="514853769">
      <w:bodyDiv w:val="1"/>
      <w:marLeft w:val="0"/>
      <w:marRight w:val="0"/>
      <w:marTop w:val="0"/>
      <w:marBottom w:val="0"/>
      <w:divBdr>
        <w:top w:val="none" w:sz="0" w:space="0" w:color="auto"/>
        <w:left w:val="none" w:sz="0" w:space="0" w:color="auto"/>
        <w:bottom w:val="none" w:sz="0" w:space="0" w:color="auto"/>
        <w:right w:val="none" w:sz="0" w:space="0" w:color="auto"/>
      </w:divBdr>
      <w:divsChild>
        <w:div w:id="220559396">
          <w:marLeft w:val="0"/>
          <w:marRight w:val="0"/>
          <w:marTop w:val="0"/>
          <w:marBottom w:val="0"/>
          <w:divBdr>
            <w:top w:val="none" w:sz="0" w:space="0" w:color="auto"/>
            <w:left w:val="none" w:sz="0" w:space="0" w:color="auto"/>
            <w:bottom w:val="none" w:sz="0" w:space="0" w:color="auto"/>
            <w:right w:val="none" w:sz="0" w:space="0" w:color="auto"/>
          </w:divBdr>
        </w:div>
        <w:div w:id="463692985">
          <w:marLeft w:val="0"/>
          <w:marRight w:val="0"/>
          <w:marTop w:val="0"/>
          <w:marBottom w:val="0"/>
          <w:divBdr>
            <w:top w:val="none" w:sz="0" w:space="0" w:color="auto"/>
            <w:left w:val="none" w:sz="0" w:space="0" w:color="auto"/>
            <w:bottom w:val="none" w:sz="0" w:space="0" w:color="auto"/>
            <w:right w:val="none" w:sz="0" w:space="0" w:color="auto"/>
          </w:divBdr>
        </w:div>
        <w:div w:id="765072909">
          <w:marLeft w:val="0"/>
          <w:marRight w:val="0"/>
          <w:marTop w:val="0"/>
          <w:marBottom w:val="0"/>
          <w:divBdr>
            <w:top w:val="none" w:sz="0" w:space="0" w:color="auto"/>
            <w:left w:val="none" w:sz="0" w:space="0" w:color="auto"/>
            <w:bottom w:val="none" w:sz="0" w:space="0" w:color="auto"/>
            <w:right w:val="none" w:sz="0" w:space="0" w:color="auto"/>
          </w:divBdr>
        </w:div>
        <w:div w:id="1127360725">
          <w:marLeft w:val="0"/>
          <w:marRight w:val="0"/>
          <w:marTop w:val="0"/>
          <w:marBottom w:val="0"/>
          <w:divBdr>
            <w:top w:val="none" w:sz="0" w:space="0" w:color="auto"/>
            <w:left w:val="none" w:sz="0" w:space="0" w:color="auto"/>
            <w:bottom w:val="none" w:sz="0" w:space="0" w:color="auto"/>
            <w:right w:val="none" w:sz="0" w:space="0" w:color="auto"/>
          </w:divBdr>
        </w:div>
        <w:div w:id="1167356262">
          <w:marLeft w:val="0"/>
          <w:marRight w:val="0"/>
          <w:marTop w:val="0"/>
          <w:marBottom w:val="0"/>
          <w:divBdr>
            <w:top w:val="none" w:sz="0" w:space="0" w:color="auto"/>
            <w:left w:val="none" w:sz="0" w:space="0" w:color="auto"/>
            <w:bottom w:val="none" w:sz="0" w:space="0" w:color="auto"/>
            <w:right w:val="none" w:sz="0" w:space="0" w:color="auto"/>
          </w:divBdr>
        </w:div>
        <w:div w:id="2061323820">
          <w:marLeft w:val="0"/>
          <w:marRight w:val="0"/>
          <w:marTop w:val="0"/>
          <w:marBottom w:val="0"/>
          <w:divBdr>
            <w:top w:val="none" w:sz="0" w:space="0" w:color="auto"/>
            <w:left w:val="none" w:sz="0" w:space="0" w:color="auto"/>
            <w:bottom w:val="none" w:sz="0" w:space="0" w:color="auto"/>
            <w:right w:val="none" w:sz="0" w:space="0" w:color="auto"/>
          </w:divBdr>
        </w:div>
        <w:div w:id="2139563879">
          <w:marLeft w:val="0"/>
          <w:marRight w:val="0"/>
          <w:marTop w:val="0"/>
          <w:marBottom w:val="0"/>
          <w:divBdr>
            <w:top w:val="none" w:sz="0" w:space="0" w:color="auto"/>
            <w:left w:val="none" w:sz="0" w:space="0" w:color="auto"/>
            <w:bottom w:val="none" w:sz="0" w:space="0" w:color="auto"/>
            <w:right w:val="none" w:sz="0" w:space="0" w:color="auto"/>
          </w:divBdr>
        </w:div>
      </w:divsChild>
    </w:div>
    <w:div w:id="139115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6AEBC1-02D9-4FEF-934D-447633B82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7962</Words>
  <Characters>45385</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53241</CharactersWithSpaces>
  <SharedDoc>false</SharedDoc>
  <HLinks>
    <vt:vector size="114" baseType="variant">
      <vt:variant>
        <vt:i4>1835056</vt:i4>
      </vt:variant>
      <vt:variant>
        <vt:i4>110</vt:i4>
      </vt:variant>
      <vt:variant>
        <vt:i4>0</vt:i4>
      </vt:variant>
      <vt:variant>
        <vt:i4>5</vt:i4>
      </vt:variant>
      <vt:variant>
        <vt:lpwstr/>
      </vt:variant>
      <vt:variant>
        <vt:lpwstr>_Toc510905568</vt:lpwstr>
      </vt:variant>
      <vt:variant>
        <vt:i4>1835056</vt:i4>
      </vt:variant>
      <vt:variant>
        <vt:i4>104</vt:i4>
      </vt:variant>
      <vt:variant>
        <vt:i4>0</vt:i4>
      </vt:variant>
      <vt:variant>
        <vt:i4>5</vt:i4>
      </vt:variant>
      <vt:variant>
        <vt:lpwstr/>
      </vt:variant>
      <vt:variant>
        <vt:lpwstr>_Toc510905567</vt:lpwstr>
      </vt:variant>
      <vt:variant>
        <vt:i4>1835056</vt:i4>
      </vt:variant>
      <vt:variant>
        <vt:i4>98</vt:i4>
      </vt:variant>
      <vt:variant>
        <vt:i4>0</vt:i4>
      </vt:variant>
      <vt:variant>
        <vt:i4>5</vt:i4>
      </vt:variant>
      <vt:variant>
        <vt:lpwstr/>
      </vt:variant>
      <vt:variant>
        <vt:lpwstr>_Toc510905566</vt:lpwstr>
      </vt:variant>
      <vt:variant>
        <vt:i4>1835056</vt:i4>
      </vt:variant>
      <vt:variant>
        <vt:i4>92</vt:i4>
      </vt:variant>
      <vt:variant>
        <vt:i4>0</vt:i4>
      </vt:variant>
      <vt:variant>
        <vt:i4>5</vt:i4>
      </vt:variant>
      <vt:variant>
        <vt:lpwstr/>
      </vt:variant>
      <vt:variant>
        <vt:lpwstr>_Toc510905565</vt:lpwstr>
      </vt:variant>
      <vt:variant>
        <vt:i4>1835056</vt:i4>
      </vt:variant>
      <vt:variant>
        <vt:i4>86</vt:i4>
      </vt:variant>
      <vt:variant>
        <vt:i4>0</vt:i4>
      </vt:variant>
      <vt:variant>
        <vt:i4>5</vt:i4>
      </vt:variant>
      <vt:variant>
        <vt:lpwstr/>
      </vt:variant>
      <vt:variant>
        <vt:lpwstr>_Toc510905564</vt:lpwstr>
      </vt:variant>
      <vt:variant>
        <vt:i4>1835056</vt:i4>
      </vt:variant>
      <vt:variant>
        <vt:i4>80</vt:i4>
      </vt:variant>
      <vt:variant>
        <vt:i4>0</vt:i4>
      </vt:variant>
      <vt:variant>
        <vt:i4>5</vt:i4>
      </vt:variant>
      <vt:variant>
        <vt:lpwstr/>
      </vt:variant>
      <vt:variant>
        <vt:lpwstr>_Toc510905563</vt:lpwstr>
      </vt:variant>
      <vt:variant>
        <vt:i4>1835056</vt:i4>
      </vt:variant>
      <vt:variant>
        <vt:i4>74</vt:i4>
      </vt:variant>
      <vt:variant>
        <vt:i4>0</vt:i4>
      </vt:variant>
      <vt:variant>
        <vt:i4>5</vt:i4>
      </vt:variant>
      <vt:variant>
        <vt:lpwstr/>
      </vt:variant>
      <vt:variant>
        <vt:lpwstr>_Toc510905562</vt:lpwstr>
      </vt:variant>
      <vt:variant>
        <vt:i4>1835056</vt:i4>
      </vt:variant>
      <vt:variant>
        <vt:i4>68</vt:i4>
      </vt:variant>
      <vt:variant>
        <vt:i4>0</vt:i4>
      </vt:variant>
      <vt:variant>
        <vt:i4>5</vt:i4>
      </vt:variant>
      <vt:variant>
        <vt:lpwstr/>
      </vt:variant>
      <vt:variant>
        <vt:lpwstr>_Toc510905561</vt:lpwstr>
      </vt:variant>
      <vt:variant>
        <vt:i4>1835056</vt:i4>
      </vt:variant>
      <vt:variant>
        <vt:i4>62</vt:i4>
      </vt:variant>
      <vt:variant>
        <vt:i4>0</vt:i4>
      </vt:variant>
      <vt:variant>
        <vt:i4>5</vt:i4>
      </vt:variant>
      <vt:variant>
        <vt:lpwstr/>
      </vt:variant>
      <vt:variant>
        <vt:lpwstr>_Toc510905560</vt:lpwstr>
      </vt:variant>
      <vt:variant>
        <vt:i4>2031664</vt:i4>
      </vt:variant>
      <vt:variant>
        <vt:i4>56</vt:i4>
      </vt:variant>
      <vt:variant>
        <vt:i4>0</vt:i4>
      </vt:variant>
      <vt:variant>
        <vt:i4>5</vt:i4>
      </vt:variant>
      <vt:variant>
        <vt:lpwstr/>
      </vt:variant>
      <vt:variant>
        <vt:lpwstr>_Toc510905559</vt:lpwstr>
      </vt:variant>
      <vt:variant>
        <vt:i4>2031664</vt:i4>
      </vt:variant>
      <vt:variant>
        <vt:i4>50</vt:i4>
      </vt:variant>
      <vt:variant>
        <vt:i4>0</vt:i4>
      </vt:variant>
      <vt:variant>
        <vt:i4>5</vt:i4>
      </vt:variant>
      <vt:variant>
        <vt:lpwstr/>
      </vt:variant>
      <vt:variant>
        <vt:lpwstr>_Toc510905558</vt:lpwstr>
      </vt:variant>
      <vt:variant>
        <vt:i4>2031664</vt:i4>
      </vt:variant>
      <vt:variant>
        <vt:i4>44</vt:i4>
      </vt:variant>
      <vt:variant>
        <vt:i4>0</vt:i4>
      </vt:variant>
      <vt:variant>
        <vt:i4>5</vt:i4>
      </vt:variant>
      <vt:variant>
        <vt:lpwstr/>
      </vt:variant>
      <vt:variant>
        <vt:lpwstr>_Toc510905557</vt:lpwstr>
      </vt:variant>
      <vt:variant>
        <vt:i4>2031664</vt:i4>
      </vt:variant>
      <vt:variant>
        <vt:i4>38</vt:i4>
      </vt:variant>
      <vt:variant>
        <vt:i4>0</vt:i4>
      </vt:variant>
      <vt:variant>
        <vt:i4>5</vt:i4>
      </vt:variant>
      <vt:variant>
        <vt:lpwstr/>
      </vt:variant>
      <vt:variant>
        <vt:lpwstr>_Toc510905556</vt:lpwstr>
      </vt:variant>
      <vt:variant>
        <vt:i4>2031664</vt:i4>
      </vt:variant>
      <vt:variant>
        <vt:i4>32</vt:i4>
      </vt:variant>
      <vt:variant>
        <vt:i4>0</vt:i4>
      </vt:variant>
      <vt:variant>
        <vt:i4>5</vt:i4>
      </vt:variant>
      <vt:variant>
        <vt:lpwstr/>
      </vt:variant>
      <vt:variant>
        <vt:lpwstr>_Toc510905555</vt:lpwstr>
      </vt:variant>
      <vt:variant>
        <vt:i4>2031664</vt:i4>
      </vt:variant>
      <vt:variant>
        <vt:i4>26</vt:i4>
      </vt:variant>
      <vt:variant>
        <vt:i4>0</vt:i4>
      </vt:variant>
      <vt:variant>
        <vt:i4>5</vt:i4>
      </vt:variant>
      <vt:variant>
        <vt:lpwstr/>
      </vt:variant>
      <vt:variant>
        <vt:lpwstr>_Toc510905554</vt:lpwstr>
      </vt:variant>
      <vt:variant>
        <vt:i4>2031664</vt:i4>
      </vt:variant>
      <vt:variant>
        <vt:i4>20</vt:i4>
      </vt:variant>
      <vt:variant>
        <vt:i4>0</vt:i4>
      </vt:variant>
      <vt:variant>
        <vt:i4>5</vt:i4>
      </vt:variant>
      <vt:variant>
        <vt:lpwstr/>
      </vt:variant>
      <vt:variant>
        <vt:lpwstr>_Toc510905553</vt:lpwstr>
      </vt:variant>
      <vt:variant>
        <vt:i4>2031664</vt:i4>
      </vt:variant>
      <vt:variant>
        <vt:i4>14</vt:i4>
      </vt:variant>
      <vt:variant>
        <vt:i4>0</vt:i4>
      </vt:variant>
      <vt:variant>
        <vt:i4>5</vt:i4>
      </vt:variant>
      <vt:variant>
        <vt:lpwstr/>
      </vt:variant>
      <vt:variant>
        <vt:lpwstr>_Toc510905552</vt:lpwstr>
      </vt:variant>
      <vt:variant>
        <vt:i4>2031664</vt:i4>
      </vt:variant>
      <vt:variant>
        <vt:i4>8</vt:i4>
      </vt:variant>
      <vt:variant>
        <vt:i4>0</vt:i4>
      </vt:variant>
      <vt:variant>
        <vt:i4>5</vt:i4>
      </vt:variant>
      <vt:variant>
        <vt:lpwstr/>
      </vt:variant>
      <vt:variant>
        <vt:lpwstr>_Toc510905551</vt:lpwstr>
      </vt:variant>
      <vt:variant>
        <vt:i4>2031664</vt:i4>
      </vt:variant>
      <vt:variant>
        <vt:i4>2</vt:i4>
      </vt:variant>
      <vt:variant>
        <vt:i4>0</vt:i4>
      </vt:variant>
      <vt:variant>
        <vt:i4>5</vt:i4>
      </vt:variant>
      <vt:variant>
        <vt:lpwstr/>
      </vt:variant>
      <vt:variant>
        <vt:lpwstr>_Toc510905550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Nasim Aziz</dc:creator>
  <cp:keywords/>
  <cp:lastModifiedBy>Nasim Aziz</cp:lastModifiedBy>
  <cp:revision>196</cp:revision>
  <dcterms:created xsi:type="dcterms:W3CDTF">2018-04-15T04:41:00Z</dcterms:created>
  <dcterms:modified xsi:type="dcterms:W3CDTF">2019-01-21T05:01:00Z</dcterms:modified>
</cp:coreProperties>
</file>