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BE" w:rsidRDefault="00AD7262" w:rsidP="007E69F6">
      <w:pPr>
        <w:pStyle w:val="NoSpacing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গণপ্রজাতন্ত্রী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সরকার</w:t>
      </w:r>
      <w:proofErr w:type="spellEnd"/>
    </w:p>
    <w:p w:rsidR="00AD7262" w:rsidRDefault="00AD7262" w:rsidP="007E69F6">
      <w:pPr>
        <w:pStyle w:val="NoSpacing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পরিসংখ্যান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ব্যুরো</w:t>
      </w:r>
      <w:proofErr w:type="spellEnd"/>
    </w:p>
    <w:p w:rsidR="00AD7262" w:rsidRDefault="00AD7262" w:rsidP="007E69F6">
      <w:pPr>
        <w:pStyle w:val="NoSpacing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পরিসংখ্যান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তথ্য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ব্যবস্থাপনা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বিভাগ</w:t>
      </w:r>
      <w:proofErr w:type="spellEnd"/>
    </w:p>
    <w:p w:rsidR="00AD7262" w:rsidRDefault="00AD7262" w:rsidP="007E69F6">
      <w:pPr>
        <w:pStyle w:val="NoSpacing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পরিকল্পনা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মন্ত্রণালয়</w:t>
      </w:r>
      <w:proofErr w:type="spellEnd"/>
    </w:p>
    <w:p w:rsidR="00AD7262" w:rsidRDefault="00AD7262" w:rsidP="00AD7262">
      <w:pPr>
        <w:pStyle w:val="NoSpacing"/>
        <w:rPr>
          <w:rFonts w:ascii="Nikosh" w:hAnsi="Nikosh" w:cs="Nikosh"/>
          <w:sz w:val="24"/>
          <w:szCs w:val="24"/>
        </w:rPr>
      </w:pPr>
    </w:p>
    <w:p w:rsidR="00AD7262" w:rsidRDefault="00AD7262" w:rsidP="00AD7262">
      <w:pPr>
        <w:pStyle w:val="NoSpacing"/>
        <w:rPr>
          <w:rFonts w:ascii="Nikosh" w:hAnsi="Nikosh" w:cs="Nikosh"/>
          <w:sz w:val="24"/>
          <w:szCs w:val="24"/>
        </w:rPr>
      </w:pPr>
    </w:p>
    <w:p w:rsidR="00AD7262" w:rsidRDefault="00AD7262" w:rsidP="00AD7262">
      <w:pPr>
        <w:pStyle w:val="NoSpacing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ক ও খ) </w:t>
      </w:r>
      <w:proofErr w:type="spellStart"/>
      <w:r>
        <w:rPr>
          <w:rFonts w:ascii="Nikosh" w:hAnsi="Nikosh" w:cs="Nikosh"/>
          <w:sz w:val="24"/>
          <w:szCs w:val="24"/>
        </w:rPr>
        <w:t>নাগরিক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প্রাতিষ্ঠানিক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</w:t>
      </w:r>
      <w:proofErr w:type="gramStart"/>
      <w:r>
        <w:rPr>
          <w:rFonts w:ascii="Nikosh" w:hAnsi="Nikosh" w:cs="Nikosh"/>
          <w:sz w:val="24"/>
          <w:szCs w:val="24"/>
        </w:rPr>
        <w:t>া</w:t>
      </w:r>
      <w:proofErr w:type="spellEnd"/>
      <w:r>
        <w:rPr>
          <w:rFonts w:ascii="Nikosh" w:hAnsi="Nikosh" w:cs="Nikosh"/>
          <w:sz w:val="24"/>
          <w:szCs w:val="24"/>
        </w:rPr>
        <w:t xml:space="preserve"> :</w:t>
      </w:r>
      <w:proofErr w:type="gramEnd"/>
    </w:p>
    <w:p w:rsidR="00AD7262" w:rsidRDefault="00AD7262" w:rsidP="00AD7262">
      <w:pPr>
        <w:pStyle w:val="NoSpacing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1250" w:type="dxa"/>
        <w:tblInd w:w="108" w:type="dxa"/>
        <w:tblLook w:val="04A0"/>
      </w:tblPr>
      <w:tblGrid>
        <w:gridCol w:w="589"/>
        <w:gridCol w:w="3451"/>
        <w:gridCol w:w="1364"/>
        <w:gridCol w:w="1225"/>
        <w:gridCol w:w="1064"/>
        <w:gridCol w:w="1019"/>
        <w:gridCol w:w="2538"/>
      </w:tblGrid>
      <w:tr w:rsidR="00CE40F6" w:rsidTr="00CE40F6">
        <w:trPr>
          <w:trHeight w:val="1114"/>
        </w:trPr>
        <w:tc>
          <w:tcPr>
            <w:tcW w:w="630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111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364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225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প্রাপ্তিস্থান</w:t>
            </w:r>
            <w:proofErr w:type="spellEnd"/>
          </w:p>
        </w:tc>
        <w:tc>
          <w:tcPr>
            <w:tcW w:w="1079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041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800" w:type="dxa"/>
          </w:tcPr>
          <w:p w:rsidR="00AD7262" w:rsidRDefault="00AD7262" w:rsidP="007E69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দায়িত্বপ্রাপ্ত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জনসংখ্যার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প্রত্যয়ন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</w:p>
        </w:tc>
        <w:tc>
          <w:tcPr>
            <w:tcW w:w="1364" w:type="dxa"/>
            <w:vMerge w:val="restart"/>
          </w:tcPr>
          <w:p w:rsidR="007E69F6" w:rsidRDefault="007E69F6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রেকর্ডভূক্তি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আবেদনকারীকে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রেকর্ড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ভূক্তির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ইস্যু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অতঃপর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নিকট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দায়িত্বে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যাচাই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বাছাই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ফরমেটে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উপস্থাপন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আবেদনকারীকে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225" w:type="dxa"/>
            <w:vMerge w:val="restart"/>
          </w:tcPr>
          <w:p w:rsidR="007E69F6" w:rsidRDefault="007E69F6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০১।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অধিকার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আইন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বিধি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পূরণ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দাখিল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7E69F6" w:rsidRDefault="007E69F6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69F6" w:rsidRDefault="007E69F6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7E69F6" w:rsidRDefault="007E69F6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০২।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কমিশনের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ওয়েবসাইট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সংগ্রহ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079" w:type="dxa"/>
            <w:vMerge w:val="restart"/>
          </w:tcPr>
          <w:p w:rsidR="007E69F6" w:rsidRDefault="007E69F6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  <w:p w:rsidR="00A07FD5" w:rsidRDefault="00A07FD5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A07FD5" w:rsidRDefault="00A07FD5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সিডি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ডিস্কে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সরবরাহের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041" w:type="dxa"/>
            <w:vMerge w:val="restart"/>
          </w:tcPr>
          <w:p w:rsidR="007E69F6" w:rsidRDefault="00A07FD5" w:rsidP="00A07FD5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১-৩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কর্মদিবসে</w:t>
            </w:r>
            <w:proofErr w:type="spellEnd"/>
          </w:p>
        </w:tc>
        <w:tc>
          <w:tcPr>
            <w:tcW w:w="1800" w:type="dxa"/>
            <w:vMerge w:val="restart"/>
          </w:tcPr>
          <w:p w:rsidR="007E69F6" w:rsidRDefault="00D41599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কাঞ্চন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কুমার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মজুমদার</w:t>
            </w:r>
            <w:proofErr w:type="spellEnd"/>
          </w:p>
          <w:p w:rsidR="00CE40F6" w:rsidRDefault="00CE40F6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ভারপ্রাপ্ত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CE40F6" w:rsidRDefault="00D41599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</w:t>
            </w:r>
            <w:r w:rsidR="00CE40F6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 w:rsidR="00CE40F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E40F6"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  <w:r w:rsidR="00CE40F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E40F6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  <w:p w:rsidR="00CE40F6" w:rsidRDefault="00D41599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বাঘাউছড়ি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E40F6">
              <w:rPr>
                <w:rFonts w:ascii="Nikosh" w:hAnsi="Nikosh" w:cs="Nikosh"/>
                <w:sz w:val="24"/>
                <w:szCs w:val="24"/>
              </w:rPr>
              <w:t>রাঙ্গামাটি</w:t>
            </w:r>
            <w:proofErr w:type="spellEnd"/>
            <w:r w:rsidR="00CE40F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E40F6">
              <w:rPr>
                <w:rFonts w:ascii="Nikosh" w:hAnsi="Nikosh" w:cs="Nikosh"/>
                <w:sz w:val="24"/>
                <w:szCs w:val="24"/>
              </w:rPr>
              <w:t>পার্বত্য</w:t>
            </w:r>
            <w:proofErr w:type="spellEnd"/>
            <w:r w:rsidR="00CE40F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E40F6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  <w:p w:rsidR="00CE40F6" w:rsidRDefault="00CE40F6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: ০৩</w:t>
            </w:r>
            <w:r w:rsidR="00D41599">
              <w:rPr>
                <w:rFonts w:ascii="Nikosh" w:hAnsi="Nikosh" w:cs="Nikosh"/>
                <w:sz w:val="24"/>
                <w:szCs w:val="24"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১-</w:t>
            </w:r>
            <w:r w:rsidR="00D41599">
              <w:rPr>
                <w:rFonts w:ascii="Nikosh" w:hAnsi="Nikosh" w:cs="Nikosh"/>
                <w:sz w:val="24"/>
                <w:szCs w:val="24"/>
              </w:rPr>
              <w:t>৫৬০১৬</w:t>
            </w:r>
          </w:p>
          <w:p w:rsidR="00CE40F6" w:rsidRDefault="00D41599" w:rsidP="00D41599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</w:t>
            </w:r>
            <w:r w:rsidR="00CE40F6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="00CE40F6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="00CE40F6">
              <w:rPr>
                <w:rFonts w:ascii="Nikosh" w:hAnsi="Nikosh" w:cs="Nikosh"/>
                <w:sz w:val="24"/>
                <w:szCs w:val="24"/>
              </w:rPr>
              <w:t xml:space="preserve"> : </w:t>
            </w:r>
          </w:p>
          <w:p w:rsidR="00CE40F6" w:rsidRPr="00CE40F6" w:rsidRDefault="00D41599" w:rsidP="00CE40F6">
            <w:pPr>
              <w:pStyle w:val="NoSpacing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usobaghaichhari</w:t>
            </w:r>
            <w:r w:rsidR="00CE40F6" w:rsidRPr="00CE40F6">
              <w:rPr>
                <w:rFonts w:ascii="Nikosh" w:hAnsi="Nikosh" w:cs="Nikosh"/>
                <w:sz w:val="16"/>
                <w:szCs w:val="16"/>
              </w:rPr>
              <w:t>@gmail.com</w:t>
            </w: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আদমশুমারির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শুমারির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অর্থনৈতিক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শুমারির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তথ্যভান্ডার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শুমারির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বস্তি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শুমারির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ভাইটাল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স্ট্যাটিসটিকস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মজুরী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ফসলের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জনতত্ত্ব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শ্রমশক্তি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শিশু-শ্রমের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জেন্ডার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স্ট্যাটিসটিকস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শিশু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আয়-ব্যয়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সম্পর্কিত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ভোক্তার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সূচক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জি.ডি.পি’র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প্রবৃদ্ধির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মজুরীর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পরিবেশ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দারিদ্র্য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87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গবাদি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পশু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হাঁস-মুরগী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ভূমি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সেচ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557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ফসলের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খরচ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ট্যোবাকো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নারীদের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অবস্থান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সম্পর্কিত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শিশু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ডিস্ট্রিক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স্ট্যাটিসটিকস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বিনিয়োগ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দাগগুচ্ছ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জরিপ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জি.ও.কোড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হালনাগাদকরণ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78"/>
        </w:trPr>
        <w:tc>
          <w:tcPr>
            <w:tcW w:w="630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4111" w:type="dxa"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নৃ-গোষ্ঠী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আদিবাসীদের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64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7E69F6" w:rsidRDefault="007E69F6" w:rsidP="00AD726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AD7262" w:rsidRDefault="00AD7262" w:rsidP="00AD7262">
      <w:pPr>
        <w:pStyle w:val="NoSpacing"/>
        <w:rPr>
          <w:rFonts w:ascii="Nikosh" w:hAnsi="Nikosh" w:cs="Nikosh"/>
          <w:sz w:val="24"/>
          <w:szCs w:val="24"/>
        </w:rPr>
      </w:pPr>
    </w:p>
    <w:p w:rsidR="00E0434C" w:rsidRDefault="00E0434C" w:rsidP="00AD7262">
      <w:pPr>
        <w:pStyle w:val="NoSpacing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গ) </w:t>
      </w:r>
      <w:proofErr w:type="spellStart"/>
      <w:r>
        <w:rPr>
          <w:rFonts w:ascii="Nikosh" w:hAnsi="Nikosh" w:cs="Nikosh"/>
          <w:sz w:val="24"/>
          <w:szCs w:val="24"/>
        </w:rPr>
        <w:t>আভ্যন্তরীণ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সেব</w:t>
      </w:r>
      <w:proofErr w:type="gramStart"/>
      <w:r>
        <w:rPr>
          <w:rFonts w:ascii="Nikosh" w:hAnsi="Nikosh" w:cs="Nikosh"/>
          <w:sz w:val="24"/>
          <w:szCs w:val="24"/>
        </w:rPr>
        <w:t>া</w:t>
      </w:r>
      <w:proofErr w:type="spellEnd"/>
      <w:r>
        <w:rPr>
          <w:rFonts w:ascii="Nikosh" w:hAnsi="Nikosh" w:cs="Nikosh"/>
          <w:sz w:val="24"/>
          <w:szCs w:val="24"/>
        </w:rPr>
        <w:t xml:space="preserve"> :</w:t>
      </w:r>
      <w:proofErr w:type="gramEnd"/>
      <w:r>
        <w:rPr>
          <w:rFonts w:ascii="Nikosh" w:hAnsi="Nikosh" w:cs="Nikosh"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ook w:val="04A0"/>
      </w:tblPr>
      <w:tblGrid>
        <w:gridCol w:w="625"/>
        <w:gridCol w:w="2705"/>
        <w:gridCol w:w="1530"/>
        <w:gridCol w:w="1431"/>
        <w:gridCol w:w="988"/>
        <w:gridCol w:w="1076"/>
        <w:gridCol w:w="2841"/>
      </w:tblGrid>
      <w:tr w:rsidR="00E0434C" w:rsidTr="00CE40F6">
        <w:trPr>
          <w:trHeight w:val="1114"/>
        </w:trPr>
        <w:tc>
          <w:tcPr>
            <w:tcW w:w="625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05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30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431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কাগজপত্র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প্রাপ্তিস্থান</w:t>
            </w:r>
            <w:proofErr w:type="spellEnd"/>
          </w:p>
        </w:tc>
        <w:tc>
          <w:tcPr>
            <w:tcW w:w="988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সেবামূল্যে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076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841" w:type="dxa"/>
          </w:tcPr>
          <w:p w:rsidR="00E0434C" w:rsidRDefault="00E0434C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দায়িত্বপ্রাপ্ত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CE40F6" w:rsidTr="00CE40F6">
        <w:trPr>
          <w:trHeight w:val="332"/>
        </w:trPr>
        <w:tc>
          <w:tcPr>
            <w:tcW w:w="62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70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শ্রান্তি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বিনোদন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মঞ্জুরি</w:t>
            </w:r>
            <w:proofErr w:type="spellEnd"/>
          </w:p>
        </w:tc>
        <w:tc>
          <w:tcPr>
            <w:tcW w:w="1530" w:type="dxa"/>
            <w:vMerge w:val="restart"/>
          </w:tcPr>
          <w:p w:rsidR="00CE40F6" w:rsidRDefault="00CE40F6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যাচাই-বাছাই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পূর্বক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431" w:type="dxa"/>
            <w:vMerge w:val="restart"/>
          </w:tcPr>
          <w:p w:rsidR="00CE40F6" w:rsidRDefault="00CE40F6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চাহিত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কাগজপত্রাদি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দাখিল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988" w:type="dxa"/>
            <w:vMerge w:val="restart"/>
          </w:tcPr>
          <w:p w:rsidR="00CE40F6" w:rsidRDefault="00CE40F6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76" w:type="dxa"/>
            <w:vMerge w:val="restart"/>
          </w:tcPr>
          <w:p w:rsidR="00CE40F6" w:rsidRDefault="00CE40F6" w:rsidP="00CE40F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৩-৭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কর্মদিবসে</w:t>
            </w:r>
            <w:proofErr w:type="spellEnd"/>
          </w:p>
        </w:tc>
        <w:tc>
          <w:tcPr>
            <w:tcW w:w="2841" w:type="dxa"/>
            <w:vMerge w:val="restart"/>
          </w:tcPr>
          <w:p w:rsidR="00D41599" w:rsidRDefault="00D41599" w:rsidP="00D4159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কাঞ্চন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কুমার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মজুমদার</w:t>
            </w:r>
            <w:proofErr w:type="spellEnd"/>
          </w:p>
          <w:p w:rsidR="00D41599" w:rsidRDefault="00D41599" w:rsidP="00D4159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ভারপ্রাপ্ত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D41599" w:rsidRDefault="00D41599" w:rsidP="00D4159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  <w:p w:rsidR="00D41599" w:rsidRDefault="00D41599" w:rsidP="00D4159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বাঘাউছড়ি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রাঙ্গামাটি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পার্বত্য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</w:p>
          <w:p w:rsidR="00D41599" w:rsidRDefault="00D41599" w:rsidP="00D4159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: ০৩৭১-৫৬০১৬</w:t>
            </w:r>
          </w:p>
          <w:p w:rsidR="00D41599" w:rsidRDefault="00D41599" w:rsidP="00D41599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: </w:t>
            </w:r>
          </w:p>
          <w:p w:rsidR="00CE40F6" w:rsidRDefault="00D41599" w:rsidP="00D4159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16"/>
                <w:szCs w:val="16"/>
              </w:rPr>
              <w:t>usobaghaichhari</w:t>
            </w:r>
            <w:r w:rsidRPr="00CE40F6">
              <w:rPr>
                <w:rFonts w:ascii="Nikosh" w:hAnsi="Nikosh" w:cs="Nikosh"/>
                <w:sz w:val="16"/>
                <w:szCs w:val="16"/>
              </w:rPr>
              <w:t>@gmail.com</w:t>
            </w:r>
          </w:p>
        </w:tc>
      </w:tr>
      <w:tr w:rsidR="00CE40F6" w:rsidTr="00CE40F6">
        <w:trPr>
          <w:trHeight w:val="350"/>
        </w:trPr>
        <w:tc>
          <w:tcPr>
            <w:tcW w:w="62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70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পোশাক</w:t>
            </w:r>
            <w:proofErr w:type="spellEnd"/>
          </w:p>
        </w:tc>
        <w:tc>
          <w:tcPr>
            <w:tcW w:w="1530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60"/>
        </w:trPr>
        <w:tc>
          <w:tcPr>
            <w:tcW w:w="62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70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প্রসূতি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মঞ্জুরি</w:t>
            </w:r>
            <w:proofErr w:type="spellEnd"/>
          </w:p>
        </w:tc>
        <w:tc>
          <w:tcPr>
            <w:tcW w:w="1530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60"/>
        </w:trPr>
        <w:tc>
          <w:tcPr>
            <w:tcW w:w="62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70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পি.এফ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অগ্রীম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মঞ্জুরি</w:t>
            </w:r>
            <w:proofErr w:type="spellEnd"/>
          </w:p>
        </w:tc>
        <w:tc>
          <w:tcPr>
            <w:tcW w:w="1530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60"/>
        </w:trPr>
        <w:tc>
          <w:tcPr>
            <w:tcW w:w="62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70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গৃহ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অগ্রীম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মঞ্জুরী</w:t>
            </w:r>
            <w:proofErr w:type="spellEnd"/>
          </w:p>
        </w:tc>
        <w:tc>
          <w:tcPr>
            <w:tcW w:w="1530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40F6" w:rsidTr="00CE40F6">
        <w:trPr>
          <w:trHeight w:val="260"/>
        </w:trPr>
        <w:tc>
          <w:tcPr>
            <w:tcW w:w="62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705" w:type="dxa"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মঞ্জুরী</w:t>
            </w:r>
            <w:proofErr w:type="spellEnd"/>
          </w:p>
        </w:tc>
        <w:tc>
          <w:tcPr>
            <w:tcW w:w="1530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:rsidR="00CE40F6" w:rsidRDefault="00CE40F6" w:rsidP="00D96A43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0434C" w:rsidRPr="00AD7262" w:rsidRDefault="00E0434C" w:rsidP="00AD7262">
      <w:pPr>
        <w:pStyle w:val="NoSpacing"/>
        <w:rPr>
          <w:rFonts w:ascii="Nikosh" w:hAnsi="Nikosh" w:cs="Nikosh"/>
          <w:sz w:val="24"/>
          <w:szCs w:val="24"/>
        </w:rPr>
      </w:pPr>
    </w:p>
    <w:sectPr w:rsidR="00E0434C" w:rsidRPr="00AD7262" w:rsidSect="00E0434C">
      <w:pgSz w:w="12240" w:h="20160" w:code="5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7262"/>
    <w:rsid w:val="00482068"/>
    <w:rsid w:val="00600BCF"/>
    <w:rsid w:val="007E69F6"/>
    <w:rsid w:val="00A07FD5"/>
    <w:rsid w:val="00AD7262"/>
    <w:rsid w:val="00BF47BE"/>
    <w:rsid w:val="00CE40F6"/>
    <w:rsid w:val="00D41599"/>
    <w:rsid w:val="00E0434C"/>
    <w:rsid w:val="00F0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262"/>
    <w:pPr>
      <w:spacing w:after="0" w:line="240" w:lineRule="auto"/>
    </w:pPr>
  </w:style>
  <w:style w:type="table" w:styleId="TableGrid">
    <w:name w:val="Table Grid"/>
    <w:basedOn w:val="TableNormal"/>
    <w:uiPriority w:val="59"/>
    <w:rsid w:val="00AD7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2020-10-05T04:28:00Z</dcterms:created>
  <dcterms:modified xsi:type="dcterms:W3CDTF">2020-10-21T10:15:00Z</dcterms:modified>
</cp:coreProperties>
</file>