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Style w:val="GlobalFund"/>
        <w:tblpPr w:leftFromText="181" w:rightFromText="181" w:vertAnchor="page" w:horzAnchor="page" w:tblpYSpec="top"/>
        <w:tblOverlap w:val="never"/>
        <w:tblW w:w="11634" w:type="dxa"/>
        <w:tblLayout w:type="fixed"/>
        <w:tblCellMar>
          <w:right w:w="0" w:type="dxa"/>
        </w:tblCellMar>
        <w:tblLook w:val="04A0" w:firstRow="1" w:lastRow="0" w:firstColumn="1" w:lastColumn="0" w:noHBand="0" w:noVBand="1"/>
      </w:tblPr>
      <w:tblGrid>
        <w:gridCol w:w="11634"/>
      </w:tblGrid>
      <w:tr w:rsidR="007043C7" w:rsidRPr="00B271DB" w14:paraId="33D35476" w14:textId="77777777" w:rsidTr="004C686E">
        <w:trPr>
          <w:cnfStyle w:val="100000000000" w:firstRow="1" w:lastRow="0" w:firstColumn="0" w:lastColumn="0" w:oddVBand="0" w:evenVBand="0" w:oddHBand="0" w:evenHBand="0" w:firstRowFirstColumn="0" w:firstRowLastColumn="0" w:lastRowFirstColumn="0" w:lastRowLastColumn="0"/>
          <w:trHeight w:hRule="exact" w:val="4981"/>
        </w:trPr>
        <w:tc>
          <w:tcPr>
            <w:tcW w:w="11634" w:type="dxa"/>
          </w:tcPr>
          <w:tbl>
            <w:tblPr>
              <w:tblStyle w:val="TableGrid"/>
              <w:tblpPr w:leftFromText="180" w:rightFromText="180" w:vertAnchor="text" w:horzAnchor="margin" w:tblpXSpec="center" w:tblpY="1134"/>
              <w:tblOverlap w:val="never"/>
              <w:tblW w:w="9089" w:type="dxa"/>
              <w:tblBorders>
                <w:top w:val="single" w:sz="6" w:space="0" w:color="1E1E1E" w:themeColor="background2"/>
                <w:left w:val="none" w:sz="0" w:space="0" w:color="auto"/>
                <w:bottom w:val="single" w:sz="6" w:space="0" w:color="1E1E1E" w:themeColor="background2"/>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89"/>
            </w:tblGrid>
            <w:tr w:rsidR="00703B59" w:rsidRPr="00B271DB" w14:paraId="312F0ECC" w14:textId="77777777" w:rsidTr="004C686E">
              <w:trPr>
                <w:trHeight w:val="1358"/>
              </w:trPr>
              <w:tc>
                <w:tcPr>
                  <w:tcW w:w="9089" w:type="dxa"/>
                  <w:vAlign w:val="center"/>
                </w:tcPr>
                <w:p w14:paraId="7CB00643" w14:textId="77777777" w:rsidR="00703B59" w:rsidRPr="00B271DB" w:rsidRDefault="00703B59" w:rsidP="00703B59">
                  <w:pPr>
                    <w:pStyle w:val="CoverPageTitle"/>
                    <w:spacing w:before="0" w:after="0"/>
                    <w:rPr>
                      <w:color w:val="003F72"/>
                    </w:rPr>
                  </w:pPr>
                  <w:bookmarkStart w:id="0" w:name="_GoBack"/>
                  <w:bookmarkEnd w:id="0"/>
                  <w:r w:rsidRPr="00B271DB">
                    <w:rPr>
                      <w:color w:val="003F72"/>
                    </w:rPr>
                    <w:t>Funding Request Form</w:t>
                  </w:r>
                </w:p>
                <w:p w14:paraId="07ED2EF5" w14:textId="77777777" w:rsidR="00703B59" w:rsidRPr="00B271DB" w:rsidRDefault="00703B59" w:rsidP="00703B59">
                  <w:pPr>
                    <w:pStyle w:val="CoverPageTitle"/>
                    <w:spacing w:before="0" w:after="0"/>
                    <w:rPr>
                      <w:color w:val="003F72"/>
                      <w:sz w:val="40"/>
                      <w:szCs w:val="40"/>
                    </w:rPr>
                  </w:pPr>
                  <w:r w:rsidRPr="00B271DB">
                    <w:rPr>
                      <w:color w:val="003F72"/>
                      <w:sz w:val="40"/>
                      <w:szCs w:val="40"/>
                    </w:rPr>
                    <w:t xml:space="preserve">Allocation </w:t>
                  </w:r>
                  <w:r>
                    <w:rPr>
                      <w:color w:val="003F72"/>
                      <w:sz w:val="40"/>
                      <w:szCs w:val="40"/>
                    </w:rPr>
                    <w:t>Period</w:t>
                  </w:r>
                  <w:r w:rsidRPr="00B271DB">
                    <w:rPr>
                      <w:color w:val="003F72"/>
                      <w:sz w:val="40"/>
                      <w:szCs w:val="40"/>
                    </w:rPr>
                    <w:t xml:space="preserve"> 2020-2022</w:t>
                  </w:r>
                </w:p>
              </w:tc>
            </w:tr>
          </w:tbl>
          <w:p w14:paraId="4470BB6E" w14:textId="77777777" w:rsidR="007043C7" w:rsidRPr="00B271DB" w:rsidRDefault="00D2069F" w:rsidP="009B6C0D">
            <w:pPr>
              <w:pStyle w:val="NormalNoSpace"/>
              <w:jc w:val="center"/>
              <w:rPr>
                <w:caps w:val="0"/>
              </w:rPr>
            </w:pPr>
            <w:r w:rsidRPr="00B271DB">
              <w:rPr>
                <w:noProof/>
                <w:lang w:bidi="bn-BD"/>
              </w:rPr>
              <mc:AlternateContent>
                <mc:Choice Requires="wps">
                  <w:drawing>
                    <wp:anchor distT="0" distB="0" distL="114300" distR="114300" simplePos="0" relativeHeight="251658240" behindDoc="0" locked="0" layoutInCell="1" allowOverlap="1" wp14:anchorId="18AB035E" wp14:editId="0336A1DB">
                      <wp:simplePos x="0" y="0"/>
                      <wp:positionH relativeFrom="margin">
                        <wp:align>right</wp:align>
                      </wp:positionH>
                      <wp:positionV relativeFrom="margin">
                        <wp:align>center</wp:align>
                      </wp:positionV>
                      <wp:extent cx="574040" cy="10899648"/>
                      <wp:effectExtent l="0" t="0" r="0" b="0"/>
                      <wp:wrapNone/>
                      <wp:docPr id="203" name="Rectangle 203"/>
                      <wp:cNvGraphicFramePr/>
                      <a:graphic xmlns:a="http://schemas.openxmlformats.org/drawingml/2006/main">
                        <a:graphicData uri="http://schemas.microsoft.com/office/word/2010/wordprocessingShape">
                          <wps:wsp>
                            <wps:cNvSpPr/>
                            <wps:spPr>
                              <a:xfrm>
                                <a:off x="0" y="0"/>
                                <a:ext cx="574040" cy="10899648"/>
                              </a:xfrm>
                              <a:prstGeom prst="rect">
                                <a:avLst/>
                              </a:prstGeom>
                              <a:solidFill>
                                <a:srgbClr val="003F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A9F123" w14:textId="2E9F262F" w:rsidR="009B0847" w:rsidRPr="009F52F1" w:rsidRDefault="009B0847" w:rsidP="0086619D">
                                  <w:pPr>
                                    <w:jc w:val="center"/>
                                    <w:rPr>
                                      <w:color w:val="FFFFFF" w:themeColor="background1"/>
                                      <w:sz w:val="48"/>
                                      <w:szCs w:val="48"/>
                                    </w:rPr>
                                  </w:pPr>
                                  <w:r>
                                    <w:rPr>
                                      <w:color w:val="FFFFFF" w:themeColor="background1"/>
                                      <w:sz w:val="48"/>
                                      <w:szCs w:val="48"/>
                                    </w:rPr>
                                    <w:t>Full Review</w:t>
                                  </w:r>
                                </w:p>
                              </w:txbxContent>
                            </wps:txbx>
                            <wps:bodyPr rot="0" spcFirstLastPara="0" vertOverflow="overflow" horzOverflow="overflow" vert="vert"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B035E" id="Rectangle 203" o:spid="_x0000_s1026" style="position:absolute;left:0;text-align:left;margin-left:-6pt;margin-top:0;width:45.2pt;height:858.25pt;z-index:251658240;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" fillcolor="#003f72" stroked="f" strokeweight="1pt">
                      <v:textbox style="layout-flow:vertical" inset=",14.4pt,8.64pt,18pt">
                        <w:txbxContent>
                          <w:p w14:paraId="44A9F123" w14:textId="2E9F262F" w:rsidR="009B0847" w:rsidRPr="009F52F1" w:rsidRDefault="009B0847" w:rsidP="0086619D">
                            <w:pPr>
                              <w:jc w:val="center"/>
                              <w:rPr>
                                <w:color w:val="FFFFFF" w:themeColor="background1"/>
                                <w:sz w:val="48"/>
                                <w:szCs w:val="48"/>
                              </w:rPr>
                            </w:pPr>
                            <w:r>
                              <w:rPr>
                                <w:color w:val="FFFFFF" w:themeColor="background1"/>
                                <w:sz w:val="48"/>
                                <w:szCs w:val="48"/>
                              </w:rPr>
                              <w:t>Full Review</w:t>
                            </w:r>
                          </w:p>
                        </w:txbxContent>
                      </v:textbox>
                      <w10:wrap anchorx="margin" anchory="margin"/>
                    </v:rect>
                  </w:pict>
                </mc:Fallback>
              </mc:AlternateContent>
            </w:r>
          </w:p>
        </w:tc>
      </w:tr>
    </w:tbl>
    <w:p w14:paraId="67247401" w14:textId="09F74640" w:rsidR="00304EE8" w:rsidRPr="005A02BE" w:rsidRDefault="009F52F1" w:rsidP="009B6C0D">
      <w:pPr>
        <w:pStyle w:val="Title"/>
        <w:spacing w:after="0"/>
        <w:rPr>
          <w:sz w:val="36"/>
          <w:szCs w:val="36"/>
        </w:rPr>
      </w:pPr>
      <w:bookmarkStart w:id="1" w:name="_Hlk15390092"/>
      <w:bookmarkStart w:id="2" w:name="_Hlk15384019"/>
      <w:bookmarkStart w:id="3" w:name="_Hlk15379923"/>
      <w:r w:rsidRPr="005A02BE">
        <w:rPr>
          <w:rStyle w:val="Heading1Char"/>
          <w:rFonts w:cstheme="majorBidi"/>
          <w:b w:val="0"/>
          <w:bCs w:val="0"/>
          <w:noProof w:val="0"/>
          <w:sz w:val="36"/>
          <w:szCs w:val="36"/>
          <w:shd w:val="clear" w:color="auto" w:fill="auto"/>
        </w:rPr>
        <w:t>Summary Information</w:t>
      </w:r>
    </w:p>
    <w:tbl>
      <w:tblPr>
        <w:tblStyle w:val="TableGrid"/>
        <w:tblW w:w="0" w:type="auto"/>
        <w:tblLook w:val="04A0" w:firstRow="1" w:lastRow="0" w:firstColumn="1" w:lastColumn="0" w:noHBand="0" w:noVBand="1"/>
      </w:tblPr>
      <w:tblGrid>
        <w:gridCol w:w="4256"/>
        <w:gridCol w:w="5372"/>
      </w:tblGrid>
      <w:tr w:rsidR="00703B59" w:rsidRPr="00B271DB" w14:paraId="4B675D29" w14:textId="77777777" w:rsidTr="00703B59">
        <w:trPr>
          <w:trHeight w:val="461"/>
        </w:trPr>
        <w:tc>
          <w:tcPr>
            <w:tcW w:w="4256" w:type="dxa"/>
            <w:shd w:val="clear" w:color="auto" w:fill="F2F2F2" w:themeFill="background1" w:themeFillShade="F2"/>
            <w:vAlign w:val="center"/>
          </w:tcPr>
          <w:p w14:paraId="77FCB0D8" w14:textId="77777777" w:rsidR="00703B59" w:rsidRPr="00B271DB" w:rsidRDefault="00703B59" w:rsidP="0027165B">
            <w:pPr>
              <w:rPr>
                <w:rFonts w:cs="Arial"/>
                <w:b/>
              </w:rPr>
            </w:pPr>
            <w:r w:rsidRPr="00B271DB">
              <w:rPr>
                <w:rFonts w:eastAsiaTheme="minorEastAsia"/>
                <w:b/>
                <w:bCs/>
              </w:rPr>
              <w:t>Country(s)</w:t>
            </w:r>
          </w:p>
        </w:tc>
        <w:tc>
          <w:tcPr>
            <w:tcW w:w="5372" w:type="dxa"/>
          </w:tcPr>
          <w:p w14:paraId="34195890" w14:textId="77777777" w:rsidR="00703B59" w:rsidRPr="00B271DB" w:rsidRDefault="00703B59" w:rsidP="0027165B">
            <w:pPr>
              <w:rPr>
                <w:rFonts w:cs="Arial"/>
              </w:rPr>
            </w:pPr>
            <w:r>
              <w:rPr>
                <w:rFonts w:cs="Arial"/>
              </w:rPr>
              <w:t xml:space="preserve">Bangladesh </w:t>
            </w:r>
          </w:p>
        </w:tc>
      </w:tr>
      <w:tr w:rsidR="00703B59" w:rsidRPr="00B271DB" w14:paraId="11601A08" w14:textId="77777777" w:rsidTr="00703B59">
        <w:trPr>
          <w:trHeight w:val="461"/>
        </w:trPr>
        <w:tc>
          <w:tcPr>
            <w:tcW w:w="4256" w:type="dxa"/>
            <w:shd w:val="clear" w:color="auto" w:fill="F2F2F2" w:themeFill="background1" w:themeFillShade="F2"/>
            <w:vAlign w:val="center"/>
          </w:tcPr>
          <w:p w14:paraId="576DC75C" w14:textId="77777777" w:rsidR="00703B59" w:rsidRPr="00B271DB" w:rsidRDefault="00703B59" w:rsidP="0027165B">
            <w:pPr>
              <w:rPr>
                <w:rFonts w:cs="Arial"/>
                <w:b/>
              </w:rPr>
            </w:pPr>
            <w:r w:rsidRPr="00B271DB">
              <w:rPr>
                <w:b/>
                <w:bCs/>
              </w:rPr>
              <w:t>Component(s)</w:t>
            </w:r>
          </w:p>
        </w:tc>
        <w:tc>
          <w:tcPr>
            <w:tcW w:w="5372" w:type="dxa"/>
          </w:tcPr>
          <w:p w14:paraId="2985E99E" w14:textId="77777777" w:rsidR="00703B59" w:rsidRPr="00B271DB" w:rsidRDefault="00703B59" w:rsidP="0027165B">
            <w:pPr>
              <w:rPr>
                <w:rFonts w:cs="Arial"/>
              </w:rPr>
            </w:pPr>
            <w:r>
              <w:rPr>
                <w:rFonts w:cs="Arial"/>
              </w:rPr>
              <w:t>HIV/AIDS</w:t>
            </w:r>
          </w:p>
        </w:tc>
      </w:tr>
      <w:tr w:rsidR="00703B59" w:rsidRPr="00B271DB" w14:paraId="00749F86" w14:textId="77777777" w:rsidTr="00703B59">
        <w:trPr>
          <w:trHeight w:val="461"/>
        </w:trPr>
        <w:tc>
          <w:tcPr>
            <w:tcW w:w="4256" w:type="dxa"/>
            <w:shd w:val="clear" w:color="auto" w:fill="F2F2F2" w:themeFill="background1" w:themeFillShade="F2"/>
            <w:vAlign w:val="center"/>
          </w:tcPr>
          <w:p w14:paraId="2ED37142" w14:textId="77777777" w:rsidR="00703B59" w:rsidRPr="00B271DB" w:rsidRDefault="00703B59" w:rsidP="0027165B">
            <w:pPr>
              <w:rPr>
                <w:rFonts w:cs="Arial"/>
                <w:b/>
              </w:rPr>
            </w:pPr>
            <w:r w:rsidRPr="00B271DB">
              <w:rPr>
                <w:b/>
                <w:bCs/>
              </w:rPr>
              <w:t>Planned grant(s) start date</w:t>
            </w:r>
            <w:r>
              <w:rPr>
                <w:b/>
                <w:bCs/>
              </w:rPr>
              <w:t>(s)</w:t>
            </w:r>
          </w:p>
        </w:tc>
        <w:tc>
          <w:tcPr>
            <w:tcW w:w="5372" w:type="dxa"/>
          </w:tcPr>
          <w:p w14:paraId="00ACCE57" w14:textId="77777777" w:rsidR="00703B59" w:rsidRPr="00B271DB" w:rsidRDefault="00703B59" w:rsidP="0027165B">
            <w:pPr>
              <w:rPr>
                <w:rFonts w:cs="Arial"/>
              </w:rPr>
            </w:pPr>
            <w:r>
              <w:rPr>
                <w:rFonts w:cs="Arial"/>
              </w:rPr>
              <w:t>01 December 2020</w:t>
            </w:r>
          </w:p>
        </w:tc>
      </w:tr>
      <w:tr w:rsidR="00703B59" w:rsidRPr="00B271DB" w14:paraId="46E0A9D1" w14:textId="77777777" w:rsidTr="00703B59">
        <w:trPr>
          <w:trHeight w:val="461"/>
        </w:trPr>
        <w:tc>
          <w:tcPr>
            <w:tcW w:w="4256" w:type="dxa"/>
            <w:shd w:val="clear" w:color="auto" w:fill="F2F2F2" w:themeFill="background1" w:themeFillShade="F2"/>
            <w:vAlign w:val="center"/>
          </w:tcPr>
          <w:p w14:paraId="151888D6" w14:textId="77777777" w:rsidR="00703B59" w:rsidRPr="00B271DB" w:rsidRDefault="00703B59" w:rsidP="0027165B">
            <w:pPr>
              <w:rPr>
                <w:rFonts w:cs="Arial"/>
                <w:b/>
              </w:rPr>
            </w:pPr>
            <w:r w:rsidRPr="00B271DB">
              <w:rPr>
                <w:b/>
                <w:bCs/>
              </w:rPr>
              <w:t>Planned grant(s) end date</w:t>
            </w:r>
            <w:r>
              <w:rPr>
                <w:b/>
                <w:bCs/>
              </w:rPr>
              <w:t>(s)</w:t>
            </w:r>
          </w:p>
        </w:tc>
        <w:tc>
          <w:tcPr>
            <w:tcW w:w="5372" w:type="dxa"/>
          </w:tcPr>
          <w:p w14:paraId="69463EB6" w14:textId="77777777" w:rsidR="00703B59" w:rsidRPr="00B271DB" w:rsidRDefault="00703B59" w:rsidP="0027165B">
            <w:pPr>
              <w:rPr>
                <w:rFonts w:cs="Arial"/>
              </w:rPr>
            </w:pPr>
            <w:r>
              <w:rPr>
                <w:rFonts w:cs="Arial"/>
              </w:rPr>
              <w:t>31 December 2023</w:t>
            </w:r>
          </w:p>
        </w:tc>
      </w:tr>
      <w:tr w:rsidR="00703B59" w:rsidRPr="00B271DB" w14:paraId="0A9E6631" w14:textId="77777777" w:rsidTr="00703B59">
        <w:trPr>
          <w:trHeight w:val="461"/>
        </w:trPr>
        <w:tc>
          <w:tcPr>
            <w:tcW w:w="4256" w:type="dxa"/>
            <w:shd w:val="clear" w:color="auto" w:fill="F2F2F2" w:themeFill="background1" w:themeFillShade="F2"/>
            <w:vAlign w:val="center"/>
          </w:tcPr>
          <w:p w14:paraId="33DF830E" w14:textId="77777777" w:rsidR="00703B59" w:rsidRPr="00B271DB" w:rsidRDefault="00703B59" w:rsidP="0027165B">
            <w:pPr>
              <w:rPr>
                <w:rFonts w:cs="Arial"/>
                <w:b/>
              </w:rPr>
            </w:pPr>
            <w:r w:rsidRPr="00B271DB">
              <w:rPr>
                <w:b/>
                <w:bCs/>
              </w:rPr>
              <w:t>Principal Recipient</w:t>
            </w:r>
            <w:r>
              <w:rPr>
                <w:b/>
                <w:bCs/>
              </w:rPr>
              <w:t>(s)</w:t>
            </w:r>
            <w:r w:rsidRPr="00B271DB">
              <w:rPr>
                <w:b/>
                <w:bCs/>
              </w:rPr>
              <w:t xml:space="preserve"> </w:t>
            </w:r>
          </w:p>
        </w:tc>
        <w:tc>
          <w:tcPr>
            <w:tcW w:w="5372" w:type="dxa"/>
          </w:tcPr>
          <w:p w14:paraId="20B3788B" w14:textId="77777777" w:rsidR="00703B59" w:rsidRDefault="00703B59" w:rsidP="0027165B">
            <w:pPr>
              <w:rPr>
                <w:rFonts w:cs="Arial"/>
              </w:rPr>
            </w:pPr>
            <w:r>
              <w:rPr>
                <w:rFonts w:cs="Arial"/>
              </w:rPr>
              <w:t xml:space="preserve">AIDS/STD Program, Directorate General of Health Services, Ministry of Health and Family Welfare, Peoples’ Republic of Bangladesh </w:t>
            </w:r>
          </w:p>
          <w:p w14:paraId="202438C6" w14:textId="77777777" w:rsidR="00703B59" w:rsidRDefault="00703B59" w:rsidP="0027165B">
            <w:pPr>
              <w:rPr>
                <w:rFonts w:cs="Arial"/>
              </w:rPr>
            </w:pPr>
            <w:r>
              <w:rPr>
                <w:rFonts w:cs="Arial"/>
              </w:rPr>
              <w:t xml:space="preserve">Save the Children International </w:t>
            </w:r>
          </w:p>
          <w:p w14:paraId="28A2DA53" w14:textId="77777777" w:rsidR="00703B59" w:rsidRPr="00B271DB" w:rsidRDefault="00703B59" w:rsidP="0027165B">
            <w:pPr>
              <w:rPr>
                <w:rFonts w:cs="Arial"/>
              </w:rPr>
            </w:pPr>
            <w:r>
              <w:rPr>
                <w:rFonts w:cs="Arial"/>
              </w:rPr>
              <w:t xml:space="preserve">icddr, b </w:t>
            </w:r>
          </w:p>
        </w:tc>
      </w:tr>
      <w:tr w:rsidR="00703B59" w:rsidRPr="00B271DB" w14:paraId="36BEECB5" w14:textId="77777777" w:rsidTr="00703B59">
        <w:trPr>
          <w:trHeight w:val="461"/>
        </w:trPr>
        <w:tc>
          <w:tcPr>
            <w:tcW w:w="4256" w:type="dxa"/>
            <w:shd w:val="clear" w:color="auto" w:fill="F2F2F2" w:themeFill="background1" w:themeFillShade="F2"/>
            <w:vAlign w:val="center"/>
          </w:tcPr>
          <w:p w14:paraId="79C31693" w14:textId="77777777" w:rsidR="00703B59" w:rsidRPr="00B271DB" w:rsidRDefault="00703B59" w:rsidP="0027165B">
            <w:pPr>
              <w:rPr>
                <w:rFonts w:cs="Arial"/>
                <w:b/>
              </w:rPr>
            </w:pPr>
            <w:r w:rsidRPr="00B271DB">
              <w:rPr>
                <w:b/>
                <w:bCs/>
              </w:rPr>
              <w:t>Currency</w:t>
            </w:r>
          </w:p>
        </w:tc>
        <w:tc>
          <w:tcPr>
            <w:tcW w:w="5372" w:type="dxa"/>
          </w:tcPr>
          <w:p w14:paraId="4C460F1F" w14:textId="77777777" w:rsidR="00703B59" w:rsidRPr="00B271DB" w:rsidRDefault="00703B59" w:rsidP="0027165B">
            <w:pPr>
              <w:rPr>
                <w:rFonts w:cs="Arial"/>
              </w:rPr>
            </w:pPr>
            <w:r>
              <w:rPr>
                <w:rFonts w:cs="Arial"/>
              </w:rPr>
              <w:t>USD</w:t>
            </w:r>
          </w:p>
        </w:tc>
      </w:tr>
      <w:tr w:rsidR="00703B59" w:rsidRPr="00B271DB" w14:paraId="6B03B782" w14:textId="77777777" w:rsidTr="00703B59">
        <w:trPr>
          <w:trHeight w:val="461"/>
        </w:trPr>
        <w:tc>
          <w:tcPr>
            <w:tcW w:w="4256" w:type="dxa"/>
            <w:shd w:val="clear" w:color="auto" w:fill="F2F2F2" w:themeFill="background1" w:themeFillShade="F2"/>
            <w:vAlign w:val="center"/>
          </w:tcPr>
          <w:p w14:paraId="558BAA6D" w14:textId="77777777" w:rsidR="00703B59" w:rsidRPr="00B271DB" w:rsidRDefault="00703B59" w:rsidP="0027165B">
            <w:pPr>
              <w:rPr>
                <w:rFonts w:cs="Arial"/>
                <w:b/>
              </w:rPr>
            </w:pPr>
            <w:r w:rsidRPr="00B271DB">
              <w:rPr>
                <w:b/>
                <w:bCs/>
              </w:rPr>
              <w:t>Allocation Funding Request Amount</w:t>
            </w:r>
          </w:p>
        </w:tc>
        <w:tc>
          <w:tcPr>
            <w:tcW w:w="5372" w:type="dxa"/>
          </w:tcPr>
          <w:p w14:paraId="6A160D28" w14:textId="6B8FC552" w:rsidR="00703B59" w:rsidRPr="00B271DB" w:rsidRDefault="00703B59" w:rsidP="0027165B">
            <w:pPr>
              <w:rPr>
                <w:rFonts w:cs="Arial"/>
              </w:rPr>
            </w:pPr>
            <w:r w:rsidRPr="007F258C">
              <w:rPr>
                <w:rFonts w:cs="Arial"/>
              </w:rPr>
              <w:t>23,000,765</w:t>
            </w:r>
            <w:r w:rsidR="00CC38C2">
              <w:rPr>
                <w:rFonts w:cs="Arial"/>
              </w:rPr>
              <w:t>.00</w:t>
            </w:r>
          </w:p>
        </w:tc>
      </w:tr>
      <w:tr w:rsidR="00703B59" w:rsidRPr="00B271DB" w14:paraId="0ADCA18A" w14:textId="77777777" w:rsidTr="00703B59">
        <w:trPr>
          <w:trHeight w:val="461"/>
        </w:trPr>
        <w:tc>
          <w:tcPr>
            <w:tcW w:w="4256" w:type="dxa"/>
            <w:shd w:val="clear" w:color="auto" w:fill="F2F2F2" w:themeFill="background1" w:themeFillShade="F2"/>
            <w:vAlign w:val="center"/>
          </w:tcPr>
          <w:p w14:paraId="08A3D95C" w14:textId="77777777" w:rsidR="00703B59" w:rsidRPr="00B271DB" w:rsidRDefault="00703B59" w:rsidP="0027165B">
            <w:pPr>
              <w:rPr>
                <w:rFonts w:cs="Arial"/>
                <w:b/>
              </w:rPr>
            </w:pPr>
            <w:r w:rsidRPr="00B271DB">
              <w:rPr>
                <w:b/>
                <w:bCs/>
              </w:rPr>
              <w:t>Prioritized Above Allocation Request (PAAR) Amount</w:t>
            </w:r>
            <w:r w:rsidRPr="00B271DB">
              <w:rPr>
                <w:rStyle w:val="FootnoteReference"/>
                <w:b/>
                <w:bCs/>
              </w:rPr>
              <w:footnoteReference w:id="2"/>
            </w:r>
            <w:r>
              <w:rPr>
                <w:b/>
                <w:bCs/>
              </w:rPr>
              <w:t xml:space="preserve"> </w:t>
            </w:r>
          </w:p>
        </w:tc>
        <w:tc>
          <w:tcPr>
            <w:tcW w:w="5372" w:type="dxa"/>
          </w:tcPr>
          <w:p w14:paraId="10D65DE4" w14:textId="237E0372" w:rsidR="00703B59" w:rsidRPr="00B271DB" w:rsidRDefault="00703B59" w:rsidP="0027165B">
            <w:pPr>
              <w:rPr>
                <w:rFonts w:cs="Arial"/>
              </w:rPr>
            </w:pPr>
            <w:r w:rsidRPr="00DE2B0D">
              <w:rPr>
                <w:rFonts w:cs="Arial"/>
                <w:highlight w:val="yellow"/>
              </w:rPr>
              <w:t>9,057,745.00</w:t>
            </w:r>
          </w:p>
        </w:tc>
      </w:tr>
      <w:tr w:rsidR="00703B59" w:rsidRPr="00B271DB" w14:paraId="2828800B" w14:textId="77777777" w:rsidTr="00703B59">
        <w:trPr>
          <w:trHeight w:val="461"/>
        </w:trPr>
        <w:tc>
          <w:tcPr>
            <w:tcW w:w="4256" w:type="dxa"/>
            <w:shd w:val="clear" w:color="auto" w:fill="F2F2F2" w:themeFill="background1" w:themeFillShade="F2"/>
            <w:vAlign w:val="center"/>
          </w:tcPr>
          <w:p w14:paraId="4D2DD6F7" w14:textId="77777777" w:rsidR="00703B59" w:rsidRDefault="00703B59" w:rsidP="0027165B">
            <w:pPr>
              <w:spacing w:after="0"/>
              <w:rPr>
                <w:b/>
                <w:bCs/>
              </w:rPr>
            </w:pPr>
            <w:r w:rsidRPr="00B271DB">
              <w:rPr>
                <w:b/>
                <w:bCs/>
              </w:rPr>
              <w:t>Matching Funds</w:t>
            </w:r>
            <w:r>
              <w:rPr>
                <w:b/>
                <w:bCs/>
              </w:rPr>
              <w:t xml:space="preserve"> Request</w:t>
            </w:r>
            <w:r w:rsidRPr="00B271DB">
              <w:rPr>
                <w:b/>
                <w:bCs/>
              </w:rPr>
              <w:t xml:space="preserve"> Amount</w:t>
            </w:r>
            <w:r>
              <w:rPr>
                <w:rStyle w:val="FootnoteReference"/>
                <w:b/>
                <w:bCs/>
              </w:rPr>
              <w:footnoteReference w:id="3"/>
            </w:r>
            <w:r>
              <w:rPr>
                <w:b/>
                <w:bCs/>
              </w:rPr>
              <w:t xml:space="preserve"> </w:t>
            </w:r>
          </w:p>
          <w:p w14:paraId="729CA588" w14:textId="77777777" w:rsidR="00703B59" w:rsidRPr="00890D60" w:rsidRDefault="00703B59" w:rsidP="0027165B">
            <w:pPr>
              <w:rPr>
                <w:rFonts w:cs="Arial"/>
              </w:rPr>
            </w:pPr>
            <w:r w:rsidRPr="00890D60">
              <w:rPr>
                <w:bCs/>
              </w:rPr>
              <w:t>(if applicable)</w:t>
            </w:r>
          </w:p>
        </w:tc>
        <w:tc>
          <w:tcPr>
            <w:tcW w:w="5372" w:type="dxa"/>
          </w:tcPr>
          <w:p w14:paraId="7E875082" w14:textId="77777777" w:rsidR="00703B59" w:rsidRPr="00B271DB" w:rsidRDefault="00703B59" w:rsidP="0027165B">
            <w:pPr>
              <w:rPr>
                <w:rFonts w:cs="Arial"/>
              </w:rPr>
            </w:pPr>
            <w:r>
              <w:rPr>
                <w:rFonts w:cs="Arial"/>
              </w:rPr>
              <w:t xml:space="preserve">Not Applicable </w:t>
            </w:r>
          </w:p>
        </w:tc>
      </w:tr>
    </w:tbl>
    <w:p w14:paraId="08BA28EA" w14:textId="77777777" w:rsidR="004C686E" w:rsidRDefault="004C686E" w:rsidP="004C686E">
      <w:pPr>
        <w:rPr>
          <w:rFonts w:eastAsiaTheme="majorEastAsia" w:cs="Arial"/>
          <w:b/>
          <w:sz w:val="32"/>
          <w:szCs w:val="32"/>
        </w:rPr>
      </w:pPr>
    </w:p>
    <w:p w14:paraId="0E747A48" w14:textId="29C1BE9C" w:rsidR="004C686E" w:rsidRPr="0029796F" w:rsidRDefault="004C686E" w:rsidP="004C686E">
      <w:pPr>
        <w:rPr>
          <w:rFonts w:eastAsiaTheme="majorEastAsia" w:cs="Arial"/>
          <w:b/>
        </w:rPr>
      </w:pPr>
      <w:r w:rsidRPr="0029796F">
        <w:rPr>
          <w:rFonts w:eastAsiaTheme="majorEastAsia" w:cs="Arial"/>
          <w:b/>
        </w:rPr>
        <w:t>This funding request includes the following sections:</w:t>
      </w:r>
    </w:p>
    <w:p w14:paraId="4C3D1179" w14:textId="77777777" w:rsidR="004C686E" w:rsidRPr="0029796F" w:rsidRDefault="004C686E" w:rsidP="0029796F">
      <w:pPr>
        <w:spacing w:line="240" w:lineRule="auto"/>
        <w:rPr>
          <w:rFonts w:eastAsiaTheme="majorEastAsia" w:cs="Arial"/>
          <w:bCs/>
        </w:rPr>
      </w:pPr>
      <w:r w:rsidRPr="0029796F">
        <w:rPr>
          <w:rFonts w:eastAsiaTheme="majorEastAsia" w:cs="Arial"/>
          <w:bCs/>
        </w:rPr>
        <w:t>Section 1: Context related to the funding request</w:t>
      </w:r>
    </w:p>
    <w:p w14:paraId="5DD42619" w14:textId="77777777" w:rsidR="004C686E" w:rsidRPr="0029796F" w:rsidRDefault="004C686E" w:rsidP="0029796F">
      <w:pPr>
        <w:spacing w:line="240" w:lineRule="auto"/>
        <w:rPr>
          <w:rFonts w:eastAsiaTheme="majorEastAsia" w:cs="Arial"/>
          <w:bCs/>
        </w:rPr>
      </w:pPr>
      <w:r w:rsidRPr="0029796F">
        <w:rPr>
          <w:rFonts w:eastAsiaTheme="majorEastAsia" w:cs="Arial"/>
          <w:bCs/>
        </w:rPr>
        <w:t>Section 2: Funding Request and Prioritization</w:t>
      </w:r>
    </w:p>
    <w:p w14:paraId="2EC67070" w14:textId="77777777" w:rsidR="004C686E" w:rsidRPr="0029796F" w:rsidRDefault="004C686E" w:rsidP="0029796F">
      <w:pPr>
        <w:spacing w:line="240" w:lineRule="auto"/>
        <w:rPr>
          <w:rFonts w:eastAsiaTheme="majorEastAsia" w:cs="Arial"/>
          <w:bCs/>
        </w:rPr>
      </w:pPr>
      <w:r w:rsidRPr="0029796F">
        <w:rPr>
          <w:rFonts w:eastAsiaTheme="majorEastAsia" w:cs="Arial"/>
          <w:bCs/>
        </w:rPr>
        <w:t>Section 3: Operationalization and Implementation Arrangements</w:t>
      </w:r>
    </w:p>
    <w:p w14:paraId="3004B73F" w14:textId="67713990" w:rsidR="00ED424B" w:rsidRDefault="004C686E" w:rsidP="00B43E90">
      <w:pPr>
        <w:spacing w:line="240" w:lineRule="auto"/>
        <w:rPr>
          <w:rFonts w:eastAsiaTheme="majorEastAsia" w:cs="Arial"/>
          <w:b/>
          <w:sz w:val="32"/>
          <w:szCs w:val="32"/>
        </w:rPr>
      </w:pPr>
      <w:r w:rsidRPr="0029796F">
        <w:rPr>
          <w:rFonts w:eastAsiaTheme="majorEastAsia" w:cs="Arial"/>
          <w:bCs/>
        </w:rPr>
        <w:t>Section 4: Co-Financing, Sustainability and Transition</w:t>
      </w:r>
    </w:p>
    <w:p w14:paraId="1B6D1A53" w14:textId="3172301F" w:rsidR="001A1211" w:rsidRPr="00B271DB" w:rsidRDefault="001A1211" w:rsidP="009B6C0D">
      <w:pPr>
        <w:spacing w:after="0"/>
        <w:jc w:val="center"/>
        <w:sectPr w:rsidR="001A1211" w:rsidRPr="00B271DB" w:rsidSect="00B816D4">
          <w:headerReference w:type="default" r:id="rId14"/>
          <w:footerReference w:type="default" r:id="rId15"/>
          <w:endnotePr>
            <w:numFmt w:val="chicago"/>
          </w:endnotePr>
          <w:pgSz w:w="11906" w:h="16838" w:code="9"/>
          <w:pgMar w:top="851" w:right="1134" w:bottom="360" w:left="1134" w:header="720" w:footer="288" w:gutter="0"/>
          <w:cols w:space="708"/>
          <w:docGrid w:linePitch="360"/>
        </w:sectPr>
      </w:pPr>
      <w:r w:rsidRPr="009F52F1">
        <w:rPr>
          <w:noProof/>
          <w:lang w:bidi="bn-BD"/>
        </w:rPr>
        <w:drawing>
          <wp:anchor distT="0" distB="0" distL="114300" distR="114300" simplePos="0" relativeHeight="251659264" behindDoc="1" locked="0" layoutInCell="1" allowOverlap="1" wp14:anchorId="04ACDE05" wp14:editId="3A49BC0F">
            <wp:simplePos x="0" y="0"/>
            <wp:positionH relativeFrom="margin">
              <wp:posOffset>1707515</wp:posOffset>
            </wp:positionH>
            <wp:positionV relativeFrom="paragraph">
              <wp:posOffset>567690</wp:posOffset>
            </wp:positionV>
            <wp:extent cx="2700000" cy="328154"/>
            <wp:effectExtent l="0" t="0" r="5715" b="0"/>
            <wp:wrapTight wrapText="bothSides">
              <wp:wrapPolygon edited="0">
                <wp:start x="152" y="0"/>
                <wp:lineTo x="0" y="1256"/>
                <wp:lineTo x="0" y="15070"/>
                <wp:lineTo x="610" y="20093"/>
                <wp:lineTo x="610" y="20093"/>
                <wp:lineTo x="1829" y="20093"/>
                <wp:lineTo x="21493" y="18837"/>
                <wp:lineTo x="21493" y="1256"/>
                <wp:lineTo x="2287" y="0"/>
                <wp:lineTo x="152"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945991581" name="Picture 1"/>
                    <pic:cNvPicPr/>
                  </pic:nvPicPr>
                  <pic:blipFill>
                    <a:blip r:embed="rId16">
                      <a:extLst>
                        <a:ext uri="{28A0092B-C50C-407E-A947-70E740481C1C}">
                          <a14:useLocalDpi xmlns:a14="http://schemas.microsoft.com/office/drawing/2010/main" val="0"/>
                        </a:ext>
                      </a:extLst>
                    </a:blip>
                    <a:srcRect/>
                    <a:stretch/>
                  </pic:blipFill>
                  <pic:spPr>
                    <a:xfrm>
                      <a:off x="0" y="0"/>
                      <a:ext cx="2700000" cy="328154"/>
                    </a:xfrm>
                    <a:prstGeom prst="rect">
                      <a:avLst/>
                    </a:prstGeom>
                  </pic:spPr>
                </pic:pic>
              </a:graphicData>
            </a:graphic>
            <wp14:sizeRelH relativeFrom="page">
              <wp14:pctWidth>0</wp14:pctWidth>
            </wp14:sizeRelH>
            <wp14:sizeRelV relativeFrom="page">
              <wp14:pctHeight>0</wp14:pctHeight>
            </wp14:sizeRelV>
          </wp:anchor>
        </w:drawing>
      </w:r>
    </w:p>
    <w:bookmarkEnd w:id="1"/>
    <w:bookmarkEnd w:id="2"/>
    <w:bookmarkEnd w:id="3"/>
    <w:p w14:paraId="197DAC1D" w14:textId="009CB92A" w:rsidR="0098274C" w:rsidRPr="005305D5" w:rsidRDefault="009B6C0D" w:rsidP="009B6C0D">
      <w:pPr>
        <w:pStyle w:val="Heading1"/>
        <w:numPr>
          <w:ilvl w:val="0"/>
          <w:numId w:val="0"/>
        </w:numPr>
        <w:spacing w:before="0"/>
        <w:ind w:left="567" w:hanging="567"/>
      </w:pPr>
      <w:r>
        <w:lastRenderedPageBreak/>
        <w:t xml:space="preserve">Section 1: </w:t>
      </w:r>
      <w:r w:rsidR="0098274C" w:rsidRPr="005305D5">
        <w:t>Context Related to the Funding Request</w:t>
      </w:r>
    </w:p>
    <w:p w14:paraId="05408C70" w14:textId="1DBA9D7E" w:rsidR="0098274C" w:rsidRPr="005305D5" w:rsidRDefault="003B4F1C" w:rsidP="009B6C0D">
      <w:pPr>
        <w:spacing w:after="0"/>
      </w:pPr>
      <w:r>
        <w:t xml:space="preserve">To respond to the questions below, refer to the </w:t>
      </w:r>
      <w:r w:rsidRPr="004A7723">
        <w:rPr>
          <w:i/>
        </w:rPr>
        <w:t>Instructions</w:t>
      </w:r>
      <w:r w:rsidR="004A7723" w:rsidRPr="00E230C4">
        <w:t xml:space="preserve"> and</w:t>
      </w:r>
      <w:r>
        <w:t xml:space="preserve"> </w:t>
      </w:r>
      <w:r w:rsidRPr="00CD7709">
        <w:rPr>
          <w:b/>
        </w:rPr>
        <w:t>Essential Data Table</w:t>
      </w:r>
      <w:r w:rsidR="00CD7709" w:rsidRPr="00CD7709">
        <w:rPr>
          <w:b/>
        </w:rPr>
        <w:t>(</w:t>
      </w:r>
      <w:r w:rsidR="004A7723" w:rsidRPr="00CD7709">
        <w:rPr>
          <w:b/>
        </w:rPr>
        <w:t>s</w:t>
      </w:r>
      <w:r w:rsidR="00CD7709" w:rsidRPr="00CD7709">
        <w:rPr>
          <w:b/>
        </w:rPr>
        <w:t>)</w:t>
      </w:r>
      <w:r w:rsidRPr="00CD7709">
        <w:rPr>
          <w:b/>
        </w:rPr>
        <w:t xml:space="preserve">. </w:t>
      </w:r>
    </w:p>
    <w:p w14:paraId="18584522" w14:textId="77777777" w:rsidR="0098274C" w:rsidRPr="005305D5" w:rsidRDefault="0098274C" w:rsidP="009B6C0D">
      <w:pPr>
        <w:spacing w:after="0"/>
      </w:pPr>
    </w:p>
    <w:p w14:paraId="0D60F5C8" w14:textId="468AABC6" w:rsidR="0098274C" w:rsidRPr="005305D5" w:rsidRDefault="0098274C" w:rsidP="00C57762">
      <w:pPr>
        <w:pStyle w:val="Heading2"/>
        <w:numPr>
          <w:ilvl w:val="1"/>
          <w:numId w:val="24"/>
        </w:numPr>
        <w:shd w:val="clear" w:color="auto" w:fill="D9D9D9" w:themeFill="background1" w:themeFillShade="D9"/>
        <w:spacing w:before="0" w:after="0" w:line="240" w:lineRule="auto"/>
        <w:contextualSpacing/>
      </w:pPr>
      <w:r w:rsidRPr="005305D5">
        <w:t>Key References on Country Context</w:t>
      </w:r>
    </w:p>
    <w:p w14:paraId="5BC1B79F" w14:textId="6A754568" w:rsidR="0098274C" w:rsidRDefault="00515F88" w:rsidP="009B6C0D">
      <w:pPr>
        <w:spacing w:after="0"/>
      </w:pPr>
      <w:r>
        <w:t>L</w:t>
      </w:r>
      <w:r w:rsidR="0098274C" w:rsidRPr="005305D5">
        <w:t xml:space="preserve">ist key reference documents </w:t>
      </w:r>
      <w:r w:rsidR="004F2E1A" w:rsidRPr="001155D7">
        <w:rPr>
          <w:u w:val="single"/>
        </w:rPr>
        <w:t xml:space="preserve">referred to </w:t>
      </w:r>
      <w:r w:rsidRPr="001155D7">
        <w:rPr>
          <w:u w:val="single"/>
        </w:rPr>
        <w:t>in this funding request</w:t>
      </w:r>
      <w:r>
        <w:t xml:space="preserve"> </w:t>
      </w:r>
      <w:r w:rsidR="001155D7">
        <w:t xml:space="preserve">that </w:t>
      </w:r>
      <w:r w:rsidR="0098274C" w:rsidRPr="005305D5">
        <w:t xml:space="preserve">provide the country’s contextual </w:t>
      </w:r>
      <w:r w:rsidR="00FB3731">
        <w:t>cross-cutting</w:t>
      </w:r>
      <w:r w:rsidR="00FB3731" w:rsidRPr="005305D5">
        <w:t xml:space="preserve"> </w:t>
      </w:r>
      <w:r w:rsidR="004F2E1A">
        <w:t>and</w:t>
      </w:r>
      <w:r w:rsidR="00FB3731" w:rsidRPr="005305D5">
        <w:t xml:space="preserve"> disease-specific information</w:t>
      </w:r>
      <w:r w:rsidR="00FB3731">
        <w:t xml:space="preserve">. </w:t>
      </w:r>
      <w:r w:rsidR="00CA301B">
        <w:t>A list of</w:t>
      </w:r>
      <w:r w:rsidR="0098274C" w:rsidRPr="005305D5">
        <w:t xml:space="preserve"> which </w:t>
      </w:r>
      <w:r w:rsidR="00FB3731">
        <w:t xml:space="preserve">types of </w:t>
      </w:r>
      <w:r w:rsidR="0098274C" w:rsidRPr="005305D5">
        <w:t>documents can be used</w:t>
      </w:r>
      <w:r w:rsidR="00CA301B">
        <w:t xml:space="preserve"> is included in</w:t>
      </w:r>
      <w:r w:rsidR="0098274C" w:rsidRPr="005305D5">
        <w:t xml:space="preserve"> the </w:t>
      </w:r>
      <w:r w:rsidR="0098274C" w:rsidRPr="00EC4612">
        <w:rPr>
          <w:i/>
        </w:rPr>
        <w:t>Instructions</w:t>
      </w:r>
      <w:r w:rsidR="0098274C" w:rsidRPr="005305D5">
        <w:t>.</w:t>
      </w:r>
    </w:p>
    <w:p w14:paraId="2FF48D49" w14:textId="77777777" w:rsidR="00E360C7" w:rsidRDefault="00E360C7" w:rsidP="009B6C0D">
      <w:pPr>
        <w:spacing w:after="0"/>
      </w:pPr>
    </w:p>
    <w:tbl>
      <w:tblPr>
        <w:tblStyle w:val="TableGrid"/>
        <w:tblW w:w="5000" w:type="pct"/>
        <w:tblLayout w:type="fixed"/>
        <w:tblLook w:val="04A0" w:firstRow="1" w:lastRow="0" w:firstColumn="1" w:lastColumn="0" w:noHBand="0" w:noVBand="1"/>
      </w:tblPr>
      <w:tblGrid>
        <w:gridCol w:w="1344"/>
        <w:gridCol w:w="6301"/>
        <w:gridCol w:w="1441"/>
        <w:gridCol w:w="1370"/>
      </w:tblGrid>
      <w:tr w:rsidR="00DE4121" w14:paraId="0D587E40" w14:textId="77777777" w:rsidTr="00E360C7">
        <w:tc>
          <w:tcPr>
            <w:tcW w:w="643" w:type="pct"/>
          </w:tcPr>
          <w:p w14:paraId="29D8B747" w14:textId="157887E1" w:rsidR="00DE4121" w:rsidRPr="00BD0081" w:rsidRDefault="00DE4121" w:rsidP="0027165B">
            <w:pPr>
              <w:spacing w:after="0"/>
              <w:rPr>
                <w:b/>
                <w:bCs/>
              </w:rPr>
            </w:pPr>
            <w:r w:rsidRPr="00BD0081">
              <w:rPr>
                <w:b/>
                <w:bCs/>
              </w:rPr>
              <w:t>Key area</w:t>
            </w:r>
            <w:r w:rsidR="007069D5">
              <w:rPr>
                <w:b/>
                <w:bCs/>
              </w:rPr>
              <w:t>s</w:t>
            </w:r>
          </w:p>
        </w:tc>
        <w:tc>
          <w:tcPr>
            <w:tcW w:w="3013" w:type="pct"/>
          </w:tcPr>
          <w:p w14:paraId="79FBF57B" w14:textId="77777777" w:rsidR="00DE4121" w:rsidRPr="00BD0081" w:rsidRDefault="00DE4121" w:rsidP="0027165B">
            <w:pPr>
              <w:spacing w:after="0"/>
              <w:rPr>
                <w:b/>
                <w:bCs/>
              </w:rPr>
            </w:pPr>
            <w:r w:rsidRPr="00BD0081">
              <w:rPr>
                <w:b/>
                <w:bCs/>
              </w:rPr>
              <w:t>Reference document</w:t>
            </w:r>
          </w:p>
        </w:tc>
        <w:tc>
          <w:tcPr>
            <w:tcW w:w="689" w:type="pct"/>
          </w:tcPr>
          <w:p w14:paraId="520575F4" w14:textId="77777777" w:rsidR="00DE4121" w:rsidRPr="00BD0081" w:rsidRDefault="00DE4121" w:rsidP="0027165B">
            <w:pPr>
              <w:spacing w:after="0"/>
              <w:rPr>
                <w:b/>
                <w:bCs/>
              </w:rPr>
            </w:pPr>
            <w:r w:rsidRPr="00BD0081">
              <w:rPr>
                <w:b/>
                <w:bCs/>
              </w:rPr>
              <w:t xml:space="preserve">Attachment </w:t>
            </w:r>
          </w:p>
        </w:tc>
        <w:tc>
          <w:tcPr>
            <w:tcW w:w="655" w:type="pct"/>
          </w:tcPr>
          <w:p w14:paraId="368AFEAA" w14:textId="227253C1" w:rsidR="00DE4121" w:rsidRPr="00BD0081" w:rsidRDefault="00BB7C3A" w:rsidP="0027165B">
            <w:pPr>
              <w:spacing w:after="0"/>
              <w:rPr>
                <w:b/>
                <w:bCs/>
              </w:rPr>
            </w:pPr>
            <w:r>
              <w:rPr>
                <w:b/>
                <w:bCs/>
              </w:rPr>
              <w:t>P</w:t>
            </w:r>
            <w:r w:rsidR="00DE4121" w:rsidRPr="00BD0081">
              <w:rPr>
                <w:b/>
                <w:bCs/>
              </w:rPr>
              <w:t>age(s)</w:t>
            </w:r>
          </w:p>
        </w:tc>
      </w:tr>
      <w:tr w:rsidR="00DE4121" w14:paraId="4E5F1ECC" w14:textId="77777777" w:rsidTr="00E360C7">
        <w:tc>
          <w:tcPr>
            <w:tcW w:w="643" w:type="pct"/>
            <w:vMerge w:val="restart"/>
          </w:tcPr>
          <w:p w14:paraId="16F02376" w14:textId="77777777" w:rsidR="00DE4121" w:rsidRPr="00E360C7" w:rsidRDefault="00DE4121" w:rsidP="0027165B">
            <w:pPr>
              <w:spacing w:after="0"/>
              <w:rPr>
                <w:b/>
                <w:bCs/>
              </w:rPr>
            </w:pPr>
            <w:r w:rsidRPr="00E360C7">
              <w:rPr>
                <w:b/>
                <w:bCs/>
              </w:rPr>
              <w:t>Health system strategies</w:t>
            </w:r>
          </w:p>
        </w:tc>
        <w:tc>
          <w:tcPr>
            <w:tcW w:w="3013" w:type="pct"/>
          </w:tcPr>
          <w:p w14:paraId="158D20EA" w14:textId="0E18A9BE" w:rsidR="00DE4121" w:rsidRDefault="00DE4121" w:rsidP="00C57762">
            <w:pPr>
              <w:pStyle w:val="ListParagraph"/>
              <w:numPr>
                <w:ilvl w:val="0"/>
                <w:numId w:val="28"/>
              </w:numPr>
              <w:spacing w:after="0"/>
              <w:jc w:val="both"/>
            </w:pPr>
            <w:r w:rsidRPr="00DC702C">
              <w:t>Government of Bangladesh (201</w:t>
            </w:r>
            <w:r>
              <w:t>7</w:t>
            </w:r>
            <w:r w:rsidRPr="00DC702C">
              <w:t xml:space="preserve">). </w:t>
            </w:r>
            <w:r>
              <w:t>Ministry of Health &amp; Family Welfare. Directorate of Health Services. Planning Wing. Health-6. Bangladesh Secretariat. 4</w:t>
            </w:r>
            <w:r w:rsidRPr="00C24BC1">
              <w:rPr>
                <w:vertAlign w:val="superscript"/>
              </w:rPr>
              <w:t>th</w:t>
            </w:r>
            <w:r>
              <w:t xml:space="preserve"> Sector </w:t>
            </w:r>
            <w:r w:rsidRPr="00DC702C">
              <w:t>Program</w:t>
            </w:r>
            <w:r>
              <w:t>me, TB-L&amp;ASP/2017/247; Date 15 May 2017</w:t>
            </w:r>
            <w:r w:rsidRPr="00DC702C">
              <w:t xml:space="preserve"> </w:t>
            </w:r>
          </w:p>
        </w:tc>
        <w:tc>
          <w:tcPr>
            <w:tcW w:w="689" w:type="pct"/>
          </w:tcPr>
          <w:p w14:paraId="62346994" w14:textId="77777777" w:rsidR="00DE4121" w:rsidRDefault="00DE4121" w:rsidP="0027165B">
            <w:pPr>
              <w:spacing w:after="0"/>
            </w:pPr>
            <w:r>
              <w:t xml:space="preserve">Attachment </w:t>
            </w:r>
          </w:p>
        </w:tc>
        <w:tc>
          <w:tcPr>
            <w:tcW w:w="655" w:type="pct"/>
          </w:tcPr>
          <w:p w14:paraId="0FC331EE" w14:textId="77777777" w:rsidR="00DE4121" w:rsidRDefault="00DE4121" w:rsidP="0027165B">
            <w:pPr>
              <w:spacing w:after="0"/>
            </w:pPr>
            <w:r>
              <w:t>Pages 5, 14-18, 23-25</w:t>
            </w:r>
          </w:p>
        </w:tc>
      </w:tr>
      <w:tr w:rsidR="00DE4121" w14:paraId="1D689E5A" w14:textId="77777777" w:rsidTr="00E360C7">
        <w:tc>
          <w:tcPr>
            <w:tcW w:w="643" w:type="pct"/>
            <w:vMerge/>
          </w:tcPr>
          <w:p w14:paraId="322D5FD0" w14:textId="77777777" w:rsidR="00DE4121" w:rsidRDefault="00DE4121" w:rsidP="0027165B">
            <w:pPr>
              <w:spacing w:after="0"/>
            </w:pPr>
          </w:p>
        </w:tc>
        <w:tc>
          <w:tcPr>
            <w:tcW w:w="3013" w:type="pct"/>
          </w:tcPr>
          <w:p w14:paraId="11C17107" w14:textId="77777777" w:rsidR="00DE4121" w:rsidRDefault="00DE4121" w:rsidP="00C57762">
            <w:pPr>
              <w:pStyle w:val="ListParagraph"/>
              <w:numPr>
                <w:ilvl w:val="0"/>
                <w:numId w:val="28"/>
              </w:numPr>
              <w:spacing w:after="0"/>
              <w:jc w:val="both"/>
            </w:pPr>
            <w:r w:rsidRPr="005F46D2">
              <w:t>Revised 4</w:t>
            </w:r>
            <w:r w:rsidRPr="005F46D2">
              <w:rPr>
                <w:vertAlign w:val="superscript"/>
              </w:rPr>
              <w:t>th</w:t>
            </w:r>
            <w:r w:rsidRPr="005F46D2">
              <w:t xml:space="preserve"> National Strategic Plan for HIV and AIDS</w:t>
            </w:r>
            <w:r>
              <w:fldChar w:fldCharType="begin"/>
            </w:r>
            <w:r>
              <w:instrText xml:space="preserve"> TA \l "</w:instrText>
            </w:r>
            <w:r w:rsidRPr="002F147C">
              <w:instrText>AIDS: Acquired Immune Deficiency Syndrome:</w:instrText>
            </w:r>
            <w:r>
              <w:instrText xml:space="preserve">" \s "AIDS" \c 1 </w:instrText>
            </w:r>
            <w:r>
              <w:fldChar w:fldCharType="end"/>
            </w:r>
            <w:r w:rsidRPr="005F46D2">
              <w:t xml:space="preserve"> Responses 2022-</w:t>
            </w:r>
            <w:r w:rsidRPr="00A2403E">
              <w:t>2023</w:t>
            </w:r>
          </w:p>
        </w:tc>
        <w:tc>
          <w:tcPr>
            <w:tcW w:w="689" w:type="pct"/>
          </w:tcPr>
          <w:p w14:paraId="4519D171" w14:textId="77777777" w:rsidR="00DE4121" w:rsidRDefault="00DE4121" w:rsidP="0027165B">
            <w:pPr>
              <w:spacing w:after="0"/>
            </w:pPr>
            <w:r>
              <w:t xml:space="preserve">Attachment </w:t>
            </w:r>
          </w:p>
        </w:tc>
        <w:tc>
          <w:tcPr>
            <w:tcW w:w="655" w:type="pct"/>
          </w:tcPr>
          <w:p w14:paraId="0A84A2DD" w14:textId="77777777" w:rsidR="00DE4121" w:rsidRDefault="00DE4121" w:rsidP="0027165B">
            <w:pPr>
              <w:spacing w:after="0"/>
            </w:pPr>
            <w:r>
              <w:t>Page 3,20</w:t>
            </w:r>
          </w:p>
        </w:tc>
      </w:tr>
      <w:tr w:rsidR="00DE4121" w14:paraId="176F6448" w14:textId="77777777" w:rsidTr="00E360C7">
        <w:tc>
          <w:tcPr>
            <w:tcW w:w="643" w:type="pct"/>
            <w:vMerge/>
          </w:tcPr>
          <w:p w14:paraId="518FA0A9" w14:textId="77777777" w:rsidR="00DE4121" w:rsidRDefault="00DE4121" w:rsidP="0027165B">
            <w:pPr>
              <w:spacing w:after="0"/>
            </w:pPr>
          </w:p>
        </w:tc>
        <w:tc>
          <w:tcPr>
            <w:tcW w:w="3013" w:type="pct"/>
          </w:tcPr>
          <w:p w14:paraId="0E13558E" w14:textId="77777777" w:rsidR="00DE4121" w:rsidRDefault="00DE4121" w:rsidP="00C57762">
            <w:pPr>
              <w:pStyle w:val="ListParagraph"/>
              <w:numPr>
                <w:ilvl w:val="0"/>
                <w:numId w:val="28"/>
              </w:numPr>
              <w:spacing w:after="0"/>
              <w:jc w:val="both"/>
            </w:pPr>
            <w:r w:rsidRPr="00E52B03">
              <w:t>4th National Strategic Plan for HIV</w:t>
            </w:r>
            <w:r>
              <w:fldChar w:fldCharType="begin"/>
            </w:r>
            <w:r>
              <w:instrText xml:space="preserve"> TA \l "</w:instrText>
            </w:r>
            <w:r w:rsidRPr="000C5963">
              <w:instrText>HIV: Human Immunodeficiency Virus</w:instrText>
            </w:r>
            <w:r>
              <w:instrText xml:space="preserve">" \s "HIV" \c 1 </w:instrText>
            </w:r>
            <w:r>
              <w:fldChar w:fldCharType="end"/>
            </w:r>
            <w:r w:rsidRPr="00E52B03">
              <w:t xml:space="preserve"> and AIDS Response 2018-2022</w:t>
            </w:r>
          </w:p>
        </w:tc>
        <w:tc>
          <w:tcPr>
            <w:tcW w:w="689" w:type="pct"/>
          </w:tcPr>
          <w:p w14:paraId="16C5DA1E" w14:textId="77777777" w:rsidR="00DE4121" w:rsidRDefault="00DE4121" w:rsidP="0027165B">
            <w:pPr>
              <w:spacing w:after="0"/>
            </w:pPr>
            <w:r>
              <w:t xml:space="preserve">Attachment </w:t>
            </w:r>
          </w:p>
        </w:tc>
        <w:tc>
          <w:tcPr>
            <w:tcW w:w="655" w:type="pct"/>
          </w:tcPr>
          <w:p w14:paraId="3F4D66D9" w14:textId="77777777" w:rsidR="00DE4121" w:rsidRDefault="00DE4121" w:rsidP="0027165B">
            <w:pPr>
              <w:spacing w:after="0"/>
            </w:pPr>
            <w:r>
              <w:t>Page i, 9,10-11</w:t>
            </w:r>
          </w:p>
        </w:tc>
      </w:tr>
      <w:tr w:rsidR="00DE4121" w14:paraId="3F7C9AB8" w14:textId="77777777" w:rsidTr="00E360C7">
        <w:tc>
          <w:tcPr>
            <w:tcW w:w="643" w:type="pct"/>
            <w:vMerge/>
          </w:tcPr>
          <w:p w14:paraId="2766E2A4" w14:textId="77777777" w:rsidR="00DE4121" w:rsidRDefault="00DE4121" w:rsidP="0027165B">
            <w:pPr>
              <w:spacing w:after="0"/>
            </w:pPr>
          </w:p>
        </w:tc>
        <w:tc>
          <w:tcPr>
            <w:tcW w:w="3013" w:type="pct"/>
          </w:tcPr>
          <w:p w14:paraId="3111882B" w14:textId="471C91F7" w:rsidR="00DE4121" w:rsidRDefault="00DE4121" w:rsidP="00C57762">
            <w:pPr>
              <w:pStyle w:val="ListParagraph"/>
              <w:numPr>
                <w:ilvl w:val="0"/>
                <w:numId w:val="28"/>
              </w:numPr>
              <w:spacing w:after="0"/>
              <w:jc w:val="both"/>
            </w:pPr>
            <w:r w:rsidRPr="00B7112A">
              <w:t xml:space="preserve"> </w:t>
            </w:r>
            <w:r w:rsidRPr="00FA0BDE">
              <w:t>Government of Bangladesh</w:t>
            </w:r>
            <w:r w:rsidRPr="00B7112A">
              <w:t xml:space="preserve"> (1996). National policy on HIV/AIDS and STD related issues. Directorate General of Health Services (DGHS), Ministry of Health and Family Welfare, Govt. of the People’s Republic of Bangladesh.</w:t>
            </w:r>
          </w:p>
        </w:tc>
        <w:tc>
          <w:tcPr>
            <w:tcW w:w="689" w:type="pct"/>
          </w:tcPr>
          <w:p w14:paraId="08A1A441" w14:textId="77777777" w:rsidR="00DE4121" w:rsidRDefault="00DE4121" w:rsidP="0027165B">
            <w:pPr>
              <w:spacing w:after="0"/>
            </w:pPr>
            <w:r>
              <w:t xml:space="preserve">Attachment </w:t>
            </w:r>
          </w:p>
        </w:tc>
        <w:tc>
          <w:tcPr>
            <w:tcW w:w="655" w:type="pct"/>
          </w:tcPr>
          <w:p w14:paraId="3C2701CB" w14:textId="77777777" w:rsidR="00DE4121" w:rsidRDefault="00DE4121" w:rsidP="0027165B">
            <w:pPr>
              <w:spacing w:after="0"/>
            </w:pPr>
            <w:r>
              <w:t>Page 7, 10,12-13</w:t>
            </w:r>
          </w:p>
        </w:tc>
      </w:tr>
      <w:tr w:rsidR="00DE4121" w14:paraId="112730B3" w14:textId="77777777" w:rsidTr="00E360C7">
        <w:tc>
          <w:tcPr>
            <w:tcW w:w="643" w:type="pct"/>
            <w:vMerge w:val="restart"/>
          </w:tcPr>
          <w:p w14:paraId="2A4853BF" w14:textId="77777777" w:rsidR="00DE4121" w:rsidRPr="00E360C7" w:rsidRDefault="00DE4121" w:rsidP="0027165B">
            <w:pPr>
              <w:spacing w:after="0"/>
              <w:rPr>
                <w:b/>
                <w:bCs/>
              </w:rPr>
            </w:pPr>
            <w:r w:rsidRPr="00E360C7">
              <w:rPr>
                <w:b/>
                <w:bCs/>
              </w:rPr>
              <w:t>Health system overview</w:t>
            </w:r>
          </w:p>
        </w:tc>
        <w:tc>
          <w:tcPr>
            <w:tcW w:w="3013" w:type="pct"/>
          </w:tcPr>
          <w:p w14:paraId="33C18421" w14:textId="6C2F2E92" w:rsidR="00DE4121" w:rsidRDefault="00DE4121" w:rsidP="00C57762">
            <w:pPr>
              <w:pStyle w:val="ListParagraph"/>
              <w:numPr>
                <w:ilvl w:val="0"/>
                <w:numId w:val="28"/>
              </w:numPr>
              <w:spacing w:after="0"/>
              <w:jc w:val="both"/>
            </w:pPr>
            <w:r>
              <w:t>A</w:t>
            </w:r>
            <w:r w:rsidR="00BD0BB6">
              <w:t xml:space="preserve">IDS </w:t>
            </w:r>
            <w:r>
              <w:t>S</w:t>
            </w:r>
            <w:r w:rsidR="00BD0BB6">
              <w:t xml:space="preserve">TD </w:t>
            </w:r>
            <w:r>
              <w:t>P</w:t>
            </w:r>
            <w:r w:rsidR="00BD0BB6">
              <w:t>rogramme</w:t>
            </w:r>
            <w:r w:rsidR="00240F31">
              <w:t xml:space="preserve"> </w:t>
            </w:r>
            <w:r>
              <w:fldChar w:fldCharType="begin"/>
            </w:r>
            <w:r>
              <w:instrText xml:space="preserve"> TA \l "</w:instrText>
            </w:r>
            <w:r w:rsidRPr="000B5C04">
              <w:instrText>ASP: AIDS STD Programme</w:instrText>
            </w:r>
            <w:r>
              <w:instrText xml:space="preserve">" \s "ASP" \c 1 </w:instrText>
            </w:r>
            <w:r>
              <w:fldChar w:fldCharType="end"/>
            </w:r>
            <w:r w:rsidR="00BD0BB6">
              <w:t>(</w:t>
            </w:r>
            <w:r>
              <w:t>2019</w:t>
            </w:r>
            <w:r w:rsidR="00BD0BB6">
              <w:t>)</w:t>
            </w:r>
            <w:r>
              <w:t>. Annual Report 2018, AIDS/STD Program. Directorate General of Health Services, Ministry of Health and Family Welfare, Government of the People’s Republic of Bangladesh</w:t>
            </w:r>
          </w:p>
        </w:tc>
        <w:tc>
          <w:tcPr>
            <w:tcW w:w="689" w:type="pct"/>
          </w:tcPr>
          <w:p w14:paraId="21F6B33E" w14:textId="77777777" w:rsidR="00DE4121" w:rsidRDefault="00DE4121" w:rsidP="0027165B">
            <w:pPr>
              <w:spacing w:after="0"/>
            </w:pPr>
            <w:r w:rsidRPr="00726C2F">
              <w:t>Attachment</w:t>
            </w:r>
          </w:p>
        </w:tc>
        <w:tc>
          <w:tcPr>
            <w:tcW w:w="655" w:type="pct"/>
          </w:tcPr>
          <w:p w14:paraId="10470F6B" w14:textId="77777777" w:rsidR="00DE4121" w:rsidRDefault="00DE4121" w:rsidP="0027165B">
            <w:pPr>
              <w:spacing w:after="0"/>
            </w:pPr>
            <w:r w:rsidRPr="00726C2F">
              <w:t>Page-10,</w:t>
            </w:r>
            <w:r>
              <w:t>11,</w:t>
            </w:r>
            <w:r w:rsidRPr="00726C2F">
              <w:t xml:space="preserve"> 16</w:t>
            </w:r>
            <w:r>
              <w:t xml:space="preserve">, </w:t>
            </w:r>
            <w:r w:rsidRPr="005E7A14">
              <w:t>19, 20, 23</w:t>
            </w:r>
            <w:r>
              <w:t xml:space="preserve"> </w:t>
            </w:r>
          </w:p>
        </w:tc>
      </w:tr>
      <w:tr w:rsidR="00DE4121" w14:paraId="6416DAB7" w14:textId="77777777" w:rsidTr="00E360C7">
        <w:tc>
          <w:tcPr>
            <w:tcW w:w="643" w:type="pct"/>
            <w:vMerge/>
          </w:tcPr>
          <w:p w14:paraId="2783F8AE" w14:textId="77777777" w:rsidR="00DE4121" w:rsidRDefault="00DE4121" w:rsidP="0027165B">
            <w:pPr>
              <w:spacing w:after="0"/>
            </w:pPr>
          </w:p>
        </w:tc>
        <w:tc>
          <w:tcPr>
            <w:tcW w:w="3013" w:type="pct"/>
          </w:tcPr>
          <w:p w14:paraId="0CE7E0CA" w14:textId="4A19B3F0" w:rsidR="00DE4121" w:rsidRDefault="00DE4121" w:rsidP="00C57762">
            <w:pPr>
              <w:pStyle w:val="ListParagraph"/>
              <w:numPr>
                <w:ilvl w:val="0"/>
                <w:numId w:val="28"/>
              </w:numPr>
              <w:spacing w:after="0"/>
              <w:jc w:val="both"/>
            </w:pPr>
            <w:r w:rsidRPr="00ED5A6E">
              <w:t>A</w:t>
            </w:r>
            <w:r w:rsidR="00FA0BDE">
              <w:t xml:space="preserve">IDS </w:t>
            </w:r>
            <w:r w:rsidRPr="00ED5A6E">
              <w:t>S</w:t>
            </w:r>
            <w:r w:rsidR="00FA0BDE">
              <w:t xml:space="preserve">TD </w:t>
            </w:r>
            <w:r w:rsidRPr="00ED5A6E">
              <w:t>P</w:t>
            </w:r>
            <w:r w:rsidR="00FA0BDE">
              <w:t>rogramme</w:t>
            </w:r>
            <w:r w:rsidRPr="00ED5A6E">
              <w:t xml:space="preserve"> (2016). Mapping study and size estimations of key populations in Bangladesh for HIV programs 2015-2016. National AIDS/STD Program (ASP), Directorate General of Health Services (DGHS</w:t>
            </w:r>
            <w:r>
              <w:fldChar w:fldCharType="begin"/>
            </w:r>
            <w:r>
              <w:instrText xml:space="preserve"> TA \l "</w:instrText>
            </w:r>
            <w:r w:rsidRPr="00FD604F">
              <w:instrText>DGHS: Directorate General of Health Services</w:instrText>
            </w:r>
            <w:r>
              <w:instrText xml:space="preserve">" \s "DGHS" \c 1 </w:instrText>
            </w:r>
            <w:r>
              <w:fldChar w:fldCharType="end"/>
            </w:r>
            <w:r w:rsidRPr="00ED5A6E">
              <w:t>), Ministry of Health and Family Welfare, Govt. of the People’s Republic of Bangladesh.</w:t>
            </w:r>
          </w:p>
        </w:tc>
        <w:tc>
          <w:tcPr>
            <w:tcW w:w="689" w:type="pct"/>
          </w:tcPr>
          <w:p w14:paraId="36A753FD" w14:textId="77777777" w:rsidR="00DE4121" w:rsidRDefault="00DE4121" w:rsidP="0027165B">
            <w:pPr>
              <w:spacing w:after="0"/>
            </w:pPr>
            <w:r>
              <w:t xml:space="preserve">Attachment </w:t>
            </w:r>
          </w:p>
        </w:tc>
        <w:tc>
          <w:tcPr>
            <w:tcW w:w="655" w:type="pct"/>
          </w:tcPr>
          <w:p w14:paraId="4C4DEA00" w14:textId="77777777" w:rsidR="00DE4121" w:rsidRDefault="00DE4121" w:rsidP="0027165B">
            <w:pPr>
              <w:spacing w:after="0"/>
            </w:pPr>
            <w:r w:rsidRPr="00ED5A6E">
              <w:t>Page xv</w:t>
            </w:r>
            <w:r>
              <w:t>, xvi</w:t>
            </w:r>
          </w:p>
        </w:tc>
      </w:tr>
      <w:tr w:rsidR="00DE4121" w14:paraId="151B7374" w14:textId="77777777" w:rsidTr="00E360C7">
        <w:tc>
          <w:tcPr>
            <w:tcW w:w="643" w:type="pct"/>
            <w:vMerge/>
          </w:tcPr>
          <w:p w14:paraId="5BD17AB7" w14:textId="77777777" w:rsidR="00DE4121" w:rsidRDefault="00DE4121" w:rsidP="0027165B">
            <w:pPr>
              <w:spacing w:after="0"/>
            </w:pPr>
          </w:p>
        </w:tc>
        <w:tc>
          <w:tcPr>
            <w:tcW w:w="3013" w:type="pct"/>
          </w:tcPr>
          <w:p w14:paraId="0E5DAF53" w14:textId="5A3FC0F3" w:rsidR="00DE4121" w:rsidRDefault="00DE4121" w:rsidP="00C57762">
            <w:pPr>
              <w:pStyle w:val="ListParagraph"/>
              <w:numPr>
                <w:ilvl w:val="0"/>
                <w:numId w:val="28"/>
              </w:numPr>
              <w:spacing w:after="0"/>
              <w:jc w:val="both"/>
            </w:pPr>
            <w:r w:rsidRPr="006248C3">
              <w:t>A</w:t>
            </w:r>
            <w:r w:rsidR="00FA0BDE">
              <w:t xml:space="preserve">IDS </w:t>
            </w:r>
            <w:r w:rsidRPr="006248C3">
              <w:t>S</w:t>
            </w:r>
            <w:r w:rsidR="00FA0BDE">
              <w:t xml:space="preserve">TD </w:t>
            </w:r>
            <w:r w:rsidRPr="006248C3">
              <w:t>P</w:t>
            </w:r>
            <w:r w:rsidR="00FA0BDE">
              <w:t>rogramme</w:t>
            </w:r>
            <w:r w:rsidRPr="006248C3">
              <w:t xml:space="preserve"> 2016. Behavioural and Serological Surveillance amongst Key Populations at Risk of HIV in Selected Areas of Bangladesh, 2016 Conducted by </w:t>
            </w:r>
            <w:bookmarkStart w:id="6" w:name="_Hlk34817415"/>
            <w:r w:rsidRPr="006248C3">
              <w:t>Institute of Epidemiology, Disease Control and Research</w:t>
            </w:r>
            <w:bookmarkEnd w:id="6"/>
            <w:r w:rsidRPr="006248C3">
              <w:t xml:space="preserve"> (IEDCR</w:t>
            </w:r>
            <w:r>
              <w:fldChar w:fldCharType="begin"/>
            </w:r>
            <w:r>
              <w:instrText xml:space="preserve"> TA \l "</w:instrText>
            </w:r>
            <w:r w:rsidRPr="00333243">
              <w:instrText>IEDCR: Institute of Epidemiology, Disease Control and Research</w:instrText>
            </w:r>
            <w:r>
              <w:instrText xml:space="preserve">" \s "IEDCR" \c 1 </w:instrText>
            </w:r>
            <w:r>
              <w:fldChar w:fldCharType="end"/>
            </w:r>
            <w:r w:rsidRPr="006248C3">
              <w:t>) and icddr,b</w:t>
            </w:r>
          </w:p>
        </w:tc>
        <w:tc>
          <w:tcPr>
            <w:tcW w:w="689" w:type="pct"/>
          </w:tcPr>
          <w:p w14:paraId="3B1BCBC2" w14:textId="77777777" w:rsidR="00DE4121" w:rsidRDefault="00DE4121" w:rsidP="0027165B">
            <w:pPr>
              <w:spacing w:after="0"/>
            </w:pPr>
            <w:r>
              <w:t xml:space="preserve">Attachment </w:t>
            </w:r>
          </w:p>
        </w:tc>
        <w:tc>
          <w:tcPr>
            <w:tcW w:w="655" w:type="pct"/>
          </w:tcPr>
          <w:p w14:paraId="3464ABB1" w14:textId="77777777" w:rsidR="00DE4121" w:rsidRDefault="00DE4121" w:rsidP="0027165B">
            <w:pPr>
              <w:spacing w:after="0"/>
            </w:pPr>
            <w:r w:rsidRPr="00B24664">
              <w:t xml:space="preserve">Page </w:t>
            </w:r>
            <w:r w:rsidRPr="001B09A8">
              <w:t>xiv</w:t>
            </w:r>
            <w:r>
              <w:t xml:space="preserve">, 54, </w:t>
            </w:r>
            <w:r w:rsidRPr="00B24664">
              <w:t>120, 128, 130,131</w:t>
            </w:r>
          </w:p>
        </w:tc>
      </w:tr>
      <w:tr w:rsidR="00DE4121" w14:paraId="095653EF" w14:textId="77777777" w:rsidTr="00E360C7">
        <w:tc>
          <w:tcPr>
            <w:tcW w:w="643" w:type="pct"/>
            <w:vMerge/>
          </w:tcPr>
          <w:p w14:paraId="5928EDEC" w14:textId="77777777" w:rsidR="00DE4121" w:rsidRDefault="00DE4121" w:rsidP="0027165B">
            <w:pPr>
              <w:spacing w:after="0"/>
            </w:pPr>
          </w:p>
        </w:tc>
        <w:tc>
          <w:tcPr>
            <w:tcW w:w="3013" w:type="pct"/>
          </w:tcPr>
          <w:p w14:paraId="123C6D33" w14:textId="3729D0E5" w:rsidR="00DE4121" w:rsidRDefault="00DE4121" w:rsidP="00C57762">
            <w:pPr>
              <w:pStyle w:val="ListParagraph"/>
              <w:numPr>
                <w:ilvl w:val="0"/>
                <w:numId w:val="28"/>
              </w:numPr>
              <w:spacing w:after="0"/>
              <w:jc w:val="both"/>
            </w:pPr>
            <w:r>
              <w:t>A</w:t>
            </w:r>
            <w:r w:rsidR="00FA0BDE">
              <w:t>IDS STD</w:t>
            </w:r>
            <w:r w:rsidR="00240F31">
              <w:t xml:space="preserve"> </w:t>
            </w:r>
            <w:r>
              <w:t>P</w:t>
            </w:r>
            <w:r w:rsidR="00FA0BDE">
              <w:t>rogramme</w:t>
            </w:r>
            <w:r>
              <w:t xml:space="preserve"> (2016). Behavioural and serological surveillance on males having sex with males, male sex workers and hijra, 2015: Technical Report. National AIDS/STD Program (ASP), Directorate General of Health Services (DGHS), Ministry of Health and Family Welfare, Govt. of the People’s Republic of Bangladesh.</w:t>
            </w:r>
          </w:p>
        </w:tc>
        <w:tc>
          <w:tcPr>
            <w:tcW w:w="689" w:type="pct"/>
          </w:tcPr>
          <w:p w14:paraId="3335F7AC" w14:textId="77777777" w:rsidR="00DE4121" w:rsidRDefault="00DE4121" w:rsidP="0027165B">
            <w:pPr>
              <w:spacing w:after="0"/>
            </w:pPr>
            <w:r w:rsidRPr="00C15F18">
              <w:t>Attachment</w:t>
            </w:r>
          </w:p>
        </w:tc>
        <w:tc>
          <w:tcPr>
            <w:tcW w:w="655" w:type="pct"/>
          </w:tcPr>
          <w:p w14:paraId="386B5987" w14:textId="33E4B8E3" w:rsidR="00DE4121" w:rsidRDefault="00DE4121" w:rsidP="0027165B">
            <w:pPr>
              <w:spacing w:after="0"/>
            </w:pPr>
            <w:r>
              <w:t>Page 11, 18</w:t>
            </w:r>
            <w:r w:rsidR="00213D1D">
              <w:t>,</w:t>
            </w:r>
            <w:r>
              <w:t xml:space="preserve"> 60,130</w:t>
            </w:r>
          </w:p>
        </w:tc>
      </w:tr>
      <w:tr w:rsidR="00F12435" w14:paraId="74AF5FA4" w14:textId="77777777" w:rsidTr="00E360C7">
        <w:tc>
          <w:tcPr>
            <w:tcW w:w="643" w:type="pct"/>
            <w:vMerge w:val="restart"/>
          </w:tcPr>
          <w:p w14:paraId="4FDE9AAA" w14:textId="67BFF764" w:rsidR="00F12435" w:rsidRPr="00E360C7" w:rsidRDefault="00F12435" w:rsidP="0027165B">
            <w:pPr>
              <w:spacing w:after="0"/>
              <w:rPr>
                <w:b/>
                <w:bCs/>
              </w:rPr>
            </w:pPr>
            <w:r w:rsidRPr="00E360C7">
              <w:rPr>
                <w:b/>
                <w:bCs/>
              </w:rPr>
              <w:t xml:space="preserve">Human rights and gender </w:t>
            </w:r>
          </w:p>
        </w:tc>
        <w:tc>
          <w:tcPr>
            <w:tcW w:w="3013" w:type="pct"/>
          </w:tcPr>
          <w:p w14:paraId="29E0575B" w14:textId="1D37CF72" w:rsidR="00F12435" w:rsidRDefault="00F12435" w:rsidP="00C57762">
            <w:pPr>
              <w:pStyle w:val="ListParagraph"/>
              <w:numPr>
                <w:ilvl w:val="0"/>
                <w:numId w:val="28"/>
              </w:numPr>
              <w:spacing w:after="0"/>
              <w:jc w:val="both"/>
            </w:pPr>
            <w:r w:rsidRPr="00E47A80">
              <w:t>Government of Bangladesh</w:t>
            </w:r>
            <w:r>
              <w:fldChar w:fldCharType="begin"/>
            </w:r>
            <w:r>
              <w:instrText xml:space="preserve"> TA \s "GoB" </w:instrText>
            </w:r>
            <w:r>
              <w:fldChar w:fldCharType="end"/>
            </w:r>
            <w:r w:rsidRPr="00E47A80">
              <w:t xml:space="preserve"> (2016). National strategy on addressing gender-based violence for HIV response in Bangladesh (2017-2021). National AIDS/STD Program (ASP), Directorate General of Health Services (DGHS), Ministry of Health and Family Welfare, Govt. of the People’s Republic of Bangladesh.</w:t>
            </w:r>
          </w:p>
        </w:tc>
        <w:tc>
          <w:tcPr>
            <w:tcW w:w="689" w:type="pct"/>
          </w:tcPr>
          <w:p w14:paraId="1E84119B" w14:textId="77777777" w:rsidR="00F12435" w:rsidRDefault="00F12435" w:rsidP="0027165B">
            <w:pPr>
              <w:spacing w:after="0"/>
            </w:pPr>
            <w:r>
              <w:t xml:space="preserve">Attachment </w:t>
            </w:r>
          </w:p>
        </w:tc>
        <w:tc>
          <w:tcPr>
            <w:tcW w:w="655" w:type="pct"/>
          </w:tcPr>
          <w:p w14:paraId="4BA42F17" w14:textId="77777777" w:rsidR="00F12435" w:rsidRDefault="00F12435" w:rsidP="0027165B">
            <w:pPr>
              <w:spacing w:after="0"/>
            </w:pPr>
            <w:r w:rsidRPr="00E47A80">
              <w:t>Page 1-36</w:t>
            </w:r>
          </w:p>
        </w:tc>
      </w:tr>
      <w:tr w:rsidR="00F12435" w14:paraId="460176BB" w14:textId="77777777" w:rsidTr="00E360C7">
        <w:tc>
          <w:tcPr>
            <w:tcW w:w="643" w:type="pct"/>
            <w:vMerge/>
          </w:tcPr>
          <w:p w14:paraId="06F51210" w14:textId="77777777" w:rsidR="00F12435" w:rsidRDefault="00F12435" w:rsidP="0027165B">
            <w:pPr>
              <w:spacing w:after="0"/>
            </w:pPr>
          </w:p>
        </w:tc>
        <w:tc>
          <w:tcPr>
            <w:tcW w:w="3013" w:type="pct"/>
          </w:tcPr>
          <w:p w14:paraId="02C2B07B" w14:textId="779FBCA0" w:rsidR="00F12435" w:rsidRDefault="00F12435" w:rsidP="00C57762">
            <w:pPr>
              <w:pStyle w:val="ListParagraph"/>
              <w:numPr>
                <w:ilvl w:val="0"/>
                <w:numId w:val="28"/>
              </w:numPr>
              <w:spacing w:after="0"/>
              <w:jc w:val="both"/>
            </w:pPr>
            <w:r w:rsidRPr="00E47A80">
              <w:t xml:space="preserve">Government of Bangladesh </w:t>
            </w:r>
            <w:r>
              <w:fldChar w:fldCharType="begin"/>
            </w:r>
            <w:r>
              <w:instrText xml:space="preserve"> TA \s "GoB" </w:instrText>
            </w:r>
            <w:r>
              <w:fldChar w:fldCharType="end"/>
            </w:r>
            <w:r w:rsidRPr="00E47A80">
              <w:t xml:space="preserve"> (2014). Bangladesh Gazette, Registration #SKM/KM-1Sha/Hijra-15-2013- 40, January 22, 2014.</w:t>
            </w:r>
          </w:p>
        </w:tc>
        <w:tc>
          <w:tcPr>
            <w:tcW w:w="689" w:type="pct"/>
          </w:tcPr>
          <w:p w14:paraId="01F908CC" w14:textId="77777777" w:rsidR="00F12435" w:rsidRDefault="00F12435" w:rsidP="0027165B">
            <w:pPr>
              <w:spacing w:after="0"/>
            </w:pPr>
            <w:r>
              <w:t xml:space="preserve">Attachment </w:t>
            </w:r>
          </w:p>
        </w:tc>
        <w:tc>
          <w:tcPr>
            <w:tcW w:w="655" w:type="pct"/>
          </w:tcPr>
          <w:p w14:paraId="49D330BC" w14:textId="77777777" w:rsidR="00F12435" w:rsidRDefault="00F12435" w:rsidP="0027165B">
            <w:pPr>
              <w:spacing w:after="0"/>
            </w:pPr>
            <w:r w:rsidRPr="00E47A80">
              <w:t>Page 1</w:t>
            </w:r>
          </w:p>
        </w:tc>
      </w:tr>
      <w:tr w:rsidR="00F12435" w14:paraId="4BAF922B" w14:textId="77777777" w:rsidTr="00E360C7">
        <w:tc>
          <w:tcPr>
            <w:tcW w:w="643" w:type="pct"/>
            <w:vMerge/>
          </w:tcPr>
          <w:p w14:paraId="4134BF59" w14:textId="77777777" w:rsidR="00F12435" w:rsidRDefault="00F12435" w:rsidP="0027165B">
            <w:pPr>
              <w:spacing w:after="0"/>
            </w:pPr>
          </w:p>
        </w:tc>
        <w:tc>
          <w:tcPr>
            <w:tcW w:w="3013" w:type="pct"/>
          </w:tcPr>
          <w:p w14:paraId="1F9D83E3" w14:textId="77777777" w:rsidR="00F12435" w:rsidRPr="00E47A80" w:rsidRDefault="00F12435" w:rsidP="00C57762">
            <w:pPr>
              <w:pStyle w:val="ListParagraph"/>
              <w:numPr>
                <w:ilvl w:val="0"/>
                <w:numId w:val="28"/>
              </w:numPr>
              <w:spacing w:after="0"/>
              <w:jc w:val="both"/>
            </w:pPr>
            <w:r w:rsidRPr="00BC40D0">
              <w:t>Khosla N. (2009). HIV/AIDS interventions in Bangladesh: what can application of a social exclusion framework tell us? Journal of health, population, and nutrition, 27(4), 587–597. doi:10.3329/jhpn. v27i4.3404</w:t>
            </w:r>
          </w:p>
        </w:tc>
        <w:tc>
          <w:tcPr>
            <w:tcW w:w="689" w:type="pct"/>
          </w:tcPr>
          <w:p w14:paraId="78D96B09" w14:textId="77777777" w:rsidR="00F12435" w:rsidRDefault="00F12435" w:rsidP="0027165B">
            <w:pPr>
              <w:spacing w:after="0"/>
            </w:pPr>
            <w:r>
              <w:t xml:space="preserve">Attachment </w:t>
            </w:r>
          </w:p>
        </w:tc>
        <w:tc>
          <w:tcPr>
            <w:tcW w:w="655" w:type="pct"/>
          </w:tcPr>
          <w:p w14:paraId="47EC34BA" w14:textId="77777777" w:rsidR="00F12435" w:rsidRPr="00E47A80" w:rsidRDefault="00F12435" w:rsidP="0027165B">
            <w:pPr>
              <w:spacing w:after="0"/>
            </w:pPr>
            <w:r>
              <w:t>Page 587-597</w:t>
            </w:r>
          </w:p>
        </w:tc>
      </w:tr>
      <w:tr w:rsidR="00F12435" w14:paraId="759D5214" w14:textId="77777777" w:rsidTr="00E360C7">
        <w:tc>
          <w:tcPr>
            <w:tcW w:w="643" w:type="pct"/>
            <w:vMerge/>
          </w:tcPr>
          <w:p w14:paraId="1EE6B24A" w14:textId="77777777" w:rsidR="00F12435" w:rsidRDefault="00F12435" w:rsidP="0027165B">
            <w:pPr>
              <w:spacing w:after="0"/>
            </w:pPr>
          </w:p>
        </w:tc>
        <w:tc>
          <w:tcPr>
            <w:tcW w:w="3013" w:type="pct"/>
          </w:tcPr>
          <w:p w14:paraId="13528C44" w14:textId="205E0092" w:rsidR="00F12435" w:rsidRPr="00BC40D0" w:rsidRDefault="00F12435" w:rsidP="00C57762">
            <w:pPr>
              <w:pStyle w:val="ListParagraph"/>
              <w:numPr>
                <w:ilvl w:val="0"/>
                <w:numId w:val="28"/>
              </w:numPr>
              <w:spacing w:after="0"/>
              <w:jc w:val="both"/>
            </w:pPr>
            <w:r w:rsidRPr="00F12435">
              <w:t>Health Policy project 2016. Bangladesh how the decline in PEPFAR funding has affected key populations</w:t>
            </w:r>
          </w:p>
        </w:tc>
        <w:tc>
          <w:tcPr>
            <w:tcW w:w="689" w:type="pct"/>
          </w:tcPr>
          <w:p w14:paraId="60DBB5D6" w14:textId="71B69047" w:rsidR="00F12435" w:rsidRDefault="00F12435" w:rsidP="0027165B">
            <w:pPr>
              <w:spacing w:after="0"/>
            </w:pPr>
            <w:r w:rsidRPr="00F12435">
              <w:t>Attachment</w:t>
            </w:r>
          </w:p>
        </w:tc>
        <w:tc>
          <w:tcPr>
            <w:tcW w:w="655" w:type="pct"/>
          </w:tcPr>
          <w:p w14:paraId="67DBC83A" w14:textId="1E7FDD99" w:rsidR="00F12435" w:rsidRDefault="00F12435" w:rsidP="0027165B">
            <w:pPr>
              <w:spacing w:after="0"/>
            </w:pPr>
            <w:r w:rsidRPr="00F12435">
              <w:t>Page 2</w:t>
            </w:r>
          </w:p>
        </w:tc>
      </w:tr>
      <w:tr w:rsidR="00F12435" w14:paraId="1DF5ADE1" w14:textId="77777777" w:rsidTr="00E360C7">
        <w:tc>
          <w:tcPr>
            <w:tcW w:w="643" w:type="pct"/>
            <w:vMerge/>
          </w:tcPr>
          <w:p w14:paraId="21704BF1" w14:textId="77777777" w:rsidR="00F12435" w:rsidRDefault="00F12435" w:rsidP="0027165B">
            <w:pPr>
              <w:spacing w:after="0"/>
            </w:pPr>
          </w:p>
        </w:tc>
        <w:tc>
          <w:tcPr>
            <w:tcW w:w="3013" w:type="pct"/>
          </w:tcPr>
          <w:p w14:paraId="6C1E13C5" w14:textId="767C1E8A" w:rsidR="00F12435" w:rsidRPr="00BC40D0" w:rsidRDefault="00F12435" w:rsidP="00C57762">
            <w:pPr>
              <w:pStyle w:val="ListParagraph"/>
              <w:numPr>
                <w:ilvl w:val="0"/>
                <w:numId w:val="28"/>
              </w:numPr>
              <w:spacing w:after="0"/>
              <w:jc w:val="both"/>
            </w:pPr>
            <w:r w:rsidRPr="00F12435">
              <w:t>Harm Reduction International, 2019. The Death Penalty for Drug Offences: Global Overview 2018. Giada Girelli.  ISBN 978-0-9935434-8-7</w:t>
            </w:r>
          </w:p>
        </w:tc>
        <w:tc>
          <w:tcPr>
            <w:tcW w:w="689" w:type="pct"/>
          </w:tcPr>
          <w:p w14:paraId="58E967BF" w14:textId="594EF6EE" w:rsidR="00F12435" w:rsidRDefault="00F12435" w:rsidP="0027165B">
            <w:pPr>
              <w:spacing w:after="0"/>
            </w:pPr>
            <w:r w:rsidRPr="00F12435">
              <w:t>Attachment</w:t>
            </w:r>
          </w:p>
        </w:tc>
        <w:tc>
          <w:tcPr>
            <w:tcW w:w="655" w:type="pct"/>
          </w:tcPr>
          <w:p w14:paraId="0D3DFBE8" w14:textId="57B99AAB" w:rsidR="00F12435" w:rsidRDefault="00F12435" w:rsidP="0027165B">
            <w:pPr>
              <w:spacing w:after="0"/>
            </w:pPr>
            <w:r w:rsidRPr="00F12435">
              <w:t>Page 33-34</w:t>
            </w:r>
          </w:p>
        </w:tc>
      </w:tr>
      <w:tr w:rsidR="00DE4121" w14:paraId="20FC973F" w14:textId="77777777" w:rsidTr="00E360C7">
        <w:tc>
          <w:tcPr>
            <w:tcW w:w="643" w:type="pct"/>
            <w:vMerge w:val="restart"/>
          </w:tcPr>
          <w:p w14:paraId="29876A38" w14:textId="4A82A1E0" w:rsidR="00DE4121" w:rsidRPr="00E360C7" w:rsidRDefault="00DE4121" w:rsidP="0027165B">
            <w:pPr>
              <w:spacing w:after="0"/>
              <w:rPr>
                <w:b/>
                <w:bCs/>
              </w:rPr>
            </w:pPr>
            <w:r w:rsidRPr="00E360C7">
              <w:rPr>
                <w:b/>
                <w:bCs/>
              </w:rPr>
              <w:t xml:space="preserve">Disease-specific </w:t>
            </w:r>
          </w:p>
        </w:tc>
        <w:tc>
          <w:tcPr>
            <w:tcW w:w="3013" w:type="pct"/>
          </w:tcPr>
          <w:p w14:paraId="4B029DB7" w14:textId="473E1A02" w:rsidR="00DE4121" w:rsidRDefault="00DE4121" w:rsidP="00C57762">
            <w:pPr>
              <w:pStyle w:val="ListParagraph"/>
              <w:numPr>
                <w:ilvl w:val="0"/>
                <w:numId w:val="28"/>
              </w:numPr>
              <w:spacing w:after="0"/>
              <w:jc w:val="both"/>
            </w:pPr>
            <w:r>
              <w:t>AIDS</w:t>
            </w:r>
            <w:r w:rsidR="00FA0BDE">
              <w:t xml:space="preserve"> </w:t>
            </w:r>
            <w:r>
              <w:t>STD Program. (2019). World AIDS Day presentation slides, December 01, 2019. AIDS/STD Program (ASP), Directorate General of Health Services (DGHS), Ministry of Health and Family Welfare, Govt. of the People’s Republic of Bangladesh.</w:t>
            </w:r>
          </w:p>
        </w:tc>
        <w:tc>
          <w:tcPr>
            <w:tcW w:w="689" w:type="pct"/>
          </w:tcPr>
          <w:p w14:paraId="3E69583D" w14:textId="77777777" w:rsidR="00DE4121" w:rsidRDefault="00DE4121" w:rsidP="0027165B">
            <w:pPr>
              <w:spacing w:after="0"/>
            </w:pPr>
            <w:r>
              <w:t xml:space="preserve">Attachment </w:t>
            </w:r>
          </w:p>
        </w:tc>
        <w:tc>
          <w:tcPr>
            <w:tcW w:w="655" w:type="pct"/>
          </w:tcPr>
          <w:p w14:paraId="6A6ADF12" w14:textId="77777777" w:rsidR="00DE4121" w:rsidRDefault="00DE4121" w:rsidP="0027165B">
            <w:pPr>
              <w:spacing w:after="0"/>
            </w:pPr>
            <w:r w:rsidRPr="004C548F">
              <w:t>The PPT</w:t>
            </w:r>
          </w:p>
        </w:tc>
      </w:tr>
      <w:tr w:rsidR="00DE4121" w14:paraId="27575EFC" w14:textId="77777777" w:rsidTr="00E360C7">
        <w:tc>
          <w:tcPr>
            <w:tcW w:w="643" w:type="pct"/>
            <w:vMerge/>
          </w:tcPr>
          <w:p w14:paraId="15432055" w14:textId="77777777" w:rsidR="00DE4121" w:rsidRDefault="00DE4121" w:rsidP="0027165B">
            <w:pPr>
              <w:spacing w:after="0"/>
            </w:pPr>
          </w:p>
        </w:tc>
        <w:tc>
          <w:tcPr>
            <w:tcW w:w="3013" w:type="pct"/>
          </w:tcPr>
          <w:p w14:paraId="4B3C2B8E" w14:textId="31116520" w:rsidR="00DE4121" w:rsidRDefault="00DE4121" w:rsidP="00C57762">
            <w:pPr>
              <w:pStyle w:val="ListParagraph"/>
              <w:numPr>
                <w:ilvl w:val="0"/>
                <w:numId w:val="28"/>
              </w:numPr>
              <w:spacing w:after="0"/>
              <w:jc w:val="both"/>
            </w:pPr>
            <w:r w:rsidRPr="004C548F">
              <w:t>A</w:t>
            </w:r>
            <w:r w:rsidR="00FA0BDE">
              <w:t xml:space="preserve">IDS </w:t>
            </w:r>
            <w:r w:rsidRPr="004C548F">
              <w:t>S</w:t>
            </w:r>
            <w:r w:rsidR="00FA0BDE">
              <w:t xml:space="preserve">TD </w:t>
            </w:r>
            <w:r w:rsidRPr="004C548F">
              <w:t>P</w:t>
            </w:r>
            <w:r w:rsidR="00FA0BDE">
              <w:t>rogramme</w:t>
            </w:r>
            <w:r w:rsidRPr="004C548F">
              <w:t>; UNAIDS. 2019. BANGLADESH INVESTMENT CASE</w:t>
            </w:r>
            <w:r>
              <w:t xml:space="preserve"> </w:t>
            </w:r>
            <w:r w:rsidRPr="004C548F">
              <w:t>FOR HIV: Sustainable Investment Options in the National HIV Response (Final Draft)</w:t>
            </w:r>
          </w:p>
        </w:tc>
        <w:tc>
          <w:tcPr>
            <w:tcW w:w="689" w:type="pct"/>
          </w:tcPr>
          <w:p w14:paraId="5E5FB5C9" w14:textId="77777777" w:rsidR="00DE4121" w:rsidRDefault="00DE4121" w:rsidP="0027165B">
            <w:pPr>
              <w:spacing w:after="0"/>
            </w:pPr>
            <w:r>
              <w:t xml:space="preserve">Attachment </w:t>
            </w:r>
          </w:p>
        </w:tc>
        <w:tc>
          <w:tcPr>
            <w:tcW w:w="655" w:type="pct"/>
          </w:tcPr>
          <w:p w14:paraId="18CDB9A3" w14:textId="326ABE50" w:rsidR="00DE4121" w:rsidRDefault="00DE4121" w:rsidP="0027165B">
            <w:pPr>
              <w:spacing w:after="0"/>
            </w:pPr>
            <w:r w:rsidRPr="00E92A5A">
              <w:t xml:space="preserve">Page </w:t>
            </w:r>
            <w:r w:rsidR="00D22EEB" w:rsidRPr="00D22EEB">
              <w:t>ix</w:t>
            </w:r>
            <w:r w:rsidR="00D22EEB">
              <w:t>,</w:t>
            </w:r>
            <w:r w:rsidR="00D22EEB" w:rsidRPr="00D22EEB">
              <w:t xml:space="preserve"> </w:t>
            </w:r>
            <w:r>
              <w:t xml:space="preserve">19, </w:t>
            </w:r>
            <w:r w:rsidRPr="00E92A5A">
              <w:t xml:space="preserve">20, </w:t>
            </w:r>
            <w:r>
              <w:t xml:space="preserve">27-30, </w:t>
            </w:r>
            <w:r w:rsidRPr="00E92A5A">
              <w:t>32-3</w:t>
            </w:r>
            <w:r>
              <w:t>7</w:t>
            </w:r>
          </w:p>
        </w:tc>
      </w:tr>
      <w:tr w:rsidR="00DE4121" w14:paraId="2CFAC545" w14:textId="77777777" w:rsidTr="00E360C7">
        <w:tc>
          <w:tcPr>
            <w:tcW w:w="643" w:type="pct"/>
            <w:vMerge/>
          </w:tcPr>
          <w:p w14:paraId="5DE3A8EF" w14:textId="77777777" w:rsidR="00DE4121" w:rsidRDefault="00DE4121" w:rsidP="0027165B">
            <w:pPr>
              <w:spacing w:after="0"/>
            </w:pPr>
          </w:p>
        </w:tc>
        <w:tc>
          <w:tcPr>
            <w:tcW w:w="3013" w:type="pct"/>
          </w:tcPr>
          <w:p w14:paraId="01D4CC4B" w14:textId="77777777" w:rsidR="00DE4121" w:rsidRDefault="00DE4121" w:rsidP="00C57762">
            <w:pPr>
              <w:pStyle w:val="ListParagraph"/>
              <w:numPr>
                <w:ilvl w:val="0"/>
                <w:numId w:val="28"/>
              </w:numPr>
              <w:spacing w:after="0"/>
              <w:jc w:val="both"/>
            </w:pPr>
            <w:r w:rsidRPr="00673ED8">
              <w:t>UNAIDS DATA 2019</w:t>
            </w:r>
          </w:p>
        </w:tc>
        <w:tc>
          <w:tcPr>
            <w:tcW w:w="689" w:type="pct"/>
          </w:tcPr>
          <w:p w14:paraId="5BAE0933" w14:textId="77777777" w:rsidR="00DE4121" w:rsidRDefault="00DE4121" w:rsidP="0027165B">
            <w:pPr>
              <w:spacing w:after="0"/>
            </w:pPr>
            <w:r>
              <w:t>Attachment</w:t>
            </w:r>
          </w:p>
        </w:tc>
        <w:tc>
          <w:tcPr>
            <w:tcW w:w="655" w:type="pct"/>
          </w:tcPr>
          <w:p w14:paraId="3EA3CCF6" w14:textId="77777777" w:rsidR="00DE4121" w:rsidRDefault="00DE4121" w:rsidP="0027165B">
            <w:pPr>
              <w:spacing w:after="0"/>
            </w:pPr>
            <w:r w:rsidRPr="00673ED8">
              <w:t>Page 142,143, 156,157</w:t>
            </w:r>
          </w:p>
        </w:tc>
      </w:tr>
    </w:tbl>
    <w:p w14:paraId="7A0B833D" w14:textId="77777777" w:rsidR="009B6C0D" w:rsidRPr="005305D5" w:rsidRDefault="009B6C0D" w:rsidP="009B6C0D">
      <w:pPr>
        <w:spacing w:after="0"/>
      </w:pPr>
    </w:p>
    <w:p w14:paraId="355DA25B" w14:textId="77777777" w:rsidR="00DE1608" w:rsidRPr="005305D5" w:rsidRDefault="00DE1608" w:rsidP="009B6C0D">
      <w:pPr>
        <w:pStyle w:val="ListParagraph"/>
        <w:spacing w:after="0"/>
      </w:pPr>
    </w:p>
    <w:p w14:paraId="11D0AC52" w14:textId="3C056797" w:rsidR="0098274C" w:rsidRPr="005305D5" w:rsidRDefault="0098274C" w:rsidP="00C57762">
      <w:pPr>
        <w:pStyle w:val="Heading2"/>
        <w:numPr>
          <w:ilvl w:val="1"/>
          <w:numId w:val="24"/>
        </w:numPr>
        <w:shd w:val="clear" w:color="auto" w:fill="D9D9D9" w:themeFill="background1" w:themeFillShade="D9"/>
        <w:spacing w:before="0" w:after="0" w:line="240" w:lineRule="auto"/>
        <w:contextualSpacing/>
      </w:pPr>
      <w:r w:rsidRPr="005305D5">
        <w:t>Summary of Country Context</w:t>
      </w:r>
    </w:p>
    <w:p w14:paraId="1CB8ECC5" w14:textId="77777777" w:rsidR="009B6C0D" w:rsidRDefault="009B6C0D" w:rsidP="009B6C0D">
      <w:pPr>
        <w:spacing w:after="0"/>
        <w:jc w:val="both"/>
      </w:pPr>
    </w:p>
    <w:p w14:paraId="5898BB00" w14:textId="04611D97" w:rsidR="009E6642" w:rsidRPr="004F1255" w:rsidRDefault="000C4A65" w:rsidP="009B6C0D">
      <w:pPr>
        <w:spacing w:after="0"/>
        <w:jc w:val="both"/>
      </w:pPr>
      <w:r w:rsidRPr="004F1255">
        <w:t>E</w:t>
      </w:r>
      <w:r w:rsidR="0098274C" w:rsidRPr="004F1255">
        <w:t xml:space="preserve">xplain critical elements of the </w:t>
      </w:r>
      <w:r w:rsidR="0098274C" w:rsidRPr="002F3609">
        <w:rPr>
          <w:b/>
        </w:rPr>
        <w:t>country context</w:t>
      </w:r>
      <w:r w:rsidR="0098274C" w:rsidRPr="004F1255">
        <w:t xml:space="preserve"> that informed the development of this funding request</w:t>
      </w:r>
      <w:r w:rsidR="00A321C0" w:rsidRPr="004F1255">
        <w:t xml:space="preserve">. </w:t>
      </w:r>
    </w:p>
    <w:p w14:paraId="184A0E5E" w14:textId="7D5FFCE8" w:rsidR="00A321C0" w:rsidRDefault="00A321C0" w:rsidP="009B6C0D">
      <w:pPr>
        <w:spacing w:after="0"/>
        <w:jc w:val="both"/>
      </w:pPr>
      <w:r w:rsidRPr="004F1255">
        <w:t>The following points should be addressed in the response:</w:t>
      </w:r>
    </w:p>
    <w:p w14:paraId="50DE380F" w14:textId="22613C63" w:rsidR="00A321C0" w:rsidRPr="004F1255" w:rsidRDefault="00CA301B" w:rsidP="00C57762">
      <w:pPr>
        <w:pStyle w:val="ListParagraph"/>
        <w:numPr>
          <w:ilvl w:val="0"/>
          <w:numId w:val="23"/>
        </w:numPr>
        <w:spacing w:after="0"/>
        <w:jc w:val="both"/>
      </w:pPr>
      <w:r>
        <w:t>T</w:t>
      </w:r>
      <w:r w:rsidR="00A321C0" w:rsidRPr="004F1255">
        <w:t>he epidemiological context and other relevant disease</w:t>
      </w:r>
      <w:r w:rsidR="003D64DD" w:rsidRPr="004F1255">
        <w:t>-specific</w:t>
      </w:r>
      <w:r w:rsidR="003440ED" w:rsidRPr="004F1255">
        <w:t xml:space="preserve"> information</w:t>
      </w:r>
      <w:r w:rsidR="00A321C0" w:rsidRPr="004F1255">
        <w:t xml:space="preserve">; </w:t>
      </w:r>
    </w:p>
    <w:p w14:paraId="49150285" w14:textId="1AAD6CF6" w:rsidR="00A321C0" w:rsidRPr="004F1255" w:rsidRDefault="00CA301B" w:rsidP="00C57762">
      <w:pPr>
        <w:pStyle w:val="ListParagraph"/>
        <w:numPr>
          <w:ilvl w:val="0"/>
          <w:numId w:val="23"/>
        </w:numPr>
        <w:spacing w:after="0"/>
        <w:jc w:val="both"/>
      </w:pPr>
      <w:r>
        <w:t>I</w:t>
      </w:r>
      <w:r w:rsidR="00A321C0" w:rsidRPr="004F1255">
        <w:t xml:space="preserve">nformation on </w:t>
      </w:r>
      <w:r w:rsidR="003440ED" w:rsidRPr="004F1255">
        <w:t xml:space="preserve">disease-specific and </w:t>
      </w:r>
      <w:r w:rsidR="00A321C0" w:rsidRPr="004F1255">
        <w:t>the overall health system</w:t>
      </w:r>
      <w:r w:rsidR="003440ED" w:rsidRPr="004F1255">
        <w:t>s</w:t>
      </w:r>
      <w:r w:rsidR="00460061" w:rsidRPr="004F1255">
        <w:t>, along with the linkages between the</w:t>
      </w:r>
      <w:r w:rsidR="003440ED" w:rsidRPr="004F1255">
        <w:t>m</w:t>
      </w:r>
      <w:r w:rsidR="00A321C0" w:rsidRPr="004F1255">
        <w:t xml:space="preserve">; </w:t>
      </w:r>
    </w:p>
    <w:p w14:paraId="3B7D3323" w14:textId="1812910B" w:rsidR="003440ED" w:rsidRPr="004F1255" w:rsidRDefault="00CA301B" w:rsidP="00C57762">
      <w:pPr>
        <w:pStyle w:val="ListParagraph"/>
        <w:numPr>
          <w:ilvl w:val="0"/>
          <w:numId w:val="23"/>
        </w:numPr>
        <w:spacing w:after="0"/>
        <w:jc w:val="both"/>
      </w:pPr>
      <w:r>
        <w:t>R</w:t>
      </w:r>
      <w:r w:rsidR="003440ED" w:rsidRPr="004F1255">
        <w:t>elevant key and</w:t>
      </w:r>
      <w:r w:rsidR="002F6CF4">
        <w:t>/or</w:t>
      </w:r>
      <w:r w:rsidR="003440ED" w:rsidRPr="004F1255">
        <w:t xml:space="preserve"> vulnerable populations</w:t>
      </w:r>
      <w:r w:rsidR="008D56C7">
        <w:t>;</w:t>
      </w:r>
      <w:r w:rsidR="003440ED" w:rsidRPr="004F1255">
        <w:t xml:space="preserve"> </w:t>
      </w:r>
    </w:p>
    <w:p w14:paraId="4D1FA686" w14:textId="312333C1" w:rsidR="003440ED" w:rsidRPr="004F1255" w:rsidRDefault="00CA301B" w:rsidP="00C57762">
      <w:pPr>
        <w:pStyle w:val="ListParagraph"/>
        <w:numPr>
          <w:ilvl w:val="0"/>
          <w:numId w:val="23"/>
        </w:numPr>
        <w:spacing w:after="0"/>
        <w:jc w:val="both"/>
      </w:pPr>
      <w:r>
        <w:t>H</w:t>
      </w:r>
      <w:r w:rsidR="003440ED" w:rsidRPr="004F1255">
        <w:t xml:space="preserve">uman rights, gender and age-related barriers and inequities in access to services; </w:t>
      </w:r>
    </w:p>
    <w:p w14:paraId="5244303B" w14:textId="5BE000FE" w:rsidR="003440ED" w:rsidRPr="004F1255" w:rsidRDefault="00CA301B" w:rsidP="00C57762">
      <w:pPr>
        <w:pStyle w:val="ListParagraph"/>
        <w:numPr>
          <w:ilvl w:val="0"/>
          <w:numId w:val="23"/>
        </w:numPr>
        <w:spacing w:after="0"/>
        <w:jc w:val="both"/>
      </w:pPr>
      <w:r>
        <w:t>S</w:t>
      </w:r>
      <w:r w:rsidR="003440ED" w:rsidRPr="004F1255">
        <w:t>ocio-economic, geographic, and other barriers and inequities in access to health services</w:t>
      </w:r>
      <w:r w:rsidR="000F55C3">
        <w:t>;</w:t>
      </w:r>
      <w:r w:rsidR="003440ED" w:rsidRPr="004F1255">
        <w:t xml:space="preserve"> </w:t>
      </w:r>
    </w:p>
    <w:p w14:paraId="1CFB2133" w14:textId="21746F4D" w:rsidR="003440ED" w:rsidRPr="004F1255" w:rsidRDefault="00CA301B" w:rsidP="00C57762">
      <w:pPr>
        <w:pStyle w:val="ListParagraph"/>
        <w:numPr>
          <w:ilvl w:val="0"/>
          <w:numId w:val="23"/>
        </w:numPr>
        <w:spacing w:after="0"/>
        <w:jc w:val="both"/>
      </w:pPr>
      <w:r>
        <w:t>C</w:t>
      </w:r>
      <w:r w:rsidR="003440ED" w:rsidRPr="004F1255">
        <w:t>ommunity responses and engagement; and</w:t>
      </w:r>
    </w:p>
    <w:p w14:paraId="1D6D5798" w14:textId="74D2FCEF" w:rsidR="00A321C0" w:rsidRDefault="006D0956" w:rsidP="00C57762">
      <w:pPr>
        <w:pStyle w:val="ListParagraph"/>
        <w:numPr>
          <w:ilvl w:val="0"/>
          <w:numId w:val="23"/>
        </w:numPr>
        <w:spacing w:after="0"/>
        <w:jc w:val="both"/>
      </w:pPr>
      <w:r>
        <w:t xml:space="preserve">The </w:t>
      </w:r>
      <w:r w:rsidR="003440ED" w:rsidRPr="004F1255">
        <w:t>role of the private sector.</w:t>
      </w:r>
    </w:p>
    <w:p w14:paraId="17F9E7EB" w14:textId="5274B025" w:rsidR="000C4A65" w:rsidRDefault="000C4A65" w:rsidP="009B6C0D">
      <w:pPr>
        <w:spacing w:after="0"/>
        <w:jc w:val="both"/>
      </w:pPr>
      <w:r w:rsidRPr="004F1255">
        <w:t xml:space="preserve">Refer to information provided in </w:t>
      </w:r>
      <w:r w:rsidR="003440ED" w:rsidRPr="004F1255">
        <w:t xml:space="preserve">the </w:t>
      </w:r>
      <w:r w:rsidRPr="004F1255">
        <w:t xml:space="preserve">key reference documents listed in </w:t>
      </w:r>
      <w:r w:rsidRPr="004F1255">
        <w:rPr>
          <w:b/>
          <w:bCs/>
        </w:rPr>
        <w:t>Section 1.1</w:t>
      </w:r>
      <w:r w:rsidRPr="004F1255">
        <w:t>.</w:t>
      </w:r>
    </w:p>
    <w:p w14:paraId="61964CBD" w14:textId="77777777" w:rsidR="00997BF2" w:rsidRDefault="00997BF2" w:rsidP="009B6C0D">
      <w:pPr>
        <w:spacing w:after="0"/>
        <w:jc w:val="both"/>
      </w:pPr>
    </w:p>
    <w:tbl>
      <w:tblPr>
        <w:tblStyle w:val="TableGrid"/>
        <w:tblW w:w="0" w:type="auto"/>
        <w:tblLook w:val="04A0" w:firstRow="1" w:lastRow="0" w:firstColumn="1" w:lastColumn="0" w:noHBand="0" w:noVBand="1"/>
      </w:tblPr>
      <w:tblGrid>
        <w:gridCol w:w="10456"/>
      </w:tblGrid>
      <w:tr w:rsidR="0098274C" w:rsidRPr="005305D5" w14:paraId="6D1F33C2" w14:textId="77777777" w:rsidTr="000C4A65">
        <w:tc>
          <w:tcPr>
            <w:tcW w:w="10456" w:type="dxa"/>
          </w:tcPr>
          <w:p w14:paraId="015F5D4C" w14:textId="094C450A" w:rsidR="00B256D1" w:rsidRDefault="0098274C" w:rsidP="00B256D1">
            <w:pPr>
              <w:jc w:val="both"/>
              <w:rPr>
                <w:rFonts w:eastAsia="Calibri" w:cs="Times New Roman"/>
                <w:b/>
                <w:bCs/>
              </w:rPr>
            </w:pPr>
            <w:r w:rsidRPr="00090120">
              <w:rPr>
                <w:highlight w:val="yellow"/>
              </w:rPr>
              <w:t>[Applicant response]</w:t>
            </w:r>
            <w:r w:rsidR="00090120" w:rsidRPr="00090120">
              <w:rPr>
                <w:highlight w:val="yellow"/>
              </w:rPr>
              <w:t xml:space="preserve"> 3 Pages</w:t>
            </w:r>
            <w:r w:rsidR="002C5B70" w:rsidRPr="002C5B70">
              <w:rPr>
                <w:rFonts w:eastAsia="Calibri" w:cs="Times New Roman"/>
                <w:b/>
                <w:bCs/>
              </w:rPr>
              <w:t xml:space="preserve"> </w:t>
            </w:r>
          </w:p>
          <w:p w14:paraId="1E8A0442" w14:textId="0766AECB" w:rsidR="00245572" w:rsidRDefault="00DA1904" w:rsidP="00B256D1">
            <w:pPr>
              <w:spacing w:line="240" w:lineRule="auto"/>
              <w:jc w:val="both"/>
              <w:rPr>
                <w:rFonts w:eastAsia="Calibri" w:cs="Times New Roman"/>
                <w:b/>
                <w:bCs/>
              </w:rPr>
            </w:pPr>
            <w:r w:rsidRPr="00DA1904">
              <w:rPr>
                <w:rFonts w:eastAsia="Calibri" w:cs="Times New Roman"/>
                <w:noProof/>
              </w:rPr>
              <w:drawing>
                <wp:anchor distT="0" distB="0" distL="114300" distR="114300" simplePos="0" relativeHeight="251683840" behindDoc="0" locked="0" layoutInCell="1" allowOverlap="1" wp14:anchorId="66042880" wp14:editId="71DA1987">
                  <wp:simplePos x="0" y="0"/>
                  <wp:positionH relativeFrom="margin">
                    <wp:align>right</wp:align>
                  </wp:positionH>
                  <wp:positionV relativeFrom="margin">
                    <wp:align>top</wp:align>
                  </wp:positionV>
                  <wp:extent cx="3190875" cy="1981200"/>
                  <wp:effectExtent l="38100" t="57150" r="47625" b="38100"/>
                  <wp:wrapSquare wrapText="bothSides"/>
                  <wp:docPr id="9" name="Chart 9">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DA1904">
              <w:rPr>
                <w:rFonts w:eastAsia="Calibri" w:cs="Times New Roman"/>
                <w:b/>
                <w:bCs/>
              </w:rPr>
              <w:t>Summary of Country Context</w:t>
            </w:r>
          </w:p>
          <w:p w14:paraId="4490F257" w14:textId="521FBCDC" w:rsidR="00DA1904" w:rsidRPr="00DA1904" w:rsidRDefault="00DA1904" w:rsidP="00B256D1">
            <w:pPr>
              <w:spacing w:line="240" w:lineRule="auto"/>
              <w:jc w:val="both"/>
              <w:rPr>
                <w:rFonts w:eastAsia="Arial" w:cs="Arial"/>
                <w:b/>
                <w:bCs/>
                <w:sz w:val="16"/>
                <w:szCs w:val="16"/>
              </w:rPr>
            </w:pPr>
            <w:r w:rsidRPr="00DA1904">
              <w:rPr>
                <w:rFonts w:eastAsia="Arial" w:cs="Arial"/>
              </w:rPr>
              <w:t>Bangladesh has a low HIV prevalence of &lt;0.1% among</w:t>
            </w:r>
            <w:r w:rsidR="009D3ABB">
              <w:rPr>
                <w:rFonts w:eastAsia="Arial" w:cs="Arial"/>
              </w:rPr>
              <w:t xml:space="preserve"> its</w:t>
            </w:r>
            <w:r w:rsidRPr="00DA1904">
              <w:rPr>
                <w:rFonts w:eastAsia="Arial" w:cs="Arial"/>
              </w:rPr>
              <w:t xml:space="preserve"> general population. </w:t>
            </w:r>
            <w:r w:rsidR="000E666D">
              <w:rPr>
                <w:rFonts w:eastAsia="Arial" w:cs="Arial"/>
              </w:rPr>
              <w:t>I</w:t>
            </w:r>
            <w:r w:rsidRPr="00DA1904">
              <w:rPr>
                <w:rFonts w:eastAsia="Arial" w:cs="Arial"/>
              </w:rPr>
              <w:t xml:space="preserve">t is one of the seven countries in Asia and the Pacific region to experience an increase in HIV incidence [5, Page 10]. A concentrated epidemic has been rising among key populations (KPs). Surveillance </w:t>
            </w:r>
            <w:r w:rsidRPr="00DA1904">
              <w:rPr>
                <w:rFonts w:eastAsia="Calibri" w:cs="Times New Roman"/>
              </w:rPr>
              <w:t xml:space="preserve">findings from 2015-16 </w:t>
            </w:r>
            <w:r w:rsidR="009D3ABB">
              <w:rPr>
                <w:rFonts w:eastAsia="Calibri" w:cs="Times New Roman"/>
              </w:rPr>
              <w:t xml:space="preserve">showed </w:t>
            </w:r>
            <w:r w:rsidRPr="00DA1904">
              <w:rPr>
                <w:rFonts w:eastAsia="Calibri" w:cs="Times New Roman"/>
              </w:rPr>
              <w:t>HIV prevalence among males who inject drugs</w:t>
            </w:r>
            <w:r w:rsidR="000B10A4">
              <w:rPr>
                <w:rFonts w:eastAsia="Calibri" w:cs="Times New Roman"/>
              </w:rPr>
              <w:t xml:space="preserve"> (MWID)</w:t>
            </w:r>
            <w:r w:rsidRPr="00DA1904">
              <w:rPr>
                <w:rFonts w:eastAsia="Calibri" w:cs="Times New Roman"/>
              </w:rPr>
              <w:t xml:space="preserve"> at 22% in Dhaka city, </w:t>
            </w:r>
            <w:r w:rsidR="000B10A4">
              <w:rPr>
                <w:rFonts w:eastAsia="Calibri" w:cs="Times New Roman"/>
              </w:rPr>
              <w:t>which is</w:t>
            </w:r>
            <w:r w:rsidRPr="00DA1904">
              <w:rPr>
                <w:rFonts w:eastAsia="Calibri" w:cs="Times New Roman"/>
              </w:rPr>
              <w:t xml:space="preserve"> 27% prevalence in a specific l pocket of Dhaka</w:t>
            </w:r>
            <w:r w:rsidR="000B10A4">
              <w:rPr>
                <w:rFonts w:eastAsia="Calibri" w:cs="Times New Roman"/>
              </w:rPr>
              <w:t xml:space="preserve"> city among the same group. </w:t>
            </w:r>
            <w:r w:rsidRPr="00DA1904">
              <w:rPr>
                <w:rFonts w:eastAsia="Calibri" w:cs="Times New Roman"/>
              </w:rPr>
              <w:t>Among the women who inject drugs</w:t>
            </w:r>
            <w:r w:rsidR="000B10A4">
              <w:rPr>
                <w:rFonts w:eastAsia="Calibri" w:cs="Times New Roman"/>
              </w:rPr>
              <w:t xml:space="preserve"> (WWID) </w:t>
            </w:r>
            <w:r w:rsidRPr="00DA1904">
              <w:rPr>
                <w:rFonts w:eastAsia="Calibri" w:cs="Times New Roman"/>
              </w:rPr>
              <w:t>HIV prevalence was 5% in Dhaka.</w:t>
            </w:r>
            <w:r w:rsidRPr="00DA1904">
              <w:rPr>
                <w:rFonts w:eastAsia="Arial" w:cs="Arial"/>
              </w:rPr>
              <w:t xml:space="preserve"> In </w:t>
            </w:r>
            <w:r w:rsidR="000E666D">
              <w:rPr>
                <w:rFonts w:eastAsia="Arial" w:cs="Arial"/>
              </w:rPr>
              <w:t xml:space="preserve">remaining </w:t>
            </w:r>
            <w:r w:rsidRPr="00DA1904">
              <w:rPr>
                <w:rFonts w:eastAsia="Arial" w:cs="Arial"/>
              </w:rPr>
              <w:t>Dhaka, HIV prevalence was 8.9% among MWID [7, page 120]. HIV prevalence among female sex workers (FSW), men who have sex with men (MSM), and male sex worker (MSW) was less than 1% among each. Among the transgender (</w:t>
            </w:r>
            <w:r w:rsidRPr="00DA1904">
              <w:rPr>
                <w:rFonts w:eastAsia="Arial" w:cs="Arial"/>
                <w:i/>
                <w:iCs/>
              </w:rPr>
              <w:t>hijra</w:t>
            </w:r>
            <w:r w:rsidRPr="00DA1904">
              <w:rPr>
                <w:rFonts w:eastAsia="Arial" w:cs="Arial"/>
              </w:rPr>
              <w:t xml:space="preserve">), 46 were sampled in Hili, a </w:t>
            </w:r>
            <w:r w:rsidR="000E666D">
              <w:rPr>
                <w:rFonts w:eastAsia="Arial" w:cs="Arial"/>
              </w:rPr>
              <w:t xml:space="preserve">small </w:t>
            </w:r>
            <w:r w:rsidRPr="00DA1904">
              <w:rPr>
                <w:rFonts w:eastAsia="Arial" w:cs="Arial"/>
              </w:rPr>
              <w:t xml:space="preserve">northern port bordering with India, and two were found positive for HIV (4.3%); in Dhaka 0.9% were positive [7, page 139, 8 Page 11]. From 1989 to October 2019, a total of 7,374 HIV positive cases were detected; the estimated number is 14,000 [14, Slide # 4; 16, page 142-143, 156-157]. In 2019 a total of 919 new cases were detected till October (including 105 Forcibly Displaced Myanmar Nationals. Among them, most were from Dhaka (381) followed by Chattogram (203), Khulna (90) and Sylhet (59).  PWID, MSM and MSW, FSW and </w:t>
            </w:r>
            <w:r w:rsidRPr="00DA1904">
              <w:rPr>
                <w:rFonts w:eastAsia="Arial" w:cs="Arial"/>
                <w:i/>
              </w:rPr>
              <w:t>hijra</w:t>
            </w:r>
            <w:r w:rsidRPr="00DA1904">
              <w:rPr>
                <w:rFonts w:eastAsia="Arial" w:cs="Arial"/>
              </w:rPr>
              <w:t xml:space="preserve"> constitute 24%, 3%, 2% and 1% of HIV infections, respectively. [14, Slide #7, 8,10,18]. Figure-1 shows the trends of HIV case detection (1989-2019). Recent data reveals, 74.42% of cases are among those of 25-49 years, most of whom are sexually active; 6.5% were among children (0-18 years)</w:t>
            </w:r>
            <w:r w:rsidR="009D3ABB">
              <w:rPr>
                <w:rFonts w:eastAsia="Arial" w:cs="Arial"/>
              </w:rPr>
              <w:t xml:space="preserve"> </w:t>
            </w:r>
            <w:r w:rsidRPr="00DA1904">
              <w:rPr>
                <w:rFonts w:eastAsia="Arial" w:cs="Arial"/>
              </w:rPr>
              <w:t xml:space="preserve">[2, page 3]. About 74% of new infections are male, 25% female, and 1% TG [14, slide # 12, 11]. The size estimation of KPs in 2015-2016 and the number of </w:t>
            </w:r>
            <w:r w:rsidRPr="00DA1904">
              <w:rPr>
                <w:rFonts w:eastAsia="Arial" w:cs="Arial"/>
              </w:rPr>
              <w:lastRenderedPageBreak/>
              <w:t xml:space="preserve">identified people living with HIV (PLHIV) depict a geographical concentration in Dhaka and 22 other districts [15, page 28-29]. Detected HIV cases are screened for TB (tuberculosis).  In 2019, 27 PLHIV had TB-HIV co-infection; 26 were put on TB treatment [12, Slide #16]. In 2019, a total of 51 HIV positive pregnant women were enrolled for Prevention of Mother-to-Child Transmission (PMTCT). Among them, total live birth was 47, and 2 were born with HIV [14, slide #s16, 17]. </w:t>
            </w:r>
          </w:p>
          <w:p w14:paraId="07ADD431" w14:textId="4303ED2C" w:rsidR="00DA1904" w:rsidRPr="00DA1904" w:rsidRDefault="00DA1904" w:rsidP="00DA1904">
            <w:pPr>
              <w:spacing w:after="20" w:line="252" w:lineRule="auto"/>
              <w:jc w:val="both"/>
              <w:rPr>
                <w:rFonts w:eastAsia="Arial" w:cs="Arial"/>
                <w:b/>
                <w:bCs/>
              </w:rPr>
            </w:pPr>
            <w:r w:rsidRPr="00DA1904">
              <w:rPr>
                <w:rFonts w:eastAsia="Arial" w:cs="Arial"/>
                <w:b/>
                <w:bCs/>
              </w:rPr>
              <w:t>Disease Specific</w:t>
            </w:r>
            <w:r w:rsidRPr="00DA1904">
              <w:rPr>
                <w:rFonts w:eastAsia="Arial" w:cs="Arial"/>
              </w:rPr>
              <w:t xml:space="preserve"> </w:t>
            </w:r>
            <w:r w:rsidRPr="00DA1904">
              <w:rPr>
                <w:rFonts w:eastAsia="Arial" w:cs="Arial"/>
                <w:b/>
                <w:bCs/>
              </w:rPr>
              <w:t xml:space="preserve">Information and its Linkages with Health Systems </w:t>
            </w:r>
          </w:p>
          <w:p w14:paraId="6AFFBF58" w14:textId="0424EE41" w:rsidR="00EB5F9F" w:rsidRDefault="00623DC0" w:rsidP="00DA1904">
            <w:pPr>
              <w:spacing w:after="20" w:line="252" w:lineRule="auto"/>
              <w:jc w:val="both"/>
              <w:rPr>
                <w:rFonts w:eastAsia="Arial" w:cs="Arial"/>
              </w:rPr>
            </w:pPr>
            <w:r w:rsidRPr="00DA1904">
              <w:rPr>
                <w:rFonts w:eastAsia="Calibri" w:cs="Times New Roman"/>
                <w:noProof/>
              </w:rPr>
              <mc:AlternateContent>
                <mc:Choice Requires="wps">
                  <w:drawing>
                    <wp:anchor distT="0" distB="0" distL="114300" distR="114300" simplePos="0" relativeHeight="251685888" behindDoc="0" locked="0" layoutInCell="1" allowOverlap="1" wp14:anchorId="38E88B00" wp14:editId="269420AF">
                      <wp:simplePos x="0" y="0"/>
                      <wp:positionH relativeFrom="margin">
                        <wp:posOffset>3611245</wp:posOffset>
                      </wp:positionH>
                      <wp:positionV relativeFrom="paragraph">
                        <wp:posOffset>2149475</wp:posOffset>
                      </wp:positionV>
                      <wp:extent cx="2922270" cy="841375"/>
                      <wp:effectExtent l="0" t="0" r="11430" b="158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841375"/>
                              </a:xfrm>
                              <a:prstGeom prst="rect">
                                <a:avLst/>
                              </a:prstGeom>
                              <a:solidFill>
                                <a:srgbClr val="FFFFFF"/>
                              </a:solidFill>
                              <a:ln w="6350">
                                <a:solidFill>
                                  <a:srgbClr val="000000"/>
                                </a:solidFill>
                                <a:miter lim="800000"/>
                                <a:headEnd/>
                                <a:tailEnd/>
                              </a:ln>
                            </wps:spPr>
                            <wps:txbx>
                              <w:txbxContent>
                                <w:p w14:paraId="66FA7C07" w14:textId="77777777" w:rsidR="009B0847" w:rsidRPr="00DD59B3" w:rsidRDefault="009B0847" w:rsidP="00DA1904">
                                  <w:pPr>
                                    <w:pStyle w:val="Caption"/>
                                    <w:keepNext/>
                                    <w:jc w:val="center"/>
                                    <w:rPr>
                                      <w:rFonts w:cs="Arial"/>
                                      <w:b/>
                                      <w:bCs/>
                                      <w:i w:val="0"/>
                                      <w:iCs w:val="0"/>
                                      <w:color w:val="auto"/>
                                      <w:sz w:val="22"/>
                                      <w:szCs w:val="22"/>
                                    </w:rPr>
                                  </w:pPr>
                                  <w:r w:rsidRPr="00DD59B3">
                                    <w:rPr>
                                      <w:rFonts w:cs="Arial"/>
                                      <w:b/>
                                      <w:bCs/>
                                      <w:i w:val="0"/>
                                      <w:iCs w:val="0"/>
                                      <w:color w:val="auto"/>
                                      <w:sz w:val="22"/>
                                      <w:szCs w:val="22"/>
                                    </w:rPr>
                                    <w:t xml:space="preserve">Table </w:t>
                                  </w:r>
                                  <w:r w:rsidRPr="00DD59B3">
                                    <w:rPr>
                                      <w:rFonts w:cs="Arial"/>
                                      <w:b/>
                                      <w:bCs/>
                                      <w:i w:val="0"/>
                                      <w:iCs w:val="0"/>
                                      <w:color w:val="auto"/>
                                      <w:sz w:val="22"/>
                                      <w:szCs w:val="22"/>
                                    </w:rPr>
                                    <w:fldChar w:fldCharType="begin"/>
                                  </w:r>
                                  <w:r w:rsidRPr="00DD59B3">
                                    <w:rPr>
                                      <w:rFonts w:cs="Arial"/>
                                      <w:b/>
                                      <w:bCs/>
                                      <w:i w:val="0"/>
                                      <w:iCs w:val="0"/>
                                      <w:color w:val="auto"/>
                                      <w:sz w:val="22"/>
                                      <w:szCs w:val="22"/>
                                    </w:rPr>
                                    <w:instrText xml:space="preserve"> SEQ Table \* ARABIC </w:instrText>
                                  </w:r>
                                  <w:r w:rsidRPr="00DD59B3">
                                    <w:rPr>
                                      <w:rFonts w:cs="Arial"/>
                                      <w:b/>
                                      <w:bCs/>
                                      <w:i w:val="0"/>
                                      <w:iCs w:val="0"/>
                                      <w:color w:val="auto"/>
                                      <w:sz w:val="22"/>
                                      <w:szCs w:val="22"/>
                                    </w:rPr>
                                    <w:fldChar w:fldCharType="separate"/>
                                  </w:r>
                                  <w:r w:rsidRPr="00DD59B3">
                                    <w:rPr>
                                      <w:rFonts w:cs="Arial"/>
                                      <w:b/>
                                      <w:bCs/>
                                      <w:i w:val="0"/>
                                      <w:iCs w:val="0"/>
                                      <w:noProof/>
                                      <w:color w:val="auto"/>
                                      <w:sz w:val="22"/>
                                      <w:szCs w:val="22"/>
                                    </w:rPr>
                                    <w:t>1</w:t>
                                  </w:r>
                                  <w:r w:rsidRPr="00DD59B3">
                                    <w:rPr>
                                      <w:rFonts w:cs="Arial"/>
                                      <w:b/>
                                      <w:bCs/>
                                      <w:i w:val="0"/>
                                      <w:iCs w:val="0"/>
                                      <w:color w:val="auto"/>
                                      <w:sz w:val="22"/>
                                      <w:szCs w:val="22"/>
                                    </w:rPr>
                                    <w:fldChar w:fldCharType="end"/>
                                  </w:r>
                                  <w:r w:rsidRPr="00DD59B3">
                                    <w:rPr>
                                      <w:rFonts w:cs="Arial"/>
                                      <w:b/>
                                      <w:bCs/>
                                      <w:i w:val="0"/>
                                      <w:iCs w:val="0"/>
                                      <w:color w:val="auto"/>
                                      <w:sz w:val="22"/>
                                      <w:szCs w:val="22"/>
                                    </w:rPr>
                                    <w:t>-Key Population</w:t>
                                  </w:r>
                                </w:p>
                                <w:tbl>
                                  <w:tblPr>
                                    <w:tblStyle w:val="GridTable4-Accent5"/>
                                    <w:tblW w:w="4708" w:type="dxa"/>
                                    <w:jc w:val="center"/>
                                    <w:tblLook w:val="04A0" w:firstRow="1" w:lastRow="0" w:firstColumn="1" w:lastColumn="0" w:noHBand="0" w:noVBand="1"/>
                                  </w:tblPr>
                                  <w:tblGrid>
                                    <w:gridCol w:w="1016"/>
                                    <w:gridCol w:w="893"/>
                                    <w:gridCol w:w="1017"/>
                                    <w:gridCol w:w="893"/>
                                    <w:gridCol w:w="889"/>
                                  </w:tblGrid>
                                  <w:tr w:rsidR="009B0847" w:rsidRPr="006B4A95" w14:paraId="30D0B0A7" w14:textId="77777777" w:rsidTr="00DA1904">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0" w:type="auto"/>
                                      </w:tcPr>
                                      <w:p w14:paraId="327510E1" w14:textId="77777777" w:rsidR="009B0847" w:rsidRPr="00B227F3" w:rsidRDefault="009B0847" w:rsidP="00E4452E">
                                        <w:pPr>
                                          <w:jc w:val="center"/>
                                          <w:rPr>
                                            <w:caps/>
                                          </w:rPr>
                                        </w:pPr>
                                        <w:r w:rsidRPr="00B227F3">
                                          <w:rPr>
                                            <w:caps/>
                                          </w:rPr>
                                          <w:t>FSW</w:t>
                                        </w:r>
                                      </w:p>
                                    </w:tc>
                                    <w:tc>
                                      <w:tcPr>
                                        <w:tcW w:w="0" w:type="auto"/>
                                      </w:tcPr>
                                      <w:p w14:paraId="501556A3" w14:textId="77777777" w:rsidR="009B0847" w:rsidRPr="00B227F3" w:rsidRDefault="009B0847" w:rsidP="00E4452E">
                                        <w:pPr>
                                          <w:jc w:val="center"/>
                                          <w:cnfStyle w:val="100000000000" w:firstRow="1" w:lastRow="0" w:firstColumn="0" w:lastColumn="0" w:oddVBand="0" w:evenVBand="0" w:oddHBand="0" w:evenHBand="0" w:firstRowFirstColumn="0" w:firstRowLastColumn="0" w:lastRowFirstColumn="0" w:lastRowLastColumn="0"/>
                                          <w:rPr>
                                            <w:caps/>
                                          </w:rPr>
                                        </w:pPr>
                                        <w:r w:rsidRPr="00B227F3">
                                          <w:rPr>
                                            <w:caps/>
                                          </w:rPr>
                                          <w:t>PWID</w:t>
                                        </w:r>
                                      </w:p>
                                    </w:tc>
                                    <w:tc>
                                      <w:tcPr>
                                        <w:tcW w:w="0" w:type="auto"/>
                                      </w:tcPr>
                                      <w:p w14:paraId="5DA98F51" w14:textId="77777777" w:rsidR="009B0847" w:rsidRPr="00B227F3" w:rsidRDefault="009B0847" w:rsidP="00E4452E">
                                        <w:pPr>
                                          <w:jc w:val="center"/>
                                          <w:cnfStyle w:val="100000000000" w:firstRow="1" w:lastRow="0" w:firstColumn="0" w:lastColumn="0" w:oddVBand="0" w:evenVBand="0" w:oddHBand="0" w:evenHBand="0" w:firstRowFirstColumn="0" w:firstRowLastColumn="0" w:lastRowFirstColumn="0" w:lastRowLastColumn="0"/>
                                          <w:rPr>
                                            <w:caps/>
                                          </w:rPr>
                                        </w:pPr>
                                        <w:r w:rsidRPr="00B227F3">
                                          <w:rPr>
                                            <w:caps/>
                                          </w:rPr>
                                          <w:t>MSM</w:t>
                                        </w:r>
                                      </w:p>
                                    </w:tc>
                                    <w:tc>
                                      <w:tcPr>
                                        <w:tcW w:w="0" w:type="auto"/>
                                      </w:tcPr>
                                      <w:p w14:paraId="4CEC0A0A" w14:textId="77777777" w:rsidR="009B0847" w:rsidRPr="00B227F3" w:rsidRDefault="009B0847" w:rsidP="00E4452E">
                                        <w:pPr>
                                          <w:jc w:val="center"/>
                                          <w:cnfStyle w:val="100000000000" w:firstRow="1" w:lastRow="0" w:firstColumn="0" w:lastColumn="0" w:oddVBand="0" w:evenVBand="0" w:oddHBand="0" w:evenHBand="0" w:firstRowFirstColumn="0" w:firstRowLastColumn="0" w:lastRowFirstColumn="0" w:lastRowLastColumn="0"/>
                                          <w:rPr>
                                            <w:caps/>
                                          </w:rPr>
                                        </w:pPr>
                                        <w:r w:rsidRPr="00B227F3">
                                          <w:rPr>
                                            <w:caps/>
                                          </w:rPr>
                                          <w:t>MSW</w:t>
                                        </w:r>
                                      </w:p>
                                    </w:tc>
                                    <w:tc>
                                      <w:tcPr>
                                        <w:tcW w:w="737" w:type="dxa"/>
                                      </w:tcPr>
                                      <w:p w14:paraId="164A05E4" w14:textId="77777777" w:rsidR="009B0847" w:rsidRPr="00B227F3" w:rsidRDefault="009B0847" w:rsidP="00E4452E">
                                        <w:pPr>
                                          <w:jc w:val="center"/>
                                          <w:cnfStyle w:val="100000000000" w:firstRow="1" w:lastRow="0" w:firstColumn="0" w:lastColumn="0" w:oddVBand="0" w:evenVBand="0" w:oddHBand="0" w:evenHBand="0" w:firstRowFirstColumn="0" w:firstRowLastColumn="0" w:lastRowFirstColumn="0" w:lastRowLastColumn="0"/>
                                          <w:rPr>
                                            <w:caps/>
                                          </w:rPr>
                                        </w:pPr>
                                        <w:r w:rsidRPr="00B227F3">
                                          <w:rPr>
                                            <w:caps/>
                                          </w:rPr>
                                          <w:t>TG</w:t>
                                        </w:r>
                                      </w:p>
                                    </w:tc>
                                  </w:tr>
                                  <w:tr w:rsidR="009B0847" w:rsidRPr="006B4A95" w14:paraId="619F09A4" w14:textId="77777777" w:rsidTr="00DA19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15D2AE" w14:textId="77777777" w:rsidR="009B0847" w:rsidRPr="00820F31" w:rsidRDefault="009B0847" w:rsidP="00E4452E">
                                        <w:pPr>
                                          <w:rPr>
                                            <w:b w:val="0"/>
                                            <w:bCs w:val="0"/>
                                            <w:caps/>
                                          </w:rPr>
                                        </w:pPr>
                                        <w:r w:rsidRPr="00820F31">
                                          <w:rPr>
                                            <w:b w:val="0"/>
                                            <w:bCs w:val="0"/>
                                            <w:caps/>
                                          </w:rPr>
                                          <w:t>102,260</w:t>
                                        </w:r>
                                      </w:p>
                                    </w:tc>
                                    <w:tc>
                                      <w:tcPr>
                                        <w:tcW w:w="0" w:type="auto"/>
                                      </w:tcPr>
                                      <w:p w14:paraId="4D403926" w14:textId="77777777" w:rsidR="009B0847" w:rsidRPr="00820F31" w:rsidRDefault="009B0847" w:rsidP="00E4452E">
                                        <w:pPr>
                                          <w:cnfStyle w:val="000000100000" w:firstRow="0" w:lastRow="0" w:firstColumn="0" w:lastColumn="0" w:oddVBand="0" w:evenVBand="0" w:oddHBand="1" w:evenHBand="0" w:firstRowFirstColumn="0" w:firstRowLastColumn="0" w:lastRowFirstColumn="0" w:lastRowLastColumn="0"/>
                                          <w:rPr>
                                            <w:caps/>
                                          </w:rPr>
                                        </w:pPr>
                                        <w:r w:rsidRPr="00820F31">
                                          <w:rPr>
                                            <w:caps/>
                                          </w:rPr>
                                          <w:t>33,067</w:t>
                                        </w:r>
                                      </w:p>
                                    </w:tc>
                                    <w:tc>
                                      <w:tcPr>
                                        <w:tcW w:w="0" w:type="auto"/>
                                      </w:tcPr>
                                      <w:p w14:paraId="33DD3BC6" w14:textId="77777777" w:rsidR="009B0847" w:rsidRPr="00820F31" w:rsidRDefault="009B0847" w:rsidP="00E4452E">
                                        <w:pPr>
                                          <w:cnfStyle w:val="000000100000" w:firstRow="0" w:lastRow="0" w:firstColumn="0" w:lastColumn="0" w:oddVBand="0" w:evenVBand="0" w:oddHBand="1" w:evenHBand="0" w:firstRowFirstColumn="0" w:firstRowLastColumn="0" w:lastRowFirstColumn="0" w:lastRowLastColumn="0"/>
                                          <w:rPr>
                                            <w:caps/>
                                          </w:rPr>
                                        </w:pPr>
                                        <w:r w:rsidRPr="00820F31">
                                          <w:rPr>
                                            <w:caps/>
                                          </w:rPr>
                                          <w:t>101,695</w:t>
                                        </w:r>
                                      </w:p>
                                    </w:tc>
                                    <w:tc>
                                      <w:tcPr>
                                        <w:tcW w:w="0" w:type="auto"/>
                                      </w:tcPr>
                                      <w:p w14:paraId="494AF405" w14:textId="77777777" w:rsidR="009B0847" w:rsidRPr="00820F31" w:rsidRDefault="009B0847" w:rsidP="00E4452E">
                                        <w:pPr>
                                          <w:cnfStyle w:val="000000100000" w:firstRow="0" w:lastRow="0" w:firstColumn="0" w:lastColumn="0" w:oddVBand="0" w:evenVBand="0" w:oddHBand="1" w:evenHBand="0" w:firstRowFirstColumn="0" w:firstRowLastColumn="0" w:lastRowFirstColumn="0" w:lastRowLastColumn="0"/>
                                          <w:rPr>
                                            <w:caps/>
                                          </w:rPr>
                                        </w:pPr>
                                        <w:r w:rsidRPr="00820F31">
                                          <w:rPr>
                                            <w:caps/>
                                          </w:rPr>
                                          <w:t>29,777</w:t>
                                        </w:r>
                                      </w:p>
                                    </w:tc>
                                    <w:tc>
                                      <w:tcPr>
                                        <w:tcW w:w="737" w:type="dxa"/>
                                      </w:tcPr>
                                      <w:p w14:paraId="5B803C88" w14:textId="77777777" w:rsidR="009B0847" w:rsidRPr="00820F31" w:rsidRDefault="009B0847" w:rsidP="00E4452E">
                                        <w:pPr>
                                          <w:cnfStyle w:val="000000100000" w:firstRow="0" w:lastRow="0" w:firstColumn="0" w:lastColumn="0" w:oddVBand="0" w:evenVBand="0" w:oddHBand="1" w:evenHBand="0" w:firstRowFirstColumn="0" w:firstRowLastColumn="0" w:lastRowFirstColumn="0" w:lastRowLastColumn="0"/>
                                          <w:rPr>
                                            <w:caps/>
                                          </w:rPr>
                                        </w:pPr>
                                        <w:r w:rsidRPr="00820F31">
                                          <w:rPr>
                                            <w:caps/>
                                          </w:rPr>
                                          <w:t>10</w:t>
                                        </w:r>
                                        <w:r>
                                          <w:rPr>
                                            <w:caps/>
                                          </w:rPr>
                                          <w:t>,</w:t>
                                        </w:r>
                                        <w:r w:rsidRPr="00820F31">
                                          <w:rPr>
                                            <w:caps/>
                                          </w:rPr>
                                          <w:t>199</w:t>
                                        </w:r>
                                      </w:p>
                                    </w:tc>
                                  </w:tr>
                                </w:tbl>
                                <w:p w14:paraId="2D41C96C" w14:textId="77777777" w:rsidR="009B0847" w:rsidRPr="006B4A95" w:rsidRDefault="009B0847" w:rsidP="00DA1904">
                                  <w:pPr>
                                    <w:rPr>
                                      <w:caps/>
                                      <w:color w:val="4472C4"/>
                                      <w:sz w:val="26"/>
                                      <w:szCs w:val="26"/>
                                    </w:rPr>
                                  </w:pPr>
                                </w:p>
                              </w:txbxContent>
                            </wps:txbx>
                            <wps:bodyPr rot="0" vert="horz" wrap="square" lIns="91440" tIns="9144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E88B00" id="_x0000_t202" coordsize="21600,21600" o:spt="202" path="m,l,21600r21600,l21600,xe">
                      <v:stroke joinstyle="miter"/>
                      <v:path gradientshapeok="t" o:connecttype="rect"/>
                    </v:shapetype>
                    <v:shape id="Text Box 12" o:spid="_x0000_s1027" type="#_x0000_t202" style="position:absolute;left:0;text-align:left;margin-left:284.35pt;margin-top:169.25pt;width:230.1pt;height:6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" strokeweight=".5pt">
                      <v:textbox inset=",7.2pt,,0">
                        <w:txbxContent>
                          <w:p w14:paraId="66FA7C07" w14:textId="77777777" w:rsidR="009B0847" w:rsidRPr="00DD59B3" w:rsidRDefault="009B0847" w:rsidP="00DA1904">
                            <w:pPr>
                              <w:pStyle w:val="Caption"/>
                              <w:keepNext/>
                              <w:jc w:val="center"/>
                              <w:rPr>
                                <w:rFonts w:cs="Arial"/>
                                <w:b/>
                                <w:bCs/>
                                <w:i w:val="0"/>
                                <w:iCs w:val="0"/>
                                <w:color w:val="auto"/>
                                <w:sz w:val="22"/>
                                <w:szCs w:val="22"/>
                              </w:rPr>
                            </w:pPr>
                            <w:r w:rsidRPr="00DD59B3">
                              <w:rPr>
                                <w:rFonts w:cs="Arial"/>
                                <w:b/>
                                <w:bCs/>
                                <w:i w:val="0"/>
                                <w:iCs w:val="0"/>
                                <w:color w:val="auto"/>
                                <w:sz w:val="22"/>
                                <w:szCs w:val="22"/>
                              </w:rPr>
                              <w:t xml:space="preserve">Table </w:t>
                            </w:r>
                            <w:r w:rsidRPr="00DD59B3">
                              <w:rPr>
                                <w:rFonts w:cs="Arial"/>
                                <w:b/>
                                <w:bCs/>
                                <w:i w:val="0"/>
                                <w:iCs w:val="0"/>
                                <w:color w:val="auto"/>
                                <w:sz w:val="22"/>
                                <w:szCs w:val="22"/>
                              </w:rPr>
                              <w:fldChar w:fldCharType="begin"/>
                            </w:r>
                            <w:r w:rsidRPr="00DD59B3">
                              <w:rPr>
                                <w:rFonts w:cs="Arial"/>
                                <w:b/>
                                <w:bCs/>
                                <w:i w:val="0"/>
                                <w:iCs w:val="0"/>
                                <w:color w:val="auto"/>
                                <w:sz w:val="22"/>
                                <w:szCs w:val="22"/>
                              </w:rPr>
                              <w:instrText xml:space="preserve"> SEQ Table \* ARABIC </w:instrText>
                            </w:r>
                            <w:r w:rsidRPr="00DD59B3">
                              <w:rPr>
                                <w:rFonts w:cs="Arial"/>
                                <w:b/>
                                <w:bCs/>
                                <w:i w:val="0"/>
                                <w:iCs w:val="0"/>
                                <w:color w:val="auto"/>
                                <w:sz w:val="22"/>
                                <w:szCs w:val="22"/>
                              </w:rPr>
                              <w:fldChar w:fldCharType="separate"/>
                            </w:r>
                            <w:r w:rsidRPr="00DD59B3">
                              <w:rPr>
                                <w:rFonts w:cs="Arial"/>
                                <w:b/>
                                <w:bCs/>
                                <w:i w:val="0"/>
                                <w:iCs w:val="0"/>
                                <w:noProof/>
                                <w:color w:val="auto"/>
                                <w:sz w:val="22"/>
                                <w:szCs w:val="22"/>
                              </w:rPr>
                              <w:t>1</w:t>
                            </w:r>
                            <w:r w:rsidRPr="00DD59B3">
                              <w:rPr>
                                <w:rFonts w:cs="Arial"/>
                                <w:b/>
                                <w:bCs/>
                                <w:i w:val="0"/>
                                <w:iCs w:val="0"/>
                                <w:color w:val="auto"/>
                                <w:sz w:val="22"/>
                                <w:szCs w:val="22"/>
                              </w:rPr>
                              <w:fldChar w:fldCharType="end"/>
                            </w:r>
                            <w:r w:rsidRPr="00DD59B3">
                              <w:rPr>
                                <w:rFonts w:cs="Arial"/>
                                <w:b/>
                                <w:bCs/>
                                <w:i w:val="0"/>
                                <w:iCs w:val="0"/>
                                <w:color w:val="auto"/>
                                <w:sz w:val="22"/>
                                <w:szCs w:val="22"/>
                              </w:rPr>
                              <w:t>-Key Population</w:t>
                            </w:r>
                          </w:p>
                          <w:tbl>
                            <w:tblPr>
                              <w:tblStyle w:val="GridTable4-Accent5"/>
                              <w:tblW w:w="4708" w:type="dxa"/>
                              <w:jc w:val="center"/>
                              <w:tblLook w:val="04A0" w:firstRow="1" w:lastRow="0" w:firstColumn="1" w:lastColumn="0" w:noHBand="0" w:noVBand="1"/>
                            </w:tblPr>
                            <w:tblGrid>
                              <w:gridCol w:w="1016"/>
                              <w:gridCol w:w="893"/>
                              <w:gridCol w:w="1017"/>
                              <w:gridCol w:w="893"/>
                              <w:gridCol w:w="889"/>
                            </w:tblGrid>
                            <w:tr w:rsidR="009B0847" w:rsidRPr="006B4A95" w14:paraId="30D0B0A7" w14:textId="77777777" w:rsidTr="00DA1904">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0" w:type="auto"/>
                                </w:tcPr>
                                <w:p w14:paraId="327510E1" w14:textId="77777777" w:rsidR="009B0847" w:rsidRPr="00B227F3" w:rsidRDefault="009B0847" w:rsidP="00E4452E">
                                  <w:pPr>
                                    <w:jc w:val="center"/>
                                    <w:rPr>
                                      <w:caps/>
                                    </w:rPr>
                                  </w:pPr>
                                  <w:r w:rsidRPr="00B227F3">
                                    <w:rPr>
                                      <w:caps/>
                                    </w:rPr>
                                    <w:t>FSW</w:t>
                                  </w:r>
                                </w:p>
                              </w:tc>
                              <w:tc>
                                <w:tcPr>
                                  <w:tcW w:w="0" w:type="auto"/>
                                </w:tcPr>
                                <w:p w14:paraId="501556A3" w14:textId="77777777" w:rsidR="009B0847" w:rsidRPr="00B227F3" w:rsidRDefault="009B0847" w:rsidP="00E4452E">
                                  <w:pPr>
                                    <w:jc w:val="center"/>
                                    <w:cnfStyle w:val="100000000000" w:firstRow="1" w:lastRow="0" w:firstColumn="0" w:lastColumn="0" w:oddVBand="0" w:evenVBand="0" w:oddHBand="0" w:evenHBand="0" w:firstRowFirstColumn="0" w:firstRowLastColumn="0" w:lastRowFirstColumn="0" w:lastRowLastColumn="0"/>
                                    <w:rPr>
                                      <w:caps/>
                                    </w:rPr>
                                  </w:pPr>
                                  <w:r w:rsidRPr="00B227F3">
                                    <w:rPr>
                                      <w:caps/>
                                    </w:rPr>
                                    <w:t>PWID</w:t>
                                  </w:r>
                                </w:p>
                              </w:tc>
                              <w:tc>
                                <w:tcPr>
                                  <w:tcW w:w="0" w:type="auto"/>
                                </w:tcPr>
                                <w:p w14:paraId="5DA98F51" w14:textId="77777777" w:rsidR="009B0847" w:rsidRPr="00B227F3" w:rsidRDefault="009B0847" w:rsidP="00E4452E">
                                  <w:pPr>
                                    <w:jc w:val="center"/>
                                    <w:cnfStyle w:val="100000000000" w:firstRow="1" w:lastRow="0" w:firstColumn="0" w:lastColumn="0" w:oddVBand="0" w:evenVBand="0" w:oddHBand="0" w:evenHBand="0" w:firstRowFirstColumn="0" w:firstRowLastColumn="0" w:lastRowFirstColumn="0" w:lastRowLastColumn="0"/>
                                    <w:rPr>
                                      <w:caps/>
                                    </w:rPr>
                                  </w:pPr>
                                  <w:r w:rsidRPr="00B227F3">
                                    <w:rPr>
                                      <w:caps/>
                                    </w:rPr>
                                    <w:t>MSM</w:t>
                                  </w:r>
                                </w:p>
                              </w:tc>
                              <w:tc>
                                <w:tcPr>
                                  <w:tcW w:w="0" w:type="auto"/>
                                </w:tcPr>
                                <w:p w14:paraId="4CEC0A0A" w14:textId="77777777" w:rsidR="009B0847" w:rsidRPr="00B227F3" w:rsidRDefault="009B0847" w:rsidP="00E4452E">
                                  <w:pPr>
                                    <w:jc w:val="center"/>
                                    <w:cnfStyle w:val="100000000000" w:firstRow="1" w:lastRow="0" w:firstColumn="0" w:lastColumn="0" w:oddVBand="0" w:evenVBand="0" w:oddHBand="0" w:evenHBand="0" w:firstRowFirstColumn="0" w:firstRowLastColumn="0" w:lastRowFirstColumn="0" w:lastRowLastColumn="0"/>
                                    <w:rPr>
                                      <w:caps/>
                                    </w:rPr>
                                  </w:pPr>
                                  <w:r w:rsidRPr="00B227F3">
                                    <w:rPr>
                                      <w:caps/>
                                    </w:rPr>
                                    <w:t>MSW</w:t>
                                  </w:r>
                                </w:p>
                              </w:tc>
                              <w:tc>
                                <w:tcPr>
                                  <w:tcW w:w="737" w:type="dxa"/>
                                </w:tcPr>
                                <w:p w14:paraId="164A05E4" w14:textId="77777777" w:rsidR="009B0847" w:rsidRPr="00B227F3" w:rsidRDefault="009B0847" w:rsidP="00E4452E">
                                  <w:pPr>
                                    <w:jc w:val="center"/>
                                    <w:cnfStyle w:val="100000000000" w:firstRow="1" w:lastRow="0" w:firstColumn="0" w:lastColumn="0" w:oddVBand="0" w:evenVBand="0" w:oddHBand="0" w:evenHBand="0" w:firstRowFirstColumn="0" w:firstRowLastColumn="0" w:lastRowFirstColumn="0" w:lastRowLastColumn="0"/>
                                    <w:rPr>
                                      <w:caps/>
                                    </w:rPr>
                                  </w:pPr>
                                  <w:r w:rsidRPr="00B227F3">
                                    <w:rPr>
                                      <w:caps/>
                                    </w:rPr>
                                    <w:t>TG</w:t>
                                  </w:r>
                                </w:p>
                              </w:tc>
                            </w:tr>
                            <w:tr w:rsidR="009B0847" w:rsidRPr="006B4A95" w14:paraId="619F09A4" w14:textId="77777777" w:rsidTr="00DA19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15D2AE" w14:textId="77777777" w:rsidR="009B0847" w:rsidRPr="00820F31" w:rsidRDefault="009B0847" w:rsidP="00E4452E">
                                  <w:pPr>
                                    <w:rPr>
                                      <w:b w:val="0"/>
                                      <w:bCs w:val="0"/>
                                      <w:caps/>
                                    </w:rPr>
                                  </w:pPr>
                                  <w:r w:rsidRPr="00820F31">
                                    <w:rPr>
                                      <w:b w:val="0"/>
                                      <w:bCs w:val="0"/>
                                      <w:caps/>
                                    </w:rPr>
                                    <w:t>102,260</w:t>
                                  </w:r>
                                </w:p>
                              </w:tc>
                              <w:tc>
                                <w:tcPr>
                                  <w:tcW w:w="0" w:type="auto"/>
                                </w:tcPr>
                                <w:p w14:paraId="4D403926" w14:textId="77777777" w:rsidR="009B0847" w:rsidRPr="00820F31" w:rsidRDefault="009B0847" w:rsidP="00E4452E">
                                  <w:pPr>
                                    <w:cnfStyle w:val="000000100000" w:firstRow="0" w:lastRow="0" w:firstColumn="0" w:lastColumn="0" w:oddVBand="0" w:evenVBand="0" w:oddHBand="1" w:evenHBand="0" w:firstRowFirstColumn="0" w:firstRowLastColumn="0" w:lastRowFirstColumn="0" w:lastRowLastColumn="0"/>
                                    <w:rPr>
                                      <w:caps/>
                                    </w:rPr>
                                  </w:pPr>
                                  <w:r w:rsidRPr="00820F31">
                                    <w:rPr>
                                      <w:caps/>
                                    </w:rPr>
                                    <w:t>33,067</w:t>
                                  </w:r>
                                </w:p>
                              </w:tc>
                              <w:tc>
                                <w:tcPr>
                                  <w:tcW w:w="0" w:type="auto"/>
                                </w:tcPr>
                                <w:p w14:paraId="33DD3BC6" w14:textId="77777777" w:rsidR="009B0847" w:rsidRPr="00820F31" w:rsidRDefault="009B0847" w:rsidP="00E4452E">
                                  <w:pPr>
                                    <w:cnfStyle w:val="000000100000" w:firstRow="0" w:lastRow="0" w:firstColumn="0" w:lastColumn="0" w:oddVBand="0" w:evenVBand="0" w:oddHBand="1" w:evenHBand="0" w:firstRowFirstColumn="0" w:firstRowLastColumn="0" w:lastRowFirstColumn="0" w:lastRowLastColumn="0"/>
                                    <w:rPr>
                                      <w:caps/>
                                    </w:rPr>
                                  </w:pPr>
                                  <w:r w:rsidRPr="00820F31">
                                    <w:rPr>
                                      <w:caps/>
                                    </w:rPr>
                                    <w:t>101,695</w:t>
                                  </w:r>
                                </w:p>
                              </w:tc>
                              <w:tc>
                                <w:tcPr>
                                  <w:tcW w:w="0" w:type="auto"/>
                                </w:tcPr>
                                <w:p w14:paraId="494AF405" w14:textId="77777777" w:rsidR="009B0847" w:rsidRPr="00820F31" w:rsidRDefault="009B0847" w:rsidP="00E4452E">
                                  <w:pPr>
                                    <w:cnfStyle w:val="000000100000" w:firstRow="0" w:lastRow="0" w:firstColumn="0" w:lastColumn="0" w:oddVBand="0" w:evenVBand="0" w:oddHBand="1" w:evenHBand="0" w:firstRowFirstColumn="0" w:firstRowLastColumn="0" w:lastRowFirstColumn="0" w:lastRowLastColumn="0"/>
                                    <w:rPr>
                                      <w:caps/>
                                    </w:rPr>
                                  </w:pPr>
                                  <w:r w:rsidRPr="00820F31">
                                    <w:rPr>
                                      <w:caps/>
                                    </w:rPr>
                                    <w:t>29,777</w:t>
                                  </w:r>
                                </w:p>
                              </w:tc>
                              <w:tc>
                                <w:tcPr>
                                  <w:tcW w:w="737" w:type="dxa"/>
                                </w:tcPr>
                                <w:p w14:paraId="5B803C88" w14:textId="77777777" w:rsidR="009B0847" w:rsidRPr="00820F31" w:rsidRDefault="009B0847" w:rsidP="00E4452E">
                                  <w:pPr>
                                    <w:cnfStyle w:val="000000100000" w:firstRow="0" w:lastRow="0" w:firstColumn="0" w:lastColumn="0" w:oddVBand="0" w:evenVBand="0" w:oddHBand="1" w:evenHBand="0" w:firstRowFirstColumn="0" w:firstRowLastColumn="0" w:lastRowFirstColumn="0" w:lastRowLastColumn="0"/>
                                    <w:rPr>
                                      <w:caps/>
                                    </w:rPr>
                                  </w:pPr>
                                  <w:r w:rsidRPr="00820F31">
                                    <w:rPr>
                                      <w:caps/>
                                    </w:rPr>
                                    <w:t>10</w:t>
                                  </w:r>
                                  <w:r>
                                    <w:rPr>
                                      <w:caps/>
                                    </w:rPr>
                                    <w:t>,</w:t>
                                  </w:r>
                                  <w:r w:rsidRPr="00820F31">
                                    <w:rPr>
                                      <w:caps/>
                                    </w:rPr>
                                    <w:t>199</w:t>
                                  </w:r>
                                </w:p>
                              </w:tc>
                            </w:tr>
                          </w:tbl>
                          <w:p w14:paraId="2D41C96C" w14:textId="77777777" w:rsidR="009B0847" w:rsidRPr="006B4A95" w:rsidRDefault="009B0847" w:rsidP="00DA1904">
                            <w:pPr>
                              <w:rPr>
                                <w:caps/>
                                <w:color w:val="4472C4"/>
                                <w:sz w:val="26"/>
                                <w:szCs w:val="26"/>
                              </w:rPr>
                            </w:pPr>
                          </w:p>
                        </w:txbxContent>
                      </v:textbox>
                      <w10:wrap type="square" anchorx="margin"/>
                    </v:shape>
                  </w:pict>
                </mc:Fallback>
              </mc:AlternateContent>
            </w:r>
            <w:r w:rsidR="00DA1904" w:rsidRPr="00DA1904">
              <w:rPr>
                <w:rFonts w:eastAsia="Arial" w:cs="Arial"/>
              </w:rPr>
              <w:t>TB, Leprosy &amp; AIDS/STD Program (TB-L &amp; ASP) is one of the 29 Operational Plans (OP) under the nation’s 4</w:t>
            </w:r>
            <w:r w:rsidR="00DA1904" w:rsidRPr="00DA1904">
              <w:rPr>
                <w:rFonts w:eastAsia="Arial" w:cs="Arial"/>
                <w:vertAlign w:val="superscript"/>
              </w:rPr>
              <w:t xml:space="preserve">th </w:t>
            </w:r>
            <w:r w:rsidR="00DA1904" w:rsidRPr="00DA1904">
              <w:rPr>
                <w:rFonts w:eastAsia="Arial" w:cs="Arial"/>
              </w:rPr>
              <w:t>Health Population Nutrition Sector Program (HPNSP), 2017-2022. It aims to contain HIV transmission and minimize its impact to end AIDS by 2030 [1, page 5]. The national AIDS response in Bangladesh is guided by the 4</w:t>
            </w:r>
            <w:r w:rsidR="00DA1904" w:rsidRPr="00DA1904">
              <w:rPr>
                <w:rFonts w:eastAsia="Arial" w:cs="Arial"/>
                <w:vertAlign w:val="superscript"/>
              </w:rPr>
              <w:t>th</w:t>
            </w:r>
            <w:r w:rsidR="00DA1904" w:rsidRPr="00DA1904">
              <w:rPr>
                <w:rFonts w:eastAsia="Arial" w:cs="Arial"/>
              </w:rPr>
              <w:t xml:space="preserve"> HPNSP, administered by the Ministry of Health and Family Welfare (MOHFW) [5, Page-10, 16]. As per the OP, government provides anti-retroviral (ARV) drugs through 11 public healthcare facilities across the country, and activities are planned for HIV prevention for KPs and migrants; HIV testing; treatment, care and support for PLHIV; Health Management Information System (HMIS); mass awareness; surveillance, surveys, research studies; capacity building; and coordination. It emphasizes referral and linkage to district hospitals [1, page 23]. Prevention for KPs is primarily supported by the Global Fund (GF) and other donors. Non-Governmental Organizations (NGOs), as Principal Recipients (PRs) manage and implement prevention services including HIV testing for KPs. HIV detection is 52.67%; a total of 4,009 PLHIV (till October 2019) received antiretroviral therapy (ART) from the 11 ART and 06 comprehensive Drop-in Centers (CDICs: managed by PR-Save the Children). ART coverage is 65.38% among PLHIV, and viral suppression is 84.60% among those tested [14, slide # 9]. </w:t>
            </w:r>
          </w:p>
          <w:p w14:paraId="3EAD9E21" w14:textId="52F3CF35" w:rsidR="00DA1904" w:rsidRPr="00DA1904" w:rsidRDefault="00DA1904" w:rsidP="00DA1904">
            <w:pPr>
              <w:spacing w:after="20" w:line="252" w:lineRule="auto"/>
              <w:jc w:val="both"/>
              <w:rPr>
                <w:rFonts w:eastAsia="Arial" w:cs="Arial"/>
              </w:rPr>
            </w:pPr>
            <w:r w:rsidRPr="00DA1904">
              <w:rPr>
                <w:rFonts w:eastAsia="Arial" w:cs="Arial"/>
                <w:b/>
                <w:bCs/>
              </w:rPr>
              <w:t>Key Populations</w:t>
            </w:r>
            <w:r w:rsidR="000E666D">
              <w:rPr>
                <w:rFonts w:eastAsia="Arial" w:cs="Arial"/>
                <w:b/>
                <w:bCs/>
              </w:rPr>
              <w:t xml:space="preserve"> (KPs)</w:t>
            </w:r>
            <w:r w:rsidRPr="00DA1904">
              <w:rPr>
                <w:rFonts w:eastAsia="Arial" w:cs="Arial"/>
              </w:rPr>
              <w:t xml:space="preserve">  </w:t>
            </w:r>
          </w:p>
          <w:p w14:paraId="58CB1A0F" w14:textId="6E60F6AC" w:rsidR="00DA1904" w:rsidRPr="00DA1904" w:rsidRDefault="00DA1904" w:rsidP="00DA1904">
            <w:pPr>
              <w:spacing w:after="20" w:line="252" w:lineRule="auto"/>
              <w:jc w:val="both"/>
              <w:rPr>
                <w:rFonts w:eastAsia="Arial" w:cs="Arial"/>
                <w:b/>
                <w:bCs/>
                <w:sz w:val="16"/>
                <w:szCs w:val="16"/>
              </w:rPr>
            </w:pPr>
            <w:r w:rsidRPr="00DA1904">
              <w:rPr>
                <w:rFonts w:eastAsia="Arial" w:cs="Arial"/>
              </w:rPr>
              <w:t>KPs include FSW, MSM, MSW, TG/</w:t>
            </w:r>
            <w:r w:rsidRPr="00DA1904">
              <w:rPr>
                <w:rFonts w:eastAsia="Arial" w:cs="Arial"/>
                <w:i/>
                <w:iCs/>
              </w:rPr>
              <w:t>hijra</w:t>
            </w:r>
            <w:r w:rsidRPr="00DA1904">
              <w:rPr>
                <w:rFonts w:eastAsia="Arial" w:cs="Arial"/>
              </w:rPr>
              <w:t xml:space="preserve"> and people who inject drugs (PWID)</w:t>
            </w:r>
            <w:r w:rsidR="000B10A4">
              <w:rPr>
                <w:rFonts w:eastAsia="Arial" w:cs="Arial"/>
              </w:rPr>
              <w:t xml:space="preserve"> both men and women</w:t>
            </w:r>
            <w:r w:rsidRPr="00DA1904">
              <w:rPr>
                <w:rFonts w:eastAsia="Arial" w:cs="Arial"/>
              </w:rPr>
              <w:t xml:space="preserve">. Their sexual and injecting practices exacerbate their vulnerability to HIV. In 2016, 52.4% and 53.1% of PWID shared (lent or borrowed) their used needles/syringes in the last injection episode or within the past week respectively [7, page xiv]. About 61-79% and 72-81% of the FSW reported using condoms with new and regular clients, respectively [7, page xiv]. Similarly, 46% MSM, 46.5% MSW and 58.9% TG reported never using condoms with their clients and non-transactional sex partners [8, page 130]. The mean age of first sex of the KPs were 15, 15.75, 13.6 and 12.3 years respectively for FSW, MSM, MSW and hijra [8, page 130].  Table 1 shows the higher ranges of estimated KPs reported from the size estimation exercise in 2015-2016 [7, page xv]. </w:t>
            </w:r>
          </w:p>
          <w:p w14:paraId="02B3A13F" w14:textId="77777777" w:rsidR="00DA1904" w:rsidRPr="00DA1904" w:rsidRDefault="00DA1904" w:rsidP="00DA1904">
            <w:pPr>
              <w:spacing w:after="20" w:line="252" w:lineRule="auto"/>
              <w:jc w:val="both"/>
              <w:rPr>
                <w:rFonts w:eastAsia="Arial" w:cs="Arial"/>
                <w:b/>
                <w:bCs/>
              </w:rPr>
            </w:pPr>
            <w:r w:rsidRPr="00DA1904">
              <w:rPr>
                <w:rFonts w:eastAsia="Arial" w:cs="Arial"/>
                <w:b/>
                <w:bCs/>
              </w:rPr>
              <w:t>Disease Strategy</w:t>
            </w:r>
          </w:p>
          <w:p w14:paraId="176FBDF2" w14:textId="52422955" w:rsidR="00DA1904" w:rsidRPr="00DA1904" w:rsidRDefault="00DA1904" w:rsidP="00DA1904">
            <w:pPr>
              <w:spacing w:after="20" w:line="252" w:lineRule="auto"/>
              <w:jc w:val="both"/>
              <w:rPr>
                <w:rFonts w:eastAsia="Arial" w:cs="Arial"/>
                <w:b/>
                <w:bCs/>
                <w:sz w:val="16"/>
                <w:szCs w:val="16"/>
              </w:rPr>
            </w:pPr>
            <w:r w:rsidRPr="00DA1904">
              <w:rPr>
                <w:rFonts w:eastAsia="Arial" w:cs="Arial"/>
              </w:rPr>
              <w:t>The revised 4</w:t>
            </w:r>
            <w:r w:rsidRPr="00DA1904">
              <w:rPr>
                <w:rFonts w:eastAsia="Arial" w:cs="Arial"/>
                <w:vertAlign w:val="superscript"/>
              </w:rPr>
              <w:t>th</w:t>
            </w:r>
            <w:r w:rsidRPr="00DA1904">
              <w:rPr>
                <w:rFonts w:eastAsia="Arial" w:cs="Arial"/>
              </w:rPr>
              <w:t xml:space="preserve"> National Strategic Plan (NSP) 2018-2023 aims to minimize HIV transmission and impact of AIDS by 2030 through: prevention; treatment, care and support; management and coordination; and strategic information. It is based on epidemiological context, 4</w:t>
            </w:r>
            <w:r w:rsidRPr="00DA1904">
              <w:rPr>
                <w:rFonts w:eastAsia="Arial" w:cs="Arial"/>
                <w:vertAlign w:val="superscript"/>
              </w:rPr>
              <w:t>th</w:t>
            </w:r>
            <w:r w:rsidRPr="00DA1904">
              <w:rPr>
                <w:rFonts w:eastAsia="Arial" w:cs="Arial"/>
              </w:rPr>
              <w:t xml:space="preserve"> HPNSP, the previous 4</w:t>
            </w:r>
            <w:r w:rsidRPr="00DA1904">
              <w:rPr>
                <w:rFonts w:eastAsia="Arial" w:cs="Arial"/>
                <w:vertAlign w:val="superscript"/>
              </w:rPr>
              <w:t>th</w:t>
            </w:r>
            <w:r w:rsidRPr="00DA1904">
              <w:rPr>
                <w:rFonts w:eastAsia="Arial" w:cs="Arial"/>
              </w:rPr>
              <w:t xml:space="preserve"> NSP (2018-2022), Investment Case of 2019 and projections from the AIDS Epidemic Model (AEM), etc. [15, pages 20, 32-35].  Considering the spread of KPs across various locations, intervention strategies are prioritized in 23 districts, especially Dhaka. HIV testing services (HTS) are available in government and NGO-operated facilities. Ongoing efforts to increase HIV detection includes establishing linkages with TB, Maternal Neonatal Child Health</w:t>
            </w:r>
            <w:r w:rsidRPr="00DA1904">
              <w:rPr>
                <w:rFonts w:eastAsia="Calibri" w:cs="Times New Roman"/>
              </w:rPr>
              <w:t xml:space="preserve"> (</w:t>
            </w:r>
            <w:r w:rsidRPr="00DA1904">
              <w:rPr>
                <w:rFonts w:eastAsia="Arial" w:cs="Arial"/>
              </w:rPr>
              <w:t>MNCH) and Sexual Reproductive Health</w:t>
            </w:r>
            <w:r w:rsidRPr="00DA1904">
              <w:rPr>
                <w:rFonts w:eastAsia="Calibri" w:cs="Times New Roman"/>
              </w:rPr>
              <w:t xml:space="preserve"> (</w:t>
            </w:r>
            <w:r w:rsidRPr="00DA1904">
              <w:rPr>
                <w:rFonts w:eastAsia="Arial" w:cs="Arial"/>
              </w:rPr>
              <w:t>SRH) programmes. Treatment, care and support services for PLHIV and management of opportunistic infections (OIs) are provided at selected public healthcare facilities. The community-based organizations (CBOs) are mobilized to reach PLHIV, including HIV positive KPs. TB-L &amp; ASP are considered under a single OP under the 4</w:t>
            </w:r>
            <w:r w:rsidRPr="00DA1904">
              <w:rPr>
                <w:rFonts w:eastAsia="Arial" w:cs="Arial"/>
                <w:vertAlign w:val="superscript"/>
              </w:rPr>
              <w:t>th</w:t>
            </w:r>
            <w:r w:rsidRPr="00DA1904">
              <w:rPr>
                <w:rFonts w:eastAsia="Arial" w:cs="Arial"/>
              </w:rPr>
              <w:t xml:space="preserve"> HPNSP and activities are planned for prevention among KPs and migrants. [1, page 5,14-18]. </w:t>
            </w:r>
          </w:p>
          <w:p w14:paraId="651AAC62" w14:textId="77777777" w:rsidR="000E666D" w:rsidRDefault="00DA1904" w:rsidP="000E666D">
            <w:pPr>
              <w:spacing w:after="20" w:line="252" w:lineRule="auto"/>
              <w:jc w:val="both"/>
              <w:rPr>
                <w:rFonts w:eastAsia="Arial" w:cs="Arial"/>
              </w:rPr>
            </w:pPr>
            <w:r w:rsidRPr="00DA1904">
              <w:rPr>
                <w:rFonts w:eastAsia="Arial" w:cs="Arial"/>
                <w:b/>
                <w:bCs/>
              </w:rPr>
              <w:t>Program Reviews and Evaluations</w:t>
            </w:r>
          </w:p>
          <w:p w14:paraId="788A9405" w14:textId="6EF26BB3" w:rsidR="005C0E15" w:rsidRDefault="00AE5564" w:rsidP="000E666D">
            <w:pPr>
              <w:spacing w:after="20" w:line="252" w:lineRule="auto"/>
              <w:jc w:val="both"/>
              <w:rPr>
                <w:rFonts w:eastAsia="Arial" w:cs="Arial"/>
              </w:rPr>
            </w:pPr>
            <w:r>
              <w:rPr>
                <w:noProof/>
              </w:rPr>
              <w:lastRenderedPageBreak/>
              <w:drawing>
                <wp:anchor distT="0" distB="0" distL="114300" distR="114300" simplePos="0" relativeHeight="251686912" behindDoc="0" locked="0" layoutInCell="1" allowOverlap="1" wp14:anchorId="7465BC5F" wp14:editId="073F5D8F">
                  <wp:simplePos x="0" y="0"/>
                  <wp:positionH relativeFrom="column">
                    <wp:posOffset>-1270</wp:posOffset>
                  </wp:positionH>
                  <wp:positionV relativeFrom="paragraph">
                    <wp:posOffset>2397760</wp:posOffset>
                  </wp:positionV>
                  <wp:extent cx="3721735" cy="1667510"/>
                  <wp:effectExtent l="0" t="0" r="12065" b="8890"/>
                  <wp:wrapSquare wrapText="bothSides"/>
                  <wp:docPr id="16" name="Chart 1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DA1904" w:rsidRPr="00DA1904">
              <w:rPr>
                <w:rFonts w:eastAsia="Arial" w:cs="Arial"/>
              </w:rPr>
              <w:t>The national response to HIV/AIDS is guided by the NSP and relies on both international and domestic funding. In 2018, 36% of the funding was domestic [15, Page 25, Figure 3], indicating increasing domestic investment. KP interventions implemented through NGOs focus on HIV prevention, increasing case detection, and providing treatment, care and support services for PLHIV. Currently, the intervention coverage for PWID, FSW, MSM</w:t>
            </w:r>
            <w:r w:rsidR="00412FE1">
              <w:rPr>
                <w:rFonts w:eastAsia="Arial" w:cs="Arial"/>
              </w:rPr>
              <w:t xml:space="preserve">/MSW </w:t>
            </w:r>
            <w:r w:rsidR="00DA1904" w:rsidRPr="00DA1904">
              <w:rPr>
                <w:rFonts w:eastAsia="Arial" w:cs="Arial"/>
              </w:rPr>
              <w:t>and hijra are 28.7% (9,500/33,067), 21.6% (22,100/ 102,260), 21.3% (28,000/131,472), and 39.8% (4,062/10,199) respectively in relation to the national size estimation</w:t>
            </w:r>
            <w:r w:rsidR="00DA1904" w:rsidRPr="00DA1904">
              <w:rPr>
                <w:rFonts w:eastAsia="Arial" w:cs="Arial"/>
                <w:b/>
                <w:bCs/>
              </w:rPr>
              <w:t xml:space="preserve"> </w:t>
            </w:r>
            <w:r w:rsidR="00DA1904" w:rsidRPr="00DA1904">
              <w:rPr>
                <w:rFonts w:eastAsia="Arial" w:cs="Arial"/>
              </w:rPr>
              <w:t xml:space="preserve">[2, page 20; 6, Page xv]. Districts are prioritized based on the concentration of KP and PLHIV. The investment case of 2019 was carried out using AEM. It demonstrated effectiveness of ongoing prevention programs among KPs and </w:t>
            </w:r>
            <w:r w:rsidR="00412FE1">
              <w:rPr>
                <w:rFonts w:eastAsia="Arial" w:cs="Arial"/>
              </w:rPr>
              <w:t xml:space="preserve">its </w:t>
            </w:r>
            <w:r w:rsidR="00DA1904" w:rsidRPr="00DA1904">
              <w:rPr>
                <w:rFonts w:eastAsia="Arial" w:cs="Arial"/>
              </w:rPr>
              <w:t>impact on HIV prevalence. According to the report, if program</w:t>
            </w:r>
            <w:r>
              <w:rPr>
                <w:rFonts w:eastAsia="Arial" w:cs="Arial"/>
              </w:rPr>
              <w:t>me</w:t>
            </w:r>
            <w:r w:rsidR="00DA1904" w:rsidRPr="00DA1904">
              <w:rPr>
                <w:rFonts w:eastAsia="Arial" w:cs="Arial"/>
              </w:rPr>
              <w:t xml:space="preserve"> had not been in place since 1995, HIV prevalence among KPs and clients of sex workers would be increasing between 1995 and 2018 [15, page 36-40]. If current prevention program</w:t>
            </w:r>
            <w:r>
              <w:rPr>
                <w:rFonts w:eastAsia="Arial" w:cs="Arial"/>
              </w:rPr>
              <w:t>me</w:t>
            </w:r>
            <w:r w:rsidR="00DA1904" w:rsidRPr="00DA1904">
              <w:rPr>
                <w:rFonts w:eastAsia="Arial" w:cs="Arial"/>
              </w:rPr>
              <w:t xml:space="preserve"> among KPs discontinued after 2020, the estimated PLHIV in Bangladesh would reach 81,154 by 2030; almost all KPs would experience a concentrated HIV epidemic in Dhaka and 60,300 new infections would emerge [15, page 39, Table 13]. </w:t>
            </w:r>
            <w:r>
              <w:rPr>
                <w:rFonts w:eastAsia="Arial" w:cs="Arial"/>
              </w:rPr>
              <w:t xml:space="preserve">The figure 2 shows the graphical feature. </w:t>
            </w:r>
            <w:r w:rsidR="00DA1904" w:rsidRPr="00DA1904">
              <w:rPr>
                <w:rFonts w:eastAsia="Arial" w:cs="Arial"/>
              </w:rPr>
              <w:t xml:space="preserve">The report also suggests the most feasible option would be to </w:t>
            </w:r>
            <w:r w:rsidR="00DA1904" w:rsidRPr="00DA1904">
              <w:rPr>
                <w:rFonts w:eastAsia="Arial" w:cs="Arial"/>
                <w:b/>
                <w:bCs/>
              </w:rPr>
              <w:t>scale up</w:t>
            </w:r>
            <w:r w:rsidR="00DA1904" w:rsidRPr="00DA1904">
              <w:rPr>
                <w:rFonts w:eastAsia="Arial" w:cs="Arial"/>
              </w:rPr>
              <w:t xml:space="preserve"> efforts in prevention and treatment to reach targets of the revised 4</w:t>
            </w:r>
            <w:r w:rsidR="00DA1904" w:rsidRPr="00DA1904">
              <w:rPr>
                <w:rFonts w:eastAsia="Arial" w:cs="Arial"/>
                <w:vertAlign w:val="superscript"/>
              </w:rPr>
              <w:t>th</w:t>
            </w:r>
            <w:r w:rsidR="00DA1904" w:rsidRPr="00DA1904">
              <w:rPr>
                <w:rFonts w:eastAsia="Arial" w:cs="Arial"/>
              </w:rPr>
              <w:t xml:space="preserve"> NSP 2018-2023</w:t>
            </w:r>
            <w:r w:rsidR="00E434FF">
              <w:rPr>
                <w:rFonts w:eastAsia="Arial" w:cs="Arial"/>
              </w:rPr>
              <w:t xml:space="preserve"> and ending AIDS by 2030.</w:t>
            </w:r>
          </w:p>
          <w:p w14:paraId="5A4AFDCD" w14:textId="77777777" w:rsidR="005C0E15" w:rsidRDefault="00DA1904" w:rsidP="00DA1904">
            <w:pPr>
              <w:pBdr>
                <w:bottom w:val="single" w:sz="6" w:space="1" w:color="auto"/>
              </w:pBdr>
              <w:spacing w:after="20" w:line="252" w:lineRule="auto"/>
              <w:jc w:val="both"/>
              <w:rPr>
                <w:rFonts w:eastAsia="Arial" w:cs="Arial"/>
                <w:b/>
                <w:bCs/>
              </w:rPr>
            </w:pPr>
            <w:r w:rsidRPr="00DA1904">
              <w:rPr>
                <w:rFonts w:eastAsia="Arial" w:cs="Arial"/>
                <w:b/>
                <w:bCs/>
              </w:rPr>
              <w:t>Human Rights, Gender and Age-related Barriers and Inequities in Access to Services</w:t>
            </w:r>
          </w:p>
          <w:p w14:paraId="362B0D01" w14:textId="6CA48074" w:rsidR="00DA1904" w:rsidRPr="00DA1904" w:rsidRDefault="005C0E15" w:rsidP="00DA1904">
            <w:pPr>
              <w:pBdr>
                <w:bottom w:val="single" w:sz="6" w:space="1" w:color="auto"/>
              </w:pBdr>
              <w:spacing w:after="20" w:line="252" w:lineRule="auto"/>
              <w:jc w:val="both"/>
              <w:rPr>
                <w:rFonts w:eastAsia="Arial" w:cs="Arial"/>
                <w:sz w:val="16"/>
                <w:szCs w:val="16"/>
              </w:rPr>
            </w:pPr>
            <w:r>
              <w:rPr>
                <w:rFonts w:eastAsia="Arial" w:cs="Arial"/>
                <w:b/>
                <w:bCs/>
              </w:rPr>
              <w:t xml:space="preserve"> </w:t>
            </w:r>
            <w:r w:rsidR="00DA1904" w:rsidRPr="00DA1904">
              <w:rPr>
                <w:rFonts w:eastAsia="Arial" w:cs="Arial"/>
              </w:rPr>
              <w:t>Human rights and gender-based issues are at the core of HIV prevention in Bangladesh [4, page 7,10,12-13]. The Government of Bangladesh</w:t>
            </w:r>
            <w:r w:rsidR="002A2937">
              <w:t xml:space="preserve"> (</w:t>
            </w:r>
            <w:r w:rsidR="002A2937" w:rsidRPr="002A2937">
              <w:rPr>
                <w:rFonts w:eastAsia="Arial" w:cs="Arial"/>
              </w:rPr>
              <w:t>GoB</w:t>
            </w:r>
            <w:r w:rsidR="00DA1904" w:rsidRPr="00DA1904">
              <w:rPr>
                <w:rFonts w:eastAsia="Arial" w:cs="Arial"/>
              </w:rPr>
              <w:t xml:space="preserve">) has recognized </w:t>
            </w:r>
            <w:r w:rsidR="00DA1904" w:rsidRPr="00DA1904">
              <w:rPr>
                <w:rFonts w:eastAsia="Arial" w:cs="Arial"/>
                <w:i/>
                <w:iCs/>
              </w:rPr>
              <w:t xml:space="preserve">hijra </w:t>
            </w:r>
            <w:r w:rsidR="00DA1904" w:rsidRPr="00DA1904">
              <w:rPr>
                <w:rFonts w:eastAsia="Arial" w:cs="Arial"/>
              </w:rPr>
              <w:t>as a separate gender [10, page 1] and has launched a "third gender" category on Bangladesh's national voters list, effective April 2019. In June 2018, a joint advocacy forum titled the ‘National Task Force (NTF) was formed with relevant government entities, NGO stakeholders, icddr,b and UNAIDS to address human rights issues in KP interventions. The ASP developed a Gender Strategy (2017-2021) to address gender-based violence (GBV) among KPs, emerging &amp; vulnerable groups, PLHIV and affected family members [9, pages 1- 36].  Socially-excluded people in Bangladesh include: women, particularly sex workers, MSM, PWID, hijra, PLHIV, and people living in poverty. Double stigmatization ensues among MSM who are diagnosed with HIV. Exclusionary legal barriers include the Section 377 of the Penal Code that criminalizes homosexuality; ambiguity in the legality of brothels, prohibition of sex work in any venue, etc. This ambiguity predisposes sex workers to harassment and hinders their access to healthcare [11, Page 587–597]. Another legal barrier is</w:t>
            </w:r>
            <w:r w:rsidR="00DA1904" w:rsidRPr="00DA1904">
              <w:rPr>
                <w:rFonts w:eastAsia="Calibri" w:cs="Times New Roman"/>
              </w:rPr>
              <w:t xml:space="preserve"> t</w:t>
            </w:r>
            <w:r w:rsidR="00DA1904" w:rsidRPr="00DA1904">
              <w:rPr>
                <w:rFonts w:eastAsia="Arial" w:cs="Arial"/>
              </w:rPr>
              <w:t xml:space="preserve">he Narcotics Control Act (NCA) of 2018. On 27 October 2018, parliament adopted the revised NCA, which expands the applicability of the death penalty to methamphetamine bearers. [13, page 33-34]. The NCA does not recognize needle-syringe exchange as a public health practice. </w:t>
            </w:r>
          </w:p>
          <w:p w14:paraId="2C9EBE86" w14:textId="77777777" w:rsidR="00DA1904" w:rsidRPr="00DA1904" w:rsidRDefault="00DA1904" w:rsidP="00287DBA">
            <w:pPr>
              <w:pBdr>
                <w:bottom w:val="single" w:sz="6" w:space="1" w:color="auto"/>
              </w:pBdr>
              <w:spacing w:after="20" w:line="252" w:lineRule="auto"/>
              <w:jc w:val="both"/>
              <w:rPr>
                <w:rFonts w:eastAsia="Arial" w:cs="Arial"/>
                <w:b/>
                <w:bCs/>
              </w:rPr>
            </w:pPr>
            <w:r w:rsidRPr="00DA1904">
              <w:rPr>
                <w:rFonts w:eastAsia="Arial" w:cs="Arial"/>
                <w:b/>
                <w:bCs/>
              </w:rPr>
              <w:t>Socio-economic, Geographic, and other Barriers and Inequities in access to Health Services</w:t>
            </w:r>
          </w:p>
          <w:p w14:paraId="6845B147" w14:textId="20A17224" w:rsidR="00412FE1" w:rsidRDefault="00DA1904" w:rsidP="00287DBA">
            <w:pPr>
              <w:pBdr>
                <w:bottom w:val="single" w:sz="6" w:space="1" w:color="auto"/>
              </w:pBdr>
              <w:spacing w:after="20" w:line="252" w:lineRule="auto"/>
              <w:jc w:val="both"/>
              <w:rPr>
                <w:rFonts w:eastAsia="Arial" w:cs="Arial"/>
              </w:rPr>
            </w:pPr>
            <w:r w:rsidRPr="00DA1904">
              <w:rPr>
                <w:rFonts w:eastAsia="Arial" w:cs="Arial"/>
              </w:rPr>
              <w:t>KPs from lower socio-economic</w:t>
            </w:r>
            <w:r w:rsidR="009D3ABB">
              <w:rPr>
                <w:rFonts w:eastAsia="Arial" w:cs="Arial"/>
              </w:rPr>
              <w:t xml:space="preserve"> strata</w:t>
            </w:r>
            <w:r w:rsidRPr="00DA1904">
              <w:rPr>
                <w:rFonts w:eastAsia="Arial" w:cs="Arial"/>
              </w:rPr>
              <w:t xml:space="preserve"> face challenges in availing health services from public and private facilities, primarily because of socio-cultural taboos. They face stigma, discrimination, and human rights violations, inside and outside healthcare settings. MSM are reluctant to disclose their sexual practices due to the criminal code. Though sex work may be legalized in brothels, FSW face GBV and municipal ordinances against soliciting leading to risk of police harassment [12, page 2].</w:t>
            </w:r>
            <w:r w:rsidRPr="00DA1904" w:rsidDel="00DF2CE8">
              <w:rPr>
                <w:rFonts w:eastAsia="Arial" w:cs="Arial"/>
              </w:rPr>
              <w:t xml:space="preserve"> </w:t>
            </w:r>
          </w:p>
          <w:p w14:paraId="35FDB803" w14:textId="3A68F9D8" w:rsidR="00DA1904" w:rsidRPr="00DA1904" w:rsidRDefault="00DA1904" w:rsidP="00287DBA">
            <w:pPr>
              <w:pBdr>
                <w:bottom w:val="single" w:sz="6" w:space="1" w:color="auto"/>
              </w:pBdr>
              <w:spacing w:after="20" w:line="252" w:lineRule="auto"/>
              <w:jc w:val="both"/>
              <w:rPr>
                <w:rFonts w:eastAsia="Arial" w:cs="Arial"/>
                <w:b/>
                <w:bCs/>
              </w:rPr>
            </w:pPr>
            <w:r w:rsidRPr="00DA1904">
              <w:rPr>
                <w:rFonts w:eastAsia="Arial" w:cs="Arial"/>
                <w:b/>
                <w:bCs/>
              </w:rPr>
              <w:t>Community Responses and Engagement</w:t>
            </w:r>
          </w:p>
          <w:p w14:paraId="7B2FA022" w14:textId="6BDD5131" w:rsidR="00DA1904" w:rsidRPr="005305D5" w:rsidRDefault="00DA1904" w:rsidP="00287DBA">
            <w:pPr>
              <w:spacing w:after="20" w:line="252" w:lineRule="auto"/>
              <w:jc w:val="both"/>
            </w:pPr>
            <w:r w:rsidRPr="00DA1904">
              <w:rPr>
                <w:rFonts w:eastAsia="Arial" w:cs="Arial"/>
              </w:rPr>
              <w:t xml:space="preserve">ASP engaged various community networks, including Network of PLHIV (NOP+); Sex Workers Network (SWN); Network of People Who Use Drugs (NPUD); STI/AIDS Network; Community Forum, etc. Bandhu Social Welfare Society (BSWS), an MSM-led organization, is a sub-recipient (SR) implementing MSM and </w:t>
            </w:r>
            <w:r w:rsidRPr="00DA1904">
              <w:rPr>
                <w:rFonts w:eastAsia="Arial" w:cs="Arial"/>
                <w:i/>
                <w:iCs/>
              </w:rPr>
              <w:t>hijra</w:t>
            </w:r>
            <w:r w:rsidRPr="00DA1904">
              <w:rPr>
                <w:rFonts w:eastAsia="Arial" w:cs="Arial"/>
              </w:rPr>
              <w:t xml:space="preserve"> interventions. The </w:t>
            </w:r>
            <w:r w:rsidRPr="00DA1904">
              <w:rPr>
                <w:rFonts w:eastAsia="Arial" w:cs="Arial"/>
                <w:i/>
                <w:iCs/>
              </w:rPr>
              <w:t>hijra</w:t>
            </w:r>
            <w:r w:rsidRPr="00DA1904">
              <w:rPr>
                <w:rFonts w:eastAsia="Arial" w:cs="Arial"/>
              </w:rPr>
              <w:t xml:space="preserve"> community-led organization ‘Badhon Hijra Sangha’ is a sub-sub-recipient (SSR) under BSWS and “Sustha Jibon” a </w:t>
            </w:r>
            <w:r w:rsidRPr="00DA1904">
              <w:rPr>
                <w:rFonts w:eastAsia="Arial" w:cs="Arial"/>
                <w:i/>
                <w:iCs/>
              </w:rPr>
              <w:t xml:space="preserve">hijra </w:t>
            </w:r>
            <w:r w:rsidRPr="00DA1904">
              <w:rPr>
                <w:rFonts w:eastAsia="Arial" w:cs="Arial"/>
              </w:rPr>
              <w:t xml:space="preserve">CBO is implementing two service centers of MSM and </w:t>
            </w:r>
            <w:r w:rsidRPr="00DA1904">
              <w:rPr>
                <w:rFonts w:eastAsia="Arial" w:cs="Arial"/>
                <w:i/>
              </w:rPr>
              <w:t>hijra</w:t>
            </w:r>
            <w:r w:rsidRPr="00DA1904">
              <w:rPr>
                <w:rFonts w:eastAsia="Arial" w:cs="Arial"/>
              </w:rPr>
              <w:t xml:space="preserve"> interventions. Nari Mukti Sangha (NMS), an FSW-led organization is working as an SSR for FSW interventions. APOSH, a PWID CBO and a PLHIV organization, Mukto Akash Bangladesh (MAB), are engaged in PWID interventions [5, Page 19, 20, 23].</w:t>
            </w:r>
            <w:r w:rsidRPr="00DA1904">
              <w:rPr>
                <w:rFonts w:eastAsia="Calibri" w:cs="Times New Roman"/>
              </w:rPr>
              <w:t xml:space="preserve"> </w:t>
            </w:r>
            <w:r w:rsidRPr="00DA1904">
              <w:rPr>
                <w:rFonts w:eastAsia="Arial" w:cs="Arial"/>
              </w:rPr>
              <w:t>Ashar Alo Society (AAS) is one of the pioneers of the PLHIV CBOs working under the GF grant since 2008.</w:t>
            </w:r>
          </w:p>
        </w:tc>
      </w:tr>
    </w:tbl>
    <w:p w14:paraId="1C61FC08" w14:textId="1F33D756" w:rsidR="00DE1608" w:rsidRPr="005305D5" w:rsidRDefault="00DE1608" w:rsidP="00A54AAB">
      <w:pPr>
        <w:spacing w:after="0"/>
      </w:pPr>
    </w:p>
    <w:p w14:paraId="3C979192" w14:textId="18F1A92A" w:rsidR="00A321C0" w:rsidRPr="005305D5" w:rsidRDefault="00A321C0" w:rsidP="00C57762">
      <w:pPr>
        <w:pStyle w:val="Heading2"/>
        <w:numPr>
          <w:ilvl w:val="1"/>
          <w:numId w:val="24"/>
        </w:numPr>
        <w:shd w:val="clear" w:color="auto" w:fill="D9D9D9" w:themeFill="background1" w:themeFillShade="D9"/>
        <w:spacing w:before="0" w:after="0" w:line="240" w:lineRule="auto"/>
        <w:contextualSpacing/>
      </w:pPr>
      <w:r w:rsidRPr="005305D5">
        <w:t>Lessons Learned from Global Fund and Other Partner Investments</w:t>
      </w:r>
    </w:p>
    <w:p w14:paraId="37A42048" w14:textId="29ECB81B" w:rsidR="009B6C0D" w:rsidRDefault="00EF7EA4" w:rsidP="009B6C0D">
      <w:pPr>
        <w:pStyle w:val="ListParagraph"/>
        <w:spacing w:after="0"/>
        <w:ind w:left="0"/>
      </w:pPr>
      <w:r>
        <w:t>Describe</w:t>
      </w:r>
      <w:r w:rsidR="00A321C0">
        <w:t xml:space="preserve"> how </w:t>
      </w:r>
      <w:r w:rsidR="00A321C0" w:rsidRPr="00E117E8">
        <w:t xml:space="preserve">Global Fund and </w:t>
      </w:r>
      <w:r w:rsidR="00A321C0">
        <w:t>domestic investments, as well as those of other partners,</w:t>
      </w:r>
      <w:r w:rsidR="00A321C0" w:rsidRPr="00E117E8">
        <w:t xml:space="preserve"> </w:t>
      </w:r>
      <w:r w:rsidR="00A321C0">
        <w:t>supported national health targets</w:t>
      </w:r>
      <w:r w:rsidR="000D3875" w:rsidRPr="000D3875">
        <w:t xml:space="preserve"> </w:t>
      </w:r>
      <w:r w:rsidR="000D3875" w:rsidRPr="00E117E8">
        <w:t xml:space="preserve">during the </w:t>
      </w:r>
      <w:r w:rsidR="00CA301B">
        <w:t>current</w:t>
      </w:r>
      <w:r w:rsidR="000D3875">
        <w:t xml:space="preserve"> allocation period</w:t>
      </w:r>
      <w:r w:rsidR="00A321C0">
        <w:t xml:space="preserve">. </w:t>
      </w:r>
      <w:r w:rsidR="00A321C0" w:rsidRPr="00E117E8">
        <w:t xml:space="preserve">Include </w:t>
      </w:r>
      <w:r w:rsidR="000D3875">
        <w:t xml:space="preserve">the main </w:t>
      </w:r>
      <w:r w:rsidR="00A321C0" w:rsidRPr="002F3609">
        <w:rPr>
          <w:b/>
        </w:rPr>
        <w:t>lessons learned</w:t>
      </w:r>
      <w:r w:rsidR="00A321C0">
        <w:t xml:space="preserve"> </w:t>
      </w:r>
      <w:r w:rsidR="00CA301B">
        <w:t xml:space="preserve">that are </w:t>
      </w:r>
      <w:r w:rsidR="00CA301B" w:rsidRPr="00E117E8">
        <w:t>relevant to th</w:t>
      </w:r>
      <w:r w:rsidR="00CA301B">
        <w:t xml:space="preserve">is funding request </w:t>
      </w:r>
      <w:r w:rsidR="00A321C0">
        <w:t>(</w:t>
      </w:r>
      <w:r w:rsidR="00CA301B">
        <w:t>for example</w:t>
      </w:r>
      <w:r w:rsidR="00235BB3">
        <w:t>,</w:t>
      </w:r>
      <w:r w:rsidR="00A321C0">
        <w:t xml:space="preserve"> </w:t>
      </w:r>
      <w:r w:rsidR="000D3875">
        <w:t>innovations</w:t>
      </w:r>
      <w:r w:rsidR="00CA301B">
        <w:t xml:space="preserve"> or</w:t>
      </w:r>
      <w:r w:rsidR="000D3875">
        <w:t xml:space="preserve"> </w:t>
      </w:r>
      <w:r w:rsidR="00A321C0">
        <w:t>bottlenecks in service delivery)</w:t>
      </w:r>
      <w:r w:rsidR="000D3875">
        <w:t>.</w:t>
      </w:r>
      <w:r w:rsidR="000D3875" w:rsidRPr="00E117E8" w:rsidDel="000D3875">
        <w:t xml:space="preserve"> </w:t>
      </w:r>
    </w:p>
    <w:p w14:paraId="795FA6DE" w14:textId="77777777" w:rsidR="00D11DF2" w:rsidRPr="005305D5" w:rsidRDefault="00D11DF2" w:rsidP="009B6C0D">
      <w:pPr>
        <w:pStyle w:val="ListParagraph"/>
        <w:spacing w:after="0"/>
        <w:ind w:left="0"/>
      </w:pPr>
    </w:p>
    <w:tbl>
      <w:tblPr>
        <w:tblStyle w:val="TableGrid"/>
        <w:tblW w:w="0" w:type="auto"/>
        <w:tblLook w:val="04A0" w:firstRow="1" w:lastRow="0" w:firstColumn="1" w:lastColumn="0" w:noHBand="0" w:noVBand="1"/>
      </w:tblPr>
      <w:tblGrid>
        <w:gridCol w:w="10456"/>
      </w:tblGrid>
      <w:tr w:rsidR="00A321C0" w:rsidRPr="005305D5" w14:paraId="0C08AB5F" w14:textId="77777777" w:rsidTr="00A33423">
        <w:tc>
          <w:tcPr>
            <w:tcW w:w="10456" w:type="dxa"/>
          </w:tcPr>
          <w:p w14:paraId="48A3EE8F" w14:textId="571242FB" w:rsidR="00073636" w:rsidRDefault="00073636" w:rsidP="00073636">
            <w:pPr>
              <w:spacing w:after="0"/>
            </w:pPr>
            <w:r w:rsidRPr="00514584">
              <w:rPr>
                <w:highlight w:val="yellow"/>
              </w:rPr>
              <w:t>[Applicant response] 1 Page</w:t>
            </w:r>
          </w:p>
          <w:p w14:paraId="72A08999" w14:textId="77777777" w:rsidR="005F1998" w:rsidRDefault="005F1998" w:rsidP="00073636">
            <w:pPr>
              <w:spacing w:after="0"/>
            </w:pPr>
          </w:p>
          <w:p w14:paraId="42DD16FA" w14:textId="62562C55" w:rsidR="007111D3" w:rsidRDefault="007111D3" w:rsidP="00A33423">
            <w:pPr>
              <w:spacing w:after="0"/>
              <w:jc w:val="both"/>
            </w:pPr>
            <w:r>
              <w:t>The PRs implement interventions at facilities and communities for prevention, diagnosis,</w:t>
            </w:r>
            <w:r w:rsidR="00A33423">
              <w:t xml:space="preserve"> </w:t>
            </w:r>
            <w:r>
              <w:t xml:space="preserve">treatment, care and support in most of the 23 priority districts and in some </w:t>
            </w:r>
            <w:r w:rsidR="00D11DF2">
              <w:t xml:space="preserve">of </w:t>
            </w:r>
            <w:r>
              <w:t>other</w:t>
            </w:r>
            <w:r w:rsidR="00A33423">
              <w:t xml:space="preserve"> </w:t>
            </w:r>
            <w:r>
              <w:t>districts. Considering 90-90-90 targets, PR-SC provides services to 9,500 PWID (38% of NSP target)</w:t>
            </w:r>
            <w:r w:rsidR="006F615A">
              <w:t>; t</w:t>
            </w:r>
            <w:r>
              <w:t>ill December 2019,</w:t>
            </w:r>
            <w:r w:rsidR="00A33423">
              <w:t xml:space="preserve"> </w:t>
            </w:r>
            <w:r>
              <w:t xml:space="preserve">about 1,135 PWID living with HIV were identified; 728 are on ART. </w:t>
            </w:r>
            <w:r w:rsidR="00671FE5">
              <w:t xml:space="preserve">Further, </w:t>
            </w:r>
            <w:r>
              <w:t>1128 PWID receiv</w:t>
            </w:r>
            <w:r w:rsidR="00671FE5">
              <w:t>e</w:t>
            </w:r>
            <w:r>
              <w:t xml:space="preserve"> opioid substitution therapy (OST), </w:t>
            </w:r>
            <w:r w:rsidR="00671FE5">
              <w:t xml:space="preserve">including </w:t>
            </w:r>
            <w:r>
              <w:t xml:space="preserve">400 are PLHIV and 396 </w:t>
            </w:r>
            <w:r w:rsidR="00671FE5">
              <w:t xml:space="preserve">of them </w:t>
            </w:r>
            <w:r>
              <w:t>are on</w:t>
            </w:r>
            <w:r w:rsidR="00A33423">
              <w:t xml:space="preserve"> </w:t>
            </w:r>
            <w:r>
              <w:t>ART. PR-SC also covers 18,500 FSW (28% of NSP target). Some best practice examples by</w:t>
            </w:r>
            <w:r w:rsidR="00A33423">
              <w:t xml:space="preserve"> </w:t>
            </w:r>
            <w:r>
              <w:t>PR-SC are:</w:t>
            </w:r>
          </w:p>
          <w:p w14:paraId="2AC69A7B" w14:textId="041EED3E" w:rsidR="00A33423" w:rsidRDefault="007111D3" w:rsidP="00DA7581">
            <w:pPr>
              <w:pStyle w:val="ListParagraph"/>
              <w:numPr>
                <w:ilvl w:val="0"/>
                <w:numId w:val="42"/>
              </w:numPr>
              <w:spacing w:after="0"/>
              <w:jc w:val="both"/>
            </w:pPr>
            <w:r>
              <w:t xml:space="preserve">Differentiated HIV testing services: HTS is cascaded from facility to community. It is available at drifting spots of PWID and FSW. Index testing identifies HIV among those who share paraphernalia, families and sex partners. Above 90% of the targeted PWID and FSW were tested in 2019. Community Based HTS guideline was developed and endorsed by government. </w:t>
            </w:r>
          </w:p>
          <w:p w14:paraId="769EA73F" w14:textId="391094EE" w:rsidR="007111D3" w:rsidRDefault="007111D3" w:rsidP="00DA7581">
            <w:pPr>
              <w:pStyle w:val="ListParagraph"/>
              <w:numPr>
                <w:ilvl w:val="0"/>
                <w:numId w:val="42"/>
              </w:numPr>
              <w:spacing w:after="0"/>
              <w:jc w:val="both"/>
            </w:pPr>
            <w:r>
              <w:t>Point of care for PWID: The six Comprehensive DICs (CDICs) provide NSE, HTS, OST, ART and co-infection management. Thus, HIV case detection has increased from 31% in 2017 to 76% in 2019 and ART enrolment increased from 39% 2017 to 68% 2019. OST services have been scaled-up from 2% in 2017 to 7% in 2020. To strengthen ART adherence, case workers</w:t>
            </w:r>
            <w:r w:rsidR="00A33423">
              <w:t xml:space="preserve"> </w:t>
            </w:r>
            <w:r>
              <w:t>(CWs) have also been deployed.</w:t>
            </w:r>
          </w:p>
          <w:p w14:paraId="319908DA" w14:textId="7CF1D9E7" w:rsidR="00A33423" w:rsidRDefault="007111D3" w:rsidP="00DA7581">
            <w:pPr>
              <w:pStyle w:val="ListParagraph"/>
              <w:numPr>
                <w:ilvl w:val="0"/>
                <w:numId w:val="42"/>
              </w:numPr>
              <w:spacing w:after="0"/>
              <w:jc w:val="both"/>
            </w:pPr>
            <w:r>
              <w:t>Community led Responses: The ‘Community Squad’, formed by FSWs, combats violence and reduce discrimination for availing social and health services.</w:t>
            </w:r>
          </w:p>
          <w:p w14:paraId="5060F1D4" w14:textId="77777777" w:rsidR="00A33423" w:rsidRDefault="007111D3" w:rsidP="00671FE5">
            <w:pPr>
              <w:spacing w:after="0"/>
              <w:jc w:val="both"/>
            </w:pPr>
            <w:r>
              <w:t>Similarly, PR-icddr,b provides services to 28,000 MSM and 4,062 hijra which is 21.3% and</w:t>
            </w:r>
            <w:r w:rsidR="00A33423">
              <w:t xml:space="preserve"> </w:t>
            </w:r>
            <w:r>
              <w:t>39.8% of national targets respectively. Some of the best practices of icddr,b from this grant</w:t>
            </w:r>
            <w:r w:rsidR="00A33423">
              <w:t xml:space="preserve"> </w:t>
            </w:r>
            <w:r>
              <w:t>are:</w:t>
            </w:r>
            <w:r w:rsidR="00A33423">
              <w:t xml:space="preserve"> </w:t>
            </w:r>
          </w:p>
          <w:p w14:paraId="550D70D7" w14:textId="75188C0E" w:rsidR="00A33423" w:rsidRDefault="00A33423" w:rsidP="00DA7581">
            <w:pPr>
              <w:pStyle w:val="ListParagraph"/>
              <w:numPr>
                <w:ilvl w:val="0"/>
                <w:numId w:val="43"/>
              </w:numPr>
              <w:spacing w:after="0"/>
              <w:ind w:left="0"/>
              <w:jc w:val="both"/>
            </w:pPr>
            <w:r>
              <w:t xml:space="preserve">1. </w:t>
            </w:r>
            <w:r w:rsidR="007111D3">
              <w:t xml:space="preserve">Continued role as implementer and technical-assistance </w:t>
            </w:r>
            <w:r w:rsidR="00D11DF2">
              <w:t xml:space="preserve">for </w:t>
            </w:r>
            <w:r w:rsidR="007111D3">
              <w:t>OST</w:t>
            </w:r>
            <w:r>
              <w:t xml:space="preserve"> </w:t>
            </w:r>
            <w:r w:rsidR="007111D3">
              <w:t>since 2010. It has been working with the Department of Narcotics Control (DNC) for</w:t>
            </w:r>
            <w:r>
              <w:t xml:space="preserve"> </w:t>
            </w:r>
            <w:r w:rsidR="007111D3">
              <w:t>implementing OST. The</w:t>
            </w:r>
            <w:r>
              <w:t xml:space="preserve"> </w:t>
            </w:r>
            <w:r w:rsidR="007111D3">
              <w:t>program showed 85% treatment retention rates among the</w:t>
            </w:r>
            <w:r>
              <w:t xml:space="preserve"> </w:t>
            </w:r>
            <w:r w:rsidR="007111D3">
              <w:t>PWID.</w:t>
            </w:r>
            <w:r>
              <w:t xml:space="preserve"> </w:t>
            </w:r>
          </w:p>
          <w:p w14:paraId="5836F03F" w14:textId="77777777" w:rsidR="00A33423" w:rsidRDefault="00A33423" w:rsidP="00DA7581">
            <w:pPr>
              <w:pStyle w:val="ListParagraph"/>
              <w:numPr>
                <w:ilvl w:val="0"/>
                <w:numId w:val="43"/>
              </w:numPr>
              <w:spacing w:after="0"/>
              <w:ind w:left="0"/>
              <w:jc w:val="both"/>
            </w:pPr>
            <w:r>
              <w:t xml:space="preserve">2. </w:t>
            </w:r>
            <w:r w:rsidR="007111D3">
              <w:t>It launched information, communication and technology (ICT)-based HIV prevention</w:t>
            </w:r>
            <w:r>
              <w:t xml:space="preserve"> </w:t>
            </w:r>
            <w:r w:rsidR="007111D3">
              <w:t>intervention from Dec 2018. The services include mobile app and web application for</w:t>
            </w:r>
            <w:r>
              <w:t xml:space="preserve"> </w:t>
            </w:r>
            <w:r w:rsidR="007111D3">
              <w:t>providing preventive information on HIV, STI and viral hepatitis, self-risk assessment of</w:t>
            </w:r>
            <w:r>
              <w:t xml:space="preserve"> </w:t>
            </w:r>
            <w:r w:rsidR="007111D3">
              <w:t>HIV and linking clients to the nearest service delivery points.</w:t>
            </w:r>
            <w:r>
              <w:t xml:space="preserve"> </w:t>
            </w:r>
          </w:p>
          <w:p w14:paraId="09340B49" w14:textId="6FCFFA54" w:rsidR="00A33423" w:rsidRDefault="00A33423" w:rsidP="00DA7581">
            <w:pPr>
              <w:pStyle w:val="ListParagraph"/>
              <w:numPr>
                <w:ilvl w:val="0"/>
                <w:numId w:val="43"/>
              </w:numPr>
              <w:spacing w:after="0"/>
              <w:ind w:left="0"/>
              <w:jc w:val="both"/>
            </w:pPr>
            <w:r>
              <w:t xml:space="preserve">3. </w:t>
            </w:r>
            <w:r w:rsidR="007111D3">
              <w:t xml:space="preserve">From the current grant (2017) icddr,b introduced patient navigation strategy </w:t>
            </w:r>
            <w:r w:rsidR="00D11DF2">
              <w:t xml:space="preserve">by </w:t>
            </w:r>
            <w:r w:rsidR="007111D3">
              <w:t>deploying 5 peer navigators at 4 major cities, which is boosting ART adherence.</w:t>
            </w:r>
            <w:r>
              <w:t xml:space="preserve"> </w:t>
            </w:r>
            <w:r w:rsidR="007111D3">
              <w:t>HTS coverage of icddr,b is 68.7% among MSM/MSW and 65.01% among hijra; a</w:t>
            </w:r>
            <w:r>
              <w:t xml:space="preserve"> </w:t>
            </w:r>
            <w:r w:rsidR="007111D3">
              <w:t>significant increase towards progressing to the global 90-90-90 target in the current grant.</w:t>
            </w:r>
          </w:p>
          <w:p w14:paraId="3AFB34DD" w14:textId="362DF18F" w:rsidR="007111D3" w:rsidRDefault="007111D3" w:rsidP="00671FE5">
            <w:pPr>
              <w:spacing w:after="0"/>
              <w:jc w:val="both"/>
            </w:pPr>
            <w:r>
              <w:t>ASP coordinates the overall programme and supports ART facilities including Community</w:t>
            </w:r>
            <w:r w:rsidR="00A33423">
              <w:t xml:space="preserve"> </w:t>
            </w:r>
            <w:r>
              <w:t>Peer</w:t>
            </w:r>
            <w:r w:rsidR="00A33423">
              <w:t xml:space="preserve"> </w:t>
            </w:r>
            <w:r>
              <w:t>Counsellors (CPCs) to strengthen ART adherence. It collaborates with National</w:t>
            </w:r>
            <w:r w:rsidR="00A33423">
              <w:t xml:space="preserve"> </w:t>
            </w:r>
            <w:r>
              <w:t xml:space="preserve">Tuberculosis Programme (NTP) for </w:t>
            </w:r>
            <w:r w:rsidR="00D11DF2">
              <w:t xml:space="preserve">TB/HIV </w:t>
            </w:r>
            <w:r>
              <w:t>co-morbidity. UNICEF has been working with</w:t>
            </w:r>
            <w:r w:rsidR="00A33423">
              <w:t xml:space="preserve"> </w:t>
            </w:r>
            <w:r>
              <w:t>ASP to provide PMTCT services at 11 public health facilities. UNFPA, UNAIDS and NGO</w:t>
            </w:r>
            <w:r w:rsidR="00A33423">
              <w:t xml:space="preserve"> </w:t>
            </w:r>
            <w:r>
              <w:t>partners are working jointly in brothels for increasing awareness and behavioral</w:t>
            </w:r>
            <w:r w:rsidR="00A33423">
              <w:t xml:space="preserve"> </w:t>
            </w:r>
            <w:r>
              <w:t>changes</w:t>
            </w:r>
            <w:r w:rsidR="00D11DF2">
              <w:t xml:space="preserve"> of FSWs</w:t>
            </w:r>
            <w:r>
              <w:t>.</w:t>
            </w:r>
            <w:r w:rsidR="00A33423">
              <w:t xml:space="preserve"> However, </w:t>
            </w:r>
            <w:r>
              <w:t>Bottlenecks include:</w:t>
            </w:r>
          </w:p>
          <w:p w14:paraId="7EC0C834" w14:textId="4EC4A6A7" w:rsidR="007111D3" w:rsidRDefault="007111D3" w:rsidP="00DA7581">
            <w:pPr>
              <w:pStyle w:val="ListParagraph"/>
              <w:numPr>
                <w:ilvl w:val="0"/>
                <w:numId w:val="44"/>
              </w:numPr>
              <w:spacing w:after="0"/>
              <w:jc w:val="both"/>
            </w:pPr>
            <w:r>
              <w:t xml:space="preserve">Coverage: </w:t>
            </w:r>
            <w:r w:rsidR="00D11DF2">
              <w:t>P</w:t>
            </w:r>
            <w:r>
              <w:t xml:space="preserve">revention interventions were not timely rolled out </w:t>
            </w:r>
            <w:r w:rsidR="00D11DF2">
              <w:t xml:space="preserve">from govt. OP </w:t>
            </w:r>
            <w:r>
              <w:t>and with</w:t>
            </w:r>
            <w:r w:rsidR="00434AFE">
              <w:t xml:space="preserve"> </w:t>
            </w:r>
            <w:r>
              <w:t xml:space="preserve">the current KP coverage </w:t>
            </w:r>
            <w:r w:rsidR="00D63395">
              <w:t xml:space="preserve">is trivial </w:t>
            </w:r>
            <w:r>
              <w:t>to achieve “Ending AIDS by 2030” [3, page 10-11].</w:t>
            </w:r>
            <w:r w:rsidR="00434AFE">
              <w:t xml:space="preserve"> </w:t>
            </w:r>
            <w:r w:rsidR="00D63395">
              <w:t>A</w:t>
            </w:r>
            <w:r>
              <w:t>bout 48% of estimated cases are yet to be identified. ART coverage is 65% among</w:t>
            </w:r>
            <w:r w:rsidR="00434AFE">
              <w:t xml:space="preserve"> </w:t>
            </w:r>
            <w:r>
              <w:t>PLHIV.</w:t>
            </w:r>
          </w:p>
          <w:p w14:paraId="44CD6EAC" w14:textId="416AE2DF" w:rsidR="007111D3" w:rsidRDefault="007111D3" w:rsidP="00DA7581">
            <w:pPr>
              <w:pStyle w:val="ListParagraph"/>
              <w:numPr>
                <w:ilvl w:val="0"/>
                <w:numId w:val="44"/>
              </w:numPr>
              <w:spacing w:after="0"/>
              <w:jc w:val="both"/>
            </w:pPr>
            <w:r>
              <w:t>Readiness: Most health facilities are not equipped for HTS and serving KPs.</w:t>
            </w:r>
          </w:p>
          <w:p w14:paraId="75CA3B2A" w14:textId="7D5C79D9" w:rsidR="007111D3" w:rsidRDefault="007111D3" w:rsidP="00DA7581">
            <w:pPr>
              <w:pStyle w:val="ListParagraph"/>
              <w:numPr>
                <w:ilvl w:val="0"/>
                <w:numId w:val="44"/>
              </w:numPr>
              <w:spacing w:after="0"/>
              <w:jc w:val="both"/>
            </w:pPr>
            <w:r>
              <w:t>PWID intervention: NSEP continuously faces challenges for drug related legal issues. PWID are always under police incursion and in hiding, increasing unsafe practices.</w:t>
            </w:r>
          </w:p>
          <w:p w14:paraId="12D6969E" w14:textId="36737AF3" w:rsidR="007111D3" w:rsidRDefault="007111D3" w:rsidP="00DA7581">
            <w:pPr>
              <w:pStyle w:val="ListParagraph"/>
              <w:numPr>
                <w:ilvl w:val="0"/>
                <w:numId w:val="44"/>
              </w:numPr>
              <w:spacing w:after="0"/>
            </w:pPr>
            <w:r>
              <w:t>Differentiated services: One stop service for viral load testing, ARV drug resistant testing, and other co-infection (TB, Hepatitis, syphilis), HTS services and continuum of care lacks in the health delivery system</w:t>
            </w:r>
          </w:p>
          <w:p w14:paraId="7948D33A" w14:textId="77777777" w:rsidR="00A321C0" w:rsidRDefault="007111D3" w:rsidP="00DA7581">
            <w:pPr>
              <w:pStyle w:val="ListParagraph"/>
              <w:numPr>
                <w:ilvl w:val="0"/>
                <w:numId w:val="41"/>
              </w:numPr>
              <w:spacing w:after="0"/>
              <w:ind w:left="360"/>
            </w:pPr>
            <w:r>
              <w:t>Data reporting: PLHIV database is yet to be fully functional in DHIS2</w:t>
            </w:r>
            <w:r w:rsidR="00A33423">
              <w:t>. T</w:t>
            </w:r>
            <w:r>
              <w:t>he available data of KP size estimation and IBSS are from 2015-2016, which might not</w:t>
            </w:r>
            <w:r w:rsidR="00A33423">
              <w:t xml:space="preserve"> </w:t>
            </w:r>
            <w:r>
              <w:t>be reflecting the actual situation in 2020.</w:t>
            </w:r>
          </w:p>
          <w:p w14:paraId="63B403F5" w14:textId="70975946" w:rsidR="005F1998" w:rsidRPr="005305D5" w:rsidRDefault="005F1998" w:rsidP="005F1998">
            <w:pPr>
              <w:pStyle w:val="ListParagraph"/>
              <w:spacing w:after="0"/>
              <w:ind w:left="360"/>
            </w:pPr>
          </w:p>
        </w:tc>
      </w:tr>
    </w:tbl>
    <w:p w14:paraId="053858ED" w14:textId="0B64690B" w:rsidR="00F53018" w:rsidRDefault="00F53018" w:rsidP="009B6C0D">
      <w:pPr>
        <w:spacing w:after="0" w:line="0" w:lineRule="auto"/>
      </w:pPr>
    </w:p>
    <w:p w14:paraId="32836519" w14:textId="3219FF2D" w:rsidR="0098274C" w:rsidRPr="00C92797" w:rsidRDefault="009B6C0D" w:rsidP="009B6C0D">
      <w:pPr>
        <w:pStyle w:val="Heading1"/>
        <w:numPr>
          <w:ilvl w:val="0"/>
          <w:numId w:val="0"/>
        </w:numPr>
        <w:spacing w:before="0"/>
        <w:ind w:left="567" w:hanging="567"/>
      </w:pPr>
      <w:r>
        <w:t xml:space="preserve">Section 2: </w:t>
      </w:r>
      <w:r w:rsidR="0098274C" w:rsidRPr="00C92797">
        <w:t>Funding Request and Prioritization</w:t>
      </w:r>
    </w:p>
    <w:p w14:paraId="307312A3" w14:textId="6E13D8C2" w:rsidR="00250AD1" w:rsidRDefault="000D3875" w:rsidP="009B6C0D">
      <w:pPr>
        <w:spacing w:after="0"/>
      </w:pPr>
      <w:r>
        <w:t xml:space="preserve">To respond to the questions below, refer to the </w:t>
      </w:r>
      <w:r w:rsidRPr="00DD3612">
        <w:rPr>
          <w:i/>
        </w:rPr>
        <w:t>Instructions</w:t>
      </w:r>
      <w:r w:rsidR="00CA301B">
        <w:rPr>
          <w:i/>
        </w:rPr>
        <w:t>,</w:t>
      </w:r>
      <w:r w:rsidRPr="00DD3612">
        <w:rPr>
          <w:i/>
        </w:rPr>
        <w:t xml:space="preserve"> </w:t>
      </w:r>
      <w:r w:rsidR="001C4F53">
        <w:t>as well as national strategy</w:t>
      </w:r>
      <w:r>
        <w:t xml:space="preserve"> documents, </w:t>
      </w:r>
      <w:r w:rsidR="0098274C" w:rsidRPr="005305D5">
        <w:rPr>
          <w:b/>
          <w:bCs/>
        </w:rPr>
        <w:t>Programmatic Gap Table(s), Funding Landscape Table(s), Performance Framework, Budget and Essential Data Table(s)</w:t>
      </w:r>
      <w:r w:rsidR="0098274C" w:rsidRPr="005305D5">
        <w:t xml:space="preserve">. </w:t>
      </w:r>
    </w:p>
    <w:p w14:paraId="6CE2E43A" w14:textId="2FF011BD" w:rsidR="0098274C" w:rsidRPr="00C92797" w:rsidRDefault="009B6C0D" w:rsidP="009B6C0D">
      <w:pPr>
        <w:pStyle w:val="Heading2"/>
        <w:numPr>
          <w:ilvl w:val="0"/>
          <w:numId w:val="0"/>
        </w:numPr>
        <w:shd w:val="clear" w:color="auto" w:fill="D9D9D9" w:themeFill="background1" w:themeFillShade="D9"/>
        <w:spacing w:before="0" w:after="0" w:line="240" w:lineRule="auto"/>
        <w:ind w:left="567" w:hanging="567"/>
        <w:contextualSpacing/>
      </w:pPr>
      <w:bookmarkStart w:id="7" w:name="_Toc8896984"/>
      <w:r>
        <w:t xml:space="preserve">2.1 </w:t>
      </w:r>
      <w:r w:rsidR="0098274C" w:rsidRPr="00C92797">
        <w:t>Overview of Funding</w:t>
      </w:r>
      <w:bookmarkEnd w:id="7"/>
      <w:r w:rsidR="0098274C">
        <w:t xml:space="preserve"> Priorities</w:t>
      </w:r>
    </w:p>
    <w:p w14:paraId="5EC0BBC9" w14:textId="5646E260" w:rsidR="005D2909" w:rsidRDefault="00CA301B" w:rsidP="009B6C0D">
      <w:pPr>
        <w:spacing w:after="0" w:line="260" w:lineRule="atLeast"/>
        <w:rPr>
          <w:bCs/>
          <w:iCs/>
        </w:rPr>
      </w:pPr>
      <w:r>
        <w:rPr>
          <w:bCs/>
          <w:iCs/>
        </w:rPr>
        <w:t>Summarize</w:t>
      </w:r>
      <w:r w:rsidR="005D2909" w:rsidRPr="004F1255">
        <w:rPr>
          <w:bCs/>
          <w:iCs/>
        </w:rPr>
        <w:t xml:space="preserve"> the </w:t>
      </w:r>
      <w:r w:rsidR="005D2909" w:rsidRPr="002F3609">
        <w:rPr>
          <w:b/>
          <w:bCs/>
          <w:iCs/>
        </w:rPr>
        <w:t>approach used for prioritization</w:t>
      </w:r>
      <w:r w:rsidR="003A7307" w:rsidRPr="004F1255">
        <w:rPr>
          <w:bCs/>
          <w:iCs/>
        </w:rPr>
        <w:t xml:space="preserve"> of modules and i</w:t>
      </w:r>
      <w:r w:rsidR="00003615">
        <w:rPr>
          <w:bCs/>
          <w:iCs/>
        </w:rPr>
        <w:t>nterventions (</w:t>
      </w:r>
      <w:r w:rsidR="003A7307" w:rsidRPr="004F1255">
        <w:rPr>
          <w:bCs/>
          <w:iCs/>
        </w:rPr>
        <w:t>or in the case of Payment for Results, the performance indicators and/or milestones</w:t>
      </w:r>
      <w:r w:rsidR="00003615">
        <w:rPr>
          <w:bCs/>
          <w:iCs/>
        </w:rPr>
        <w:t>)</w:t>
      </w:r>
      <w:r w:rsidR="003A7307" w:rsidRPr="004F1255">
        <w:rPr>
          <w:bCs/>
          <w:iCs/>
        </w:rPr>
        <w:t>. The response should include:</w:t>
      </w:r>
    </w:p>
    <w:p w14:paraId="2D65B2FA" w14:textId="024C820E" w:rsidR="004F1255" w:rsidRDefault="006D0956" w:rsidP="00C57762">
      <w:pPr>
        <w:pStyle w:val="ListParagraph"/>
        <w:numPr>
          <w:ilvl w:val="0"/>
          <w:numId w:val="21"/>
        </w:numPr>
        <w:spacing w:after="0" w:line="260" w:lineRule="atLeast"/>
        <w:ind w:left="720" w:hanging="270"/>
      </w:pPr>
      <w:r>
        <w:t>H</w:t>
      </w:r>
      <w:r w:rsidR="00FD28F4">
        <w:t xml:space="preserve">ow these prioritized modules ensure the highest possible impact with a view to ending the </w:t>
      </w:r>
      <w:r w:rsidR="000F55C3">
        <w:t>epidemics of HIV, TB and malaria</w:t>
      </w:r>
      <w:r w:rsidR="00FD28F4">
        <w:t>; and</w:t>
      </w:r>
    </w:p>
    <w:p w14:paraId="1BF1E50C" w14:textId="3CDF64A9" w:rsidR="00D11DF2" w:rsidRPr="00C92797" w:rsidRDefault="006D0956" w:rsidP="00E4452E">
      <w:pPr>
        <w:pStyle w:val="ListParagraph"/>
        <w:numPr>
          <w:ilvl w:val="0"/>
          <w:numId w:val="21"/>
        </w:numPr>
        <w:spacing w:after="0" w:line="260" w:lineRule="atLeast"/>
        <w:ind w:left="720" w:hanging="270"/>
      </w:pPr>
      <w:r>
        <w:t>H</w:t>
      </w:r>
      <w:r w:rsidR="008C7619">
        <w:t xml:space="preserve">ow challenges, barriers and inequities, including those related to human rights and gender, are being addressed through the modules </w:t>
      </w:r>
      <w:r w:rsidR="00CA301B">
        <w:t xml:space="preserve">prioritized </w:t>
      </w:r>
      <w:r w:rsidR="008C7619">
        <w:t>within this funding request.</w:t>
      </w:r>
    </w:p>
    <w:tbl>
      <w:tblPr>
        <w:tblStyle w:val="TableGrid"/>
        <w:tblW w:w="0" w:type="auto"/>
        <w:tblLook w:val="04A0" w:firstRow="1" w:lastRow="0" w:firstColumn="1" w:lastColumn="0" w:noHBand="0" w:noVBand="1"/>
      </w:tblPr>
      <w:tblGrid>
        <w:gridCol w:w="10456"/>
      </w:tblGrid>
      <w:tr w:rsidR="00FD28F4" w:rsidRPr="00C92797" w14:paraId="4833B938" w14:textId="77777777" w:rsidTr="00D63E4B">
        <w:tc>
          <w:tcPr>
            <w:tcW w:w="10790" w:type="dxa"/>
          </w:tcPr>
          <w:p w14:paraId="339AAC48" w14:textId="77777777" w:rsidR="00570C66" w:rsidRDefault="00570C66" w:rsidP="00570C66">
            <w:pPr>
              <w:spacing w:after="0"/>
            </w:pPr>
            <w:bookmarkStart w:id="8" w:name="_Hlk35439790"/>
            <w:r w:rsidRPr="005F7F9E">
              <w:rPr>
                <w:highlight w:val="yellow"/>
              </w:rPr>
              <w:t>Applicant response] 1 page</w:t>
            </w:r>
          </w:p>
          <w:p w14:paraId="4FD020E5" w14:textId="77777777" w:rsidR="00570C66" w:rsidRDefault="00570C66" w:rsidP="00570C66">
            <w:pPr>
              <w:spacing w:after="0"/>
              <w:jc w:val="both"/>
            </w:pPr>
            <w:r>
              <w:t xml:space="preserve">In Alignment with </w:t>
            </w:r>
            <w:r w:rsidRPr="00B0645F">
              <w:t>revised 4th NSP</w:t>
            </w:r>
            <w:r>
              <w:t xml:space="preserve"> (2018-2023)</w:t>
            </w:r>
            <w:r w:rsidRPr="00B0645F">
              <w:t>, latest size estimation (2015-2016) [6, page xv], and Investment Case (Scenario-3) 2019 [15, page 33-34]</w:t>
            </w:r>
            <w:r>
              <w:t xml:space="preserve"> </w:t>
            </w:r>
            <w:r w:rsidRPr="00E111D1">
              <w:rPr>
                <w:i/>
                <w:iCs/>
              </w:rPr>
              <w:t>scaling up</w:t>
            </w:r>
            <w:r>
              <w:t xml:space="preserve"> of KP coverage has been prioritized based on </w:t>
            </w:r>
            <w:r w:rsidRPr="00E6234D">
              <w:t xml:space="preserve">geographical vulnerability. </w:t>
            </w:r>
            <w:r>
              <w:t>P</w:t>
            </w:r>
            <w:r w:rsidRPr="005F7F9E">
              <w:t>revention</w:t>
            </w:r>
            <w:r>
              <w:t>,</w:t>
            </w:r>
            <w:r w:rsidRPr="005F7F9E">
              <w:t xml:space="preserve"> differentiated testing and treatment </w:t>
            </w:r>
            <w:r>
              <w:t xml:space="preserve">will be strengthened to </w:t>
            </w:r>
            <w:r w:rsidRPr="005F7F9E">
              <w:t>reinforce</w:t>
            </w:r>
            <w:r>
              <w:t xml:space="preserve"> towards </w:t>
            </w:r>
            <w:r w:rsidRPr="005F7F9E">
              <w:t>90-90-90</w:t>
            </w:r>
            <w:r>
              <w:t xml:space="preserve"> targets</w:t>
            </w:r>
            <w:r w:rsidRPr="005F7F9E">
              <w:t>. The intervention</w:t>
            </w:r>
            <w:r>
              <w:t xml:space="preserve">s are customized for </w:t>
            </w:r>
            <w:r w:rsidRPr="005F7F9E">
              <w:t>three different geographical regions: Dhaka</w:t>
            </w:r>
            <w:r>
              <w:t>, the epi-center</w:t>
            </w:r>
            <w:r w:rsidRPr="005F7F9E">
              <w:t xml:space="preserve">; </w:t>
            </w:r>
            <w:r>
              <w:t xml:space="preserve">22 </w:t>
            </w:r>
            <w:r w:rsidRPr="005F7F9E">
              <w:t>priority districts; and remaining 41 districts</w:t>
            </w:r>
            <w:r>
              <w:t xml:space="preserve">. About </w:t>
            </w:r>
            <w:r w:rsidRPr="005F7F9E">
              <w:t xml:space="preserve">62.3% of KPs and 79.8% of detected PLHIV live in </w:t>
            </w:r>
            <w:r>
              <w:t xml:space="preserve">the </w:t>
            </w:r>
            <w:r w:rsidRPr="005F7F9E">
              <w:t xml:space="preserve">23 districts (Dhaka and </w:t>
            </w:r>
            <w:r>
              <w:t xml:space="preserve">the </w:t>
            </w:r>
            <w:r w:rsidRPr="005F7F9E">
              <w:t>22) [1</w:t>
            </w:r>
            <w:r>
              <w:t>5</w:t>
            </w:r>
            <w:r w:rsidRPr="005F7F9E">
              <w:t xml:space="preserve">, page 27-30]. </w:t>
            </w:r>
            <w:r>
              <w:t>B</w:t>
            </w:r>
            <w:r w:rsidRPr="005F7F9E">
              <w:t>ehavioral pattern</w:t>
            </w:r>
            <w:r>
              <w:t>s</w:t>
            </w:r>
            <w:r w:rsidRPr="005F7F9E">
              <w:t xml:space="preserve"> of </w:t>
            </w:r>
            <w:r>
              <w:t xml:space="preserve">each of the </w:t>
            </w:r>
            <w:r w:rsidRPr="005F7F9E">
              <w:t>KP</w:t>
            </w:r>
            <w:r>
              <w:t>s</w:t>
            </w:r>
            <w:r w:rsidRPr="005F7F9E">
              <w:t xml:space="preserve"> and human rights issues</w:t>
            </w:r>
            <w:r>
              <w:t xml:space="preserve"> are considered</w:t>
            </w:r>
            <w:r w:rsidRPr="005F7F9E">
              <w:t xml:space="preserve">. </w:t>
            </w:r>
            <w:r w:rsidRPr="000633B4">
              <w:t>The government PR</w:t>
            </w:r>
            <w:r>
              <w:t xml:space="preserve"> (</w:t>
            </w:r>
            <w:r w:rsidRPr="000633B4">
              <w:t>ASP</w:t>
            </w:r>
            <w:r>
              <w:t>)</w:t>
            </w:r>
            <w:r w:rsidRPr="000633B4">
              <w:t xml:space="preserve"> and NGO PRs</w:t>
            </w:r>
            <w:r>
              <w:t xml:space="preserve"> (</w:t>
            </w:r>
            <w:r w:rsidRPr="000633B4">
              <w:t>Save the Children and icddr,b</w:t>
            </w:r>
            <w:r>
              <w:t>)</w:t>
            </w:r>
            <w:r w:rsidRPr="000633B4">
              <w:t xml:space="preserve"> will jointly implement the interventions. </w:t>
            </w:r>
            <w:r>
              <w:t>PR-SC will provide services to PWID in 8</w:t>
            </w:r>
            <w:r w:rsidRPr="005F7F9E">
              <w:t xml:space="preserve"> districts</w:t>
            </w:r>
            <w:r>
              <w:t>, and to FSW in 13 districts.</w:t>
            </w:r>
            <w:r w:rsidRPr="00891DE7">
              <w:t xml:space="preserve"> PR-ASP will </w:t>
            </w:r>
            <w:r>
              <w:t xml:space="preserve">provide services to PWID and FSW in other 4 districts from govt. hospitals. PR-icddr,b will provide services to MSM/MSW and TG in 23 priority districts and 14 other districts (District list annexed). Table-2 below has the snap-shot of </w:t>
            </w:r>
            <w:r w:rsidRPr="005F7F9E">
              <w:t>funding priorities:</w:t>
            </w:r>
          </w:p>
          <w:tbl>
            <w:tblPr>
              <w:tblStyle w:val="TableGrid"/>
              <w:tblW w:w="0" w:type="auto"/>
              <w:tblLook w:val="04A0" w:firstRow="1" w:lastRow="0" w:firstColumn="1" w:lastColumn="0" w:noHBand="0" w:noVBand="1"/>
            </w:tblPr>
            <w:tblGrid>
              <w:gridCol w:w="835"/>
              <w:gridCol w:w="1626"/>
              <w:gridCol w:w="1194"/>
              <w:gridCol w:w="1628"/>
              <w:gridCol w:w="2061"/>
              <w:gridCol w:w="2886"/>
            </w:tblGrid>
            <w:tr w:rsidR="00570C66" w14:paraId="2D6AE5C7" w14:textId="77777777" w:rsidTr="00E4452E">
              <w:trPr>
                <w:trHeight w:val="156"/>
              </w:trPr>
              <w:tc>
                <w:tcPr>
                  <w:tcW w:w="0" w:type="auto"/>
                  <w:gridSpan w:val="6"/>
                </w:tcPr>
                <w:p w14:paraId="7E8AC9C1" w14:textId="77777777" w:rsidR="00570C66" w:rsidRPr="002675ED" w:rsidRDefault="00570C66" w:rsidP="00570C66">
                  <w:pPr>
                    <w:spacing w:after="0"/>
                    <w:jc w:val="center"/>
                    <w:rPr>
                      <w:b/>
                      <w:bCs/>
                    </w:rPr>
                  </w:pPr>
                  <w:r w:rsidRPr="002675ED">
                    <w:rPr>
                      <w:b/>
                      <w:bCs/>
                    </w:rPr>
                    <w:t>Table 2- Funding priorities</w:t>
                  </w:r>
                </w:p>
              </w:tc>
            </w:tr>
            <w:tr w:rsidR="001F07BB" w14:paraId="28561447" w14:textId="77777777" w:rsidTr="00E4452E">
              <w:trPr>
                <w:trHeight w:val="156"/>
              </w:trPr>
              <w:tc>
                <w:tcPr>
                  <w:tcW w:w="0" w:type="auto"/>
                  <w:vMerge w:val="restart"/>
                </w:tcPr>
                <w:p w14:paraId="78FDD616" w14:textId="77777777" w:rsidR="00570C66" w:rsidRDefault="00570C66" w:rsidP="00570C66">
                  <w:pPr>
                    <w:spacing w:after="0"/>
                  </w:pPr>
                  <w:r>
                    <w:t>KPs</w:t>
                  </w:r>
                </w:p>
              </w:tc>
              <w:tc>
                <w:tcPr>
                  <w:tcW w:w="0" w:type="auto"/>
                  <w:vMerge w:val="restart"/>
                </w:tcPr>
                <w:p w14:paraId="3D0AFF2E" w14:textId="77777777" w:rsidR="00570C66" w:rsidRDefault="00570C66" w:rsidP="00570C66">
                  <w:pPr>
                    <w:spacing w:after="0"/>
                  </w:pPr>
                  <w:r>
                    <w:t xml:space="preserve">Priority Intervention </w:t>
                  </w:r>
                </w:p>
              </w:tc>
              <w:tc>
                <w:tcPr>
                  <w:tcW w:w="0" w:type="auto"/>
                  <w:vMerge w:val="restart"/>
                </w:tcPr>
                <w:p w14:paraId="69EC64D8" w14:textId="77777777" w:rsidR="00570C66" w:rsidRDefault="00570C66" w:rsidP="00570C66">
                  <w:pPr>
                    <w:spacing w:after="0"/>
                  </w:pPr>
                  <w:r>
                    <w:t xml:space="preserve">Targets </w:t>
                  </w:r>
                </w:p>
              </w:tc>
              <w:tc>
                <w:tcPr>
                  <w:tcW w:w="0" w:type="auto"/>
                  <w:gridSpan w:val="2"/>
                </w:tcPr>
                <w:p w14:paraId="2CE5AA35" w14:textId="77777777" w:rsidR="00570C66" w:rsidRDefault="00570C66" w:rsidP="00570C66">
                  <w:pPr>
                    <w:spacing w:after="0"/>
                  </w:pPr>
                  <w:r>
                    <w:t>Geographic coverage</w:t>
                  </w:r>
                </w:p>
              </w:tc>
              <w:tc>
                <w:tcPr>
                  <w:tcW w:w="0" w:type="auto"/>
                  <w:vMerge w:val="restart"/>
                </w:tcPr>
                <w:p w14:paraId="01BF70C6" w14:textId="77777777" w:rsidR="00570C66" w:rsidRDefault="00570C66" w:rsidP="00570C66">
                  <w:pPr>
                    <w:spacing w:after="0"/>
                  </w:pPr>
                  <w:r>
                    <w:t xml:space="preserve">Approach </w:t>
                  </w:r>
                </w:p>
              </w:tc>
            </w:tr>
            <w:tr w:rsidR="001F07BB" w14:paraId="75636CF4" w14:textId="77777777" w:rsidTr="00E4452E">
              <w:trPr>
                <w:trHeight w:val="156"/>
              </w:trPr>
              <w:tc>
                <w:tcPr>
                  <w:tcW w:w="0" w:type="auto"/>
                  <w:vMerge/>
                </w:tcPr>
                <w:p w14:paraId="0954B20E" w14:textId="77777777" w:rsidR="00570C66" w:rsidRDefault="00570C66" w:rsidP="00570C66">
                  <w:pPr>
                    <w:spacing w:after="0"/>
                  </w:pPr>
                </w:p>
              </w:tc>
              <w:tc>
                <w:tcPr>
                  <w:tcW w:w="0" w:type="auto"/>
                  <w:vMerge/>
                </w:tcPr>
                <w:p w14:paraId="113F676E" w14:textId="77777777" w:rsidR="00570C66" w:rsidRDefault="00570C66" w:rsidP="00570C66">
                  <w:pPr>
                    <w:spacing w:after="0"/>
                  </w:pPr>
                </w:p>
              </w:tc>
              <w:tc>
                <w:tcPr>
                  <w:tcW w:w="0" w:type="auto"/>
                  <w:vMerge/>
                </w:tcPr>
                <w:p w14:paraId="486F9E1C" w14:textId="77777777" w:rsidR="00570C66" w:rsidRDefault="00570C66" w:rsidP="00570C66">
                  <w:pPr>
                    <w:spacing w:after="0"/>
                  </w:pPr>
                </w:p>
              </w:tc>
              <w:tc>
                <w:tcPr>
                  <w:tcW w:w="0" w:type="auto"/>
                </w:tcPr>
                <w:p w14:paraId="7D116605" w14:textId="77777777" w:rsidR="00570C66" w:rsidRDefault="00570C66" w:rsidP="00570C66">
                  <w:pPr>
                    <w:spacing w:after="0"/>
                  </w:pPr>
                  <w:r>
                    <w:t xml:space="preserve">Dhaka </w:t>
                  </w:r>
                </w:p>
              </w:tc>
              <w:tc>
                <w:tcPr>
                  <w:tcW w:w="0" w:type="auto"/>
                </w:tcPr>
                <w:p w14:paraId="1F83C375" w14:textId="77777777" w:rsidR="00570C66" w:rsidRDefault="00570C66" w:rsidP="00570C66">
                  <w:pPr>
                    <w:spacing w:after="0"/>
                  </w:pPr>
                  <w:r>
                    <w:t xml:space="preserve">Other districts </w:t>
                  </w:r>
                </w:p>
              </w:tc>
              <w:tc>
                <w:tcPr>
                  <w:tcW w:w="0" w:type="auto"/>
                  <w:vMerge/>
                </w:tcPr>
                <w:p w14:paraId="1CEE19E0" w14:textId="77777777" w:rsidR="00570C66" w:rsidRDefault="00570C66" w:rsidP="00570C66">
                  <w:pPr>
                    <w:spacing w:after="0"/>
                  </w:pPr>
                </w:p>
              </w:tc>
            </w:tr>
            <w:tr w:rsidR="001F07BB" w14:paraId="582D4050" w14:textId="77777777" w:rsidTr="00E4452E">
              <w:tc>
                <w:tcPr>
                  <w:tcW w:w="0" w:type="auto"/>
                </w:tcPr>
                <w:p w14:paraId="0257D0E5" w14:textId="77777777" w:rsidR="00570C66" w:rsidRDefault="00570C66" w:rsidP="00570C66">
                  <w:pPr>
                    <w:spacing w:after="0"/>
                  </w:pPr>
                  <w:r>
                    <w:t>PWID</w:t>
                  </w:r>
                </w:p>
              </w:tc>
              <w:tc>
                <w:tcPr>
                  <w:tcW w:w="0" w:type="auto"/>
                </w:tcPr>
                <w:p w14:paraId="7DF5853A" w14:textId="77777777" w:rsidR="00570C66" w:rsidRDefault="00570C66" w:rsidP="00570C66">
                  <w:pPr>
                    <w:spacing w:after="0"/>
                  </w:pPr>
                  <w:r w:rsidRPr="00DC40FE">
                    <w:t>Prevention, testing, treatment, care and follow-up</w:t>
                  </w:r>
                </w:p>
              </w:tc>
              <w:tc>
                <w:tcPr>
                  <w:tcW w:w="0" w:type="auto"/>
                </w:tcPr>
                <w:p w14:paraId="4F051070" w14:textId="77777777" w:rsidR="00570C66" w:rsidRDefault="00570C66" w:rsidP="00570C66">
                  <w:pPr>
                    <w:spacing w:after="0"/>
                  </w:pPr>
                  <w:r w:rsidRPr="00E64069">
                    <w:t>13,926</w:t>
                  </w:r>
                  <w:r>
                    <w:t>:</w:t>
                  </w:r>
                </w:p>
                <w:p w14:paraId="105467BD" w14:textId="159F58F5" w:rsidR="00570C66" w:rsidRDefault="00570C66" w:rsidP="00570C66">
                  <w:pPr>
                    <w:spacing w:after="0"/>
                  </w:pPr>
                  <w:r w:rsidRPr="004D0346">
                    <w:t>11,500</w:t>
                  </w:r>
                  <w:r>
                    <w:t xml:space="preserve"> (SC) + </w:t>
                  </w:r>
                  <w:r w:rsidRPr="00FA1E78">
                    <w:t>2</w:t>
                  </w:r>
                  <w:r>
                    <w:t>,</w:t>
                  </w:r>
                  <w:r w:rsidR="001F07BB">
                    <w:t>100</w:t>
                  </w:r>
                  <w:r>
                    <w:t xml:space="preserve"> </w:t>
                  </w:r>
                  <w:r w:rsidRPr="003E3745">
                    <w:t>(ASP)</w:t>
                  </w:r>
                </w:p>
              </w:tc>
              <w:tc>
                <w:tcPr>
                  <w:tcW w:w="0" w:type="auto"/>
                </w:tcPr>
                <w:p w14:paraId="111C8957" w14:textId="77777777" w:rsidR="00570C66" w:rsidRDefault="00570C66" w:rsidP="00570C66">
                  <w:pPr>
                    <w:spacing w:after="0"/>
                  </w:pPr>
                  <w:r w:rsidRPr="003E3745">
                    <w:t>6,200</w:t>
                  </w:r>
                  <w:r>
                    <w:t>:</w:t>
                  </w:r>
                  <w:r w:rsidRPr="003E3745">
                    <w:t xml:space="preserve"> </w:t>
                  </w:r>
                </w:p>
                <w:p w14:paraId="0ECD939E" w14:textId="77777777" w:rsidR="00570C66" w:rsidRDefault="00570C66" w:rsidP="00570C66">
                  <w:pPr>
                    <w:spacing w:after="0"/>
                  </w:pPr>
                  <w:r w:rsidRPr="003E3745">
                    <w:t>100% of NSP target.</w:t>
                  </w:r>
                </w:p>
              </w:tc>
              <w:tc>
                <w:tcPr>
                  <w:tcW w:w="0" w:type="auto"/>
                </w:tcPr>
                <w:p w14:paraId="7FA4D309" w14:textId="77777777" w:rsidR="00570C66" w:rsidRDefault="00570C66" w:rsidP="00570C66">
                  <w:pPr>
                    <w:spacing w:after="0"/>
                  </w:pPr>
                  <w:r w:rsidRPr="00D80A14">
                    <w:t>7,726</w:t>
                  </w:r>
                  <w:r>
                    <w:t xml:space="preserve">: </w:t>
                  </w:r>
                </w:p>
                <w:p w14:paraId="7140FAC6" w14:textId="77777777" w:rsidR="00570C66" w:rsidRDefault="00570C66" w:rsidP="00570C66">
                  <w:pPr>
                    <w:spacing w:after="0"/>
                  </w:pPr>
                  <w:r>
                    <w:t xml:space="preserve">SC - </w:t>
                  </w:r>
                  <w:r w:rsidRPr="00D80A14">
                    <w:t>5,300</w:t>
                  </w:r>
                  <w:r>
                    <w:t xml:space="preserve"> (</w:t>
                  </w:r>
                  <w:r w:rsidRPr="003E3745">
                    <w:t>84% of NSP target in 7 districts</w:t>
                  </w:r>
                  <w:r>
                    <w:t xml:space="preserve">: </w:t>
                  </w:r>
                </w:p>
                <w:p w14:paraId="64E17D88" w14:textId="52207DF4" w:rsidR="00570C66" w:rsidRDefault="00570C66" w:rsidP="00570C66">
                  <w:pPr>
                    <w:spacing w:after="0"/>
                  </w:pPr>
                  <w:r w:rsidRPr="005C2AC2">
                    <w:t>ASP- 2</w:t>
                  </w:r>
                  <w:r w:rsidR="001F07BB">
                    <w:t>,100</w:t>
                  </w:r>
                  <w:r w:rsidRPr="005C2AC2">
                    <w:t xml:space="preserve"> (80% of</w:t>
                  </w:r>
                  <w:r>
                    <w:t xml:space="preserve"> NSP</w:t>
                  </w:r>
                  <w:r w:rsidRPr="005C2AC2">
                    <w:t xml:space="preserve"> four districts</w:t>
                  </w:r>
                  <w:r>
                    <w:t xml:space="preserve"> from govt. hospital)</w:t>
                  </w:r>
                </w:p>
              </w:tc>
              <w:tc>
                <w:tcPr>
                  <w:tcW w:w="0" w:type="auto"/>
                </w:tcPr>
                <w:p w14:paraId="3999B122" w14:textId="77777777" w:rsidR="00570C66" w:rsidRDefault="00570C66" w:rsidP="00570C66">
                  <w:pPr>
                    <w:spacing w:after="0"/>
                  </w:pPr>
                  <w:r>
                    <w:t xml:space="preserve">Peer driven </w:t>
                  </w:r>
                  <w:r w:rsidRPr="003B5DAE">
                    <w:t xml:space="preserve">differentiated </w:t>
                  </w:r>
                  <w:r>
                    <w:t xml:space="preserve">community-led service; </w:t>
                  </w:r>
                  <w:r w:rsidRPr="003E3745">
                    <w:t xml:space="preserve">referral </w:t>
                  </w:r>
                  <w:r>
                    <w:t>to</w:t>
                  </w:r>
                  <w:r w:rsidRPr="003E3745">
                    <w:t xml:space="preserve"> govt facilities</w:t>
                  </w:r>
                  <w:r>
                    <w:t>;</w:t>
                  </w:r>
                  <w:r w:rsidRPr="003E3745">
                    <w:t xml:space="preserve"> 8 CDIC</w:t>
                  </w:r>
                  <w:r>
                    <w:t>s</w:t>
                  </w:r>
                  <w:r w:rsidRPr="003E3745">
                    <w:t>, 2 DIC</w:t>
                  </w:r>
                  <w:r>
                    <w:t>s</w:t>
                  </w:r>
                  <w:r w:rsidRPr="003E3745">
                    <w:t>, 10 outlet</w:t>
                  </w:r>
                  <w:r>
                    <w:t>s</w:t>
                  </w:r>
                  <w:r w:rsidRPr="003E3745">
                    <w:t xml:space="preserve"> </w:t>
                  </w:r>
                  <w:r>
                    <w:t>(2 under</w:t>
                  </w:r>
                  <w:r w:rsidRPr="003E3745">
                    <w:t xml:space="preserve"> CBO</w:t>
                  </w:r>
                  <w:r>
                    <w:t xml:space="preserve">s); OST to </w:t>
                  </w:r>
                  <w:r w:rsidRPr="005C2AC2">
                    <w:t xml:space="preserve">2,600 PWID by SC; </w:t>
                  </w:r>
                  <w:r>
                    <w:t xml:space="preserve">OST to </w:t>
                  </w:r>
                  <w:r w:rsidRPr="005C2AC2">
                    <w:t xml:space="preserve">600 by icddr,b. </w:t>
                  </w:r>
                </w:p>
              </w:tc>
            </w:tr>
            <w:tr w:rsidR="001F07BB" w14:paraId="22FC6C60" w14:textId="77777777" w:rsidTr="00E4452E">
              <w:tc>
                <w:tcPr>
                  <w:tcW w:w="0" w:type="auto"/>
                </w:tcPr>
                <w:p w14:paraId="5B092A88" w14:textId="77777777" w:rsidR="00570C66" w:rsidRDefault="00570C66" w:rsidP="00570C66">
                  <w:pPr>
                    <w:spacing w:after="0"/>
                  </w:pPr>
                  <w:r>
                    <w:t>FSW</w:t>
                  </w:r>
                </w:p>
              </w:tc>
              <w:tc>
                <w:tcPr>
                  <w:tcW w:w="0" w:type="auto"/>
                </w:tcPr>
                <w:p w14:paraId="09B18BB6" w14:textId="77777777" w:rsidR="00570C66" w:rsidRDefault="00570C66" w:rsidP="00570C66">
                  <w:pPr>
                    <w:spacing w:after="0"/>
                  </w:pPr>
                  <w:r w:rsidRPr="00DC40FE">
                    <w:t>Prevention, testing, treatment, care and follow-up</w:t>
                  </w:r>
                </w:p>
              </w:tc>
              <w:tc>
                <w:tcPr>
                  <w:tcW w:w="0" w:type="auto"/>
                </w:tcPr>
                <w:p w14:paraId="7B497298" w14:textId="77777777" w:rsidR="00570C66" w:rsidRDefault="00570C66" w:rsidP="00570C66">
                  <w:pPr>
                    <w:spacing w:after="0"/>
                  </w:pPr>
                  <w:r w:rsidRPr="00B65AEB">
                    <w:t>31,400</w:t>
                  </w:r>
                  <w:r>
                    <w:t>:</w:t>
                  </w:r>
                </w:p>
                <w:p w14:paraId="4BBE3B3C" w14:textId="1249DFD9" w:rsidR="00570C66" w:rsidRDefault="00570C66" w:rsidP="00570C66">
                  <w:pPr>
                    <w:spacing w:after="0"/>
                  </w:pPr>
                  <w:r w:rsidRPr="004148D3">
                    <w:t>30,000</w:t>
                  </w:r>
                  <w:r>
                    <w:t xml:space="preserve"> (SC) + 1,</w:t>
                  </w:r>
                  <w:r w:rsidR="00C629DB">
                    <w:t>14</w:t>
                  </w:r>
                  <w:r>
                    <w:t>0 (ASP from 2</w:t>
                  </w:r>
                  <w:r w:rsidRPr="00B65AEB">
                    <w:rPr>
                      <w:vertAlign w:val="superscript"/>
                    </w:rPr>
                    <w:t>nd</w:t>
                  </w:r>
                  <w:r>
                    <w:t xml:space="preserve"> Year)</w:t>
                  </w:r>
                  <w:r w:rsidRPr="00B65AEB">
                    <w:t xml:space="preserve"> </w:t>
                  </w:r>
                  <w:r w:rsidRPr="004148D3">
                    <w:t xml:space="preserve"> </w:t>
                  </w:r>
                </w:p>
              </w:tc>
              <w:tc>
                <w:tcPr>
                  <w:tcW w:w="0" w:type="auto"/>
                </w:tcPr>
                <w:p w14:paraId="5BF35D1D" w14:textId="77777777" w:rsidR="00570C66" w:rsidRDefault="00570C66" w:rsidP="00570C66">
                  <w:pPr>
                    <w:spacing w:after="0"/>
                  </w:pPr>
                  <w:r w:rsidRPr="004148D3">
                    <w:t>13,500</w:t>
                  </w:r>
                  <w:r>
                    <w:t>:</w:t>
                  </w:r>
                  <w:r w:rsidRPr="004148D3">
                    <w:t xml:space="preserve"> </w:t>
                  </w:r>
                </w:p>
                <w:p w14:paraId="22480617" w14:textId="77777777" w:rsidR="00570C66" w:rsidRPr="004328F8" w:rsidRDefault="00570C66" w:rsidP="00570C66">
                  <w:pPr>
                    <w:spacing w:after="0"/>
                    <w:rPr>
                      <w:highlight w:val="yellow"/>
                    </w:rPr>
                  </w:pPr>
                  <w:r w:rsidRPr="004148D3">
                    <w:t xml:space="preserve">87% of NSP </w:t>
                  </w:r>
                  <w:r>
                    <w:t>targets</w:t>
                  </w:r>
                </w:p>
              </w:tc>
              <w:tc>
                <w:tcPr>
                  <w:tcW w:w="0" w:type="auto"/>
                </w:tcPr>
                <w:p w14:paraId="401E710E" w14:textId="77777777" w:rsidR="00570C66" w:rsidRDefault="00570C66" w:rsidP="00570C66">
                  <w:pPr>
                    <w:spacing w:after="0"/>
                  </w:pPr>
                  <w:r w:rsidRPr="00B65AEB">
                    <w:t>17,900</w:t>
                  </w:r>
                  <w:r>
                    <w:t xml:space="preserve"> (80% of NSP): </w:t>
                  </w:r>
                </w:p>
                <w:p w14:paraId="6AE3F19D" w14:textId="77777777" w:rsidR="00570C66" w:rsidRDefault="00570C66" w:rsidP="00570C66">
                  <w:pPr>
                    <w:spacing w:after="0"/>
                  </w:pPr>
                  <w:r>
                    <w:t xml:space="preserve">SC - </w:t>
                  </w:r>
                  <w:r w:rsidRPr="004148D3">
                    <w:t xml:space="preserve">16,500 </w:t>
                  </w:r>
                  <w:r>
                    <w:t>(</w:t>
                  </w:r>
                  <w:r w:rsidRPr="004148D3">
                    <w:t>68% of NSP target in 12 districts</w:t>
                  </w:r>
                  <w:r>
                    <w:t>:</w:t>
                  </w:r>
                  <w:r w:rsidRPr="004148D3">
                    <w:t xml:space="preserve"> </w:t>
                  </w:r>
                </w:p>
                <w:p w14:paraId="45B8F179" w14:textId="45B48B21" w:rsidR="00570C66" w:rsidRPr="004328F8" w:rsidRDefault="00570C66" w:rsidP="00570C66">
                  <w:pPr>
                    <w:spacing w:after="0"/>
                    <w:rPr>
                      <w:highlight w:val="yellow"/>
                    </w:rPr>
                  </w:pPr>
                  <w:r>
                    <w:t>ASP 1,</w:t>
                  </w:r>
                  <w:r w:rsidR="00C629DB">
                    <w:t>14</w:t>
                  </w:r>
                  <w:r>
                    <w:t>0 (</w:t>
                  </w:r>
                  <w:r w:rsidRPr="005C2AC2">
                    <w:t xml:space="preserve">12% of NSP </w:t>
                  </w:r>
                </w:p>
              </w:tc>
              <w:tc>
                <w:tcPr>
                  <w:tcW w:w="0" w:type="auto"/>
                </w:tcPr>
                <w:p w14:paraId="631475EA" w14:textId="77777777" w:rsidR="00570C66" w:rsidRDefault="00570C66" w:rsidP="00570C66">
                  <w:pPr>
                    <w:spacing w:after="0"/>
                  </w:pPr>
                  <w:r>
                    <w:t>P</w:t>
                  </w:r>
                  <w:r w:rsidRPr="004148D3">
                    <w:t xml:space="preserve">eer driven </w:t>
                  </w:r>
                  <w:r>
                    <w:t>d</w:t>
                  </w:r>
                  <w:r w:rsidRPr="005C2AC2">
                    <w:t xml:space="preserve">ifferentiated </w:t>
                  </w:r>
                  <w:r>
                    <w:t>service;</w:t>
                  </w:r>
                  <w:r w:rsidRPr="004148D3">
                    <w:t xml:space="preserve"> 09 DIC (one community led), 16 outlets (</w:t>
                  </w:r>
                  <w:r>
                    <w:t>four</w:t>
                  </w:r>
                  <w:r w:rsidRPr="004148D3">
                    <w:t xml:space="preserve"> community</w:t>
                  </w:r>
                  <w:r>
                    <w:t>/CBO</w:t>
                  </w:r>
                  <w:r w:rsidRPr="004148D3">
                    <w:t xml:space="preserve"> led).</w:t>
                  </w:r>
                  <w:r>
                    <w:t xml:space="preserve"> R</w:t>
                  </w:r>
                  <w:r w:rsidRPr="00B0645F">
                    <w:t>eferral to govt facilities</w:t>
                  </w:r>
                </w:p>
              </w:tc>
            </w:tr>
            <w:tr w:rsidR="001F07BB" w14:paraId="7F5F7D6F" w14:textId="77777777" w:rsidTr="00E4452E">
              <w:trPr>
                <w:trHeight w:val="1313"/>
              </w:trPr>
              <w:tc>
                <w:tcPr>
                  <w:tcW w:w="0" w:type="auto"/>
                </w:tcPr>
                <w:p w14:paraId="48D65499" w14:textId="77777777" w:rsidR="00570C66" w:rsidRDefault="00570C66" w:rsidP="00570C66">
                  <w:pPr>
                    <w:spacing w:after="0"/>
                  </w:pPr>
                  <w:r>
                    <w:t>MSM/ MSW</w:t>
                  </w:r>
                </w:p>
              </w:tc>
              <w:tc>
                <w:tcPr>
                  <w:tcW w:w="0" w:type="auto"/>
                  <w:vMerge w:val="restart"/>
                </w:tcPr>
                <w:p w14:paraId="6178547C" w14:textId="77777777" w:rsidR="00570C66" w:rsidRDefault="00570C66" w:rsidP="00570C66">
                  <w:pPr>
                    <w:spacing w:after="0"/>
                  </w:pPr>
                  <w:r w:rsidRPr="006C5556">
                    <w:t>Prevention, testing, treatment, care and follow-up</w:t>
                  </w:r>
                </w:p>
              </w:tc>
              <w:tc>
                <w:tcPr>
                  <w:tcW w:w="0" w:type="auto"/>
                </w:tcPr>
                <w:p w14:paraId="604E1042" w14:textId="77777777" w:rsidR="00570C66" w:rsidRDefault="00570C66" w:rsidP="00570C66">
                  <w:pPr>
                    <w:spacing w:after="0"/>
                  </w:pPr>
                  <w:r w:rsidRPr="00AB319B">
                    <w:t>32,500</w:t>
                  </w:r>
                </w:p>
              </w:tc>
              <w:tc>
                <w:tcPr>
                  <w:tcW w:w="0" w:type="auto"/>
                </w:tcPr>
                <w:p w14:paraId="2DD28D71" w14:textId="77777777" w:rsidR="00570C66" w:rsidRDefault="00570C66" w:rsidP="00570C66">
                  <w:pPr>
                    <w:spacing w:after="0"/>
                  </w:pPr>
                  <w:r>
                    <w:t xml:space="preserve">5,530 </w:t>
                  </w:r>
                </w:p>
                <w:p w14:paraId="0188FD40" w14:textId="77777777" w:rsidR="00570C66" w:rsidRDefault="00570C66" w:rsidP="00570C66">
                  <w:pPr>
                    <w:spacing w:after="0"/>
                  </w:pPr>
                  <w:r>
                    <w:t>90% of NSP target in Dhaka</w:t>
                  </w:r>
                </w:p>
                <w:p w14:paraId="7F682184" w14:textId="77777777" w:rsidR="00570C66" w:rsidRDefault="00570C66" w:rsidP="00570C66">
                  <w:pPr>
                    <w:spacing w:after="0"/>
                  </w:pPr>
                  <w:r>
                    <w:t>(5,530/6,116)</w:t>
                  </w:r>
                </w:p>
              </w:tc>
              <w:tc>
                <w:tcPr>
                  <w:tcW w:w="0" w:type="auto"/>
                </w:tcPr>
                <w:p w14:paraId="58DAB7AB" w14:textId="77777777" w:rsidR="00570C66" w:rsidRPr="004C6ADA" w:rsidRDefault="00570C66" w:rsidP="00570C66">
                  <w:pPr>
                    <w:spacing w:after="0"/>
                  </w:pPr>
                  <w:r>
                    <w:t xml:space="preserve"> </w:t>
                  </w:r>
                  <w:r w:rsidRPr="004C6ADA">
                    <w:t>26,970</w:t>
                  </w:r>
                </w:p>
                <w:p w14:paraId="59C50418" w14:textId="77777777" w:rsidR="00570C66" w:rsidRPr="004C6ADA" w:rsidRDefault="00570C66" w:rsidP="00570C66">
                  <w:pPr>
                    <w:spacing w:after="0"/>
                  </w:pPr>
                  <w:r w:rsidRPr="004C6ADA">
                    <w:t xml:space="preserve">73.4% of NSP target in other districts </w:t>
                  </w:r>
                </w:p>
                <w:p w14:paraId="763AF8EA" w14:textId="77777777" w:rsidR="00570C66" w:rsidRDefault="00570C66" w:rsidP="00570C66">
                  <w:pPr>
                    <w:spacing w:after="0"/>
                  </w:pPr>
                  <w:r>
                    <w:t>(</w:t>
                  </w:r>
                  <w:r w:rsidRPr="004C6ADA">
                    <w:t>26,970/36,751)</w:t>
                  </w:r>
                  <w:r w:rsidDel="004C6ADA">
                    <w:t xml:space="preserve"> </w:t>
                  </w:r>
                </w:p>
              </w:tc>
              <w:tc>
                <w:tcPr>
                  <w:tcW w:w="0" w:type="auto"/>
                  <w:vMerge w:val="restart"/>
                </w:tcPr>
                <w:p w14:paraId="4F6C0DF0" w14:textId="77777777" w:rsidR="00570C66" w:rsidRDefault="00570C66" w:rsidP="00570C66">
                  <w:pPr>
                    <w:spacing w:after="0"/>
                  </w:pPr>
                  <w:r w:rsidRPr="002B52A0">
                    <w:t>Peer-driven</w:t>
                  </w:r>
                  <w:r>
                    <w:t>, c</w:t>
                  </w:r>
                  <w:r w:rsidRPr="002B52A0">
                    <w:t>ommunity engagement,14 DIC</w:t>
                  </w:r>
                  <w:r>
                    <w:t xml:space="preserve">s, </w:t>
                  </w:r>
                  <w:r w:rsidRPr="002B52A0">
                    <w:t>18 Sub-DIC</w:t>
                  </w:r>
                  <w:r>
                    <w:t>s</w:t>
                  </w:r>
                  <w:r w:rsidRPr="002B52A0">
                    <w:t>, 18 outlets</w:t>
                  </w:r>
                  <w:r>
                    <w:t xml:space="preserve"> and</w:t>
                  </w:r>
                  <w:r w:rsidRPr="002B52A0">
                    <w:t xml:space="preserve"> 13 satellite</w:t>
                  </w:r>
                  <w:r>
                    <w:t xml:space="preserve">; </w:t>
                  </w:r>
                  <w:r w:rsidRPr="002B52A0">
                    <w:t xml:space="preserve">two </w:t>
                  </w:r>
                  <w:r>
                    <w:t>public hospitals</w:t>
                  </w:r>
                  <w:r w:rsidRPr="002B52A0">
                    <w:t xml:space="preserve"> </w:t>
                  </w:r>
                  <w:r>
                    <w:t>will be</w:t>
                  </w:r>
                  <w:r w:rsidRPr="002B52A0">
                    <w:t xml:space="preserve"> model of integration</w:t>
                  </w:r>
                  <w:r>
                    <w:t xml:space="preserve"> for clinical services</w:t>
                  </w:r>
                  <w:r w:rsidRPr="002B52A0">
                    <w:t xml:space="preserve">.  </w:t>
                  </w:r>
                </w:p>
              </w:tc>
            </w:tr>
            <w:tr w:rsidR="001F07BB" w14:paraId="2A270C13" w14:textId="77777777" w:rsidTr="00E4452E">
              <w:tc>
                <w:tcPr>
                  <w:tcW w:w="0" w:type="auto"/>
                </w:tcPr>
                <w:p w14:paraId="0D5C15F2" w14:textId="77777777" w:rsidR="00570C66" w:rsidRDefault="00570C66" w:rsidP="00570C66">
                  <w:pPr>
                    <w:spacing w:after="0"/>
                    <w:jc w:val="both"/>
                  </w:pPr>
                  <w:r>
                    <w:t>TG</w:t>
                  </w:r>
                </w:p>
              </w:tc>
              <w:tc>
                <w:tcPr>
                  <w:tcW w:w="0" w:type="auto"/>
                  <w:vMerge/>
                </w:tcPr>
                <w:p w14:paraId="20C299E4" w14:textId="77777777" w:rsidR="00570C66" w:rsidRDefault="00570C66" w:rsidP="00570C66">
                  <w:pPr>
                    <w:spacing w:after="0"/>
                    <w:jc w:val="both"/>
                  </w:pPr>
                </w:p>
              </w:tc>
              <w:tc>
                <w:tcPr>
                  <w:tcW w:w="0" w:type="auto"/>
                </w:tcPr>
                <w:p w14:paraId="64968369" w14:textId="77777777" w:rsidR="00570C66" w:rsidRDefault="00570C66" w:rsidP="00570C66">
                  <w:pPr>
                    <w:spacing w:after="0"/>
                    <w:jc w:val="both"/>
                  </w:pPr>
                  <w:r w:rsidRPr="00AB319B">
                    <w:t>5,000</w:t>
                  </w:r>
                </w:p>
              </w:tc>
              <w:tc>
                <w:tcPr>
                  <w:tcW w:w="0" w:type="auto"/>
                </w:tcPr>
                <w:p w14:paraId="7D3C4D33" w14:textId="77777777" w:rsidR="00570C66" w:rsidRDefault="00570C66" w:rsidP="00570C66">
                  <w:pPr>
                    <w:spacing w:after="0"/>
                    <w:jc w:val="both"/>
                  </w:pPr>
                  <w:r>
                    <w:t xml:space="preserve">1,310 </w:t>
                  </w:r>
                </w:p>
                <w:p w14:paraId="0D6A999D" w14:textId="77777777" w:rsidR="00570C66" w:rsidRDefault="00570C66" w:rsidP="00570C66">
                  <w:pPr>
                    <w:spacing w:after="0"/>
                    <w:jc w:val="both"/>
                  </w:pPr>
                  <w:r>
                    <w:t>98% of NSP target in Dhaka</w:t>
                  </w:r>
                </w:p>
              </w:tc>
              <w:tc>
                <w:tcPr>
                  <w:tcW w:w="0" w:type="auto"/>
                </w:tcPr>
                <w:p w14:paraId="4D93C7B8" w14:textId="77777777" w:rsidR="00570C66" w:rsidRDefault="00570C66" w:rsidP="00570C66">
                  <w:pPr>
                    <w:spacing w:after="0"/>
                    <w:jc w:val="both"/>
                  </w:pPr>
                  <w:r w:rsidRPr="007C414D">
                    <w:t>3,690</w:t>
                  </w:r>
                </w:p>
                <w:p w14:paraId="3961B3B6" w14:textId="77777777" w:rsidR="00570C66" w:rsidRDefault="00570C66" w:rsidP="00570C66">
                  <w:pPr>
                    <w:spacing w:after="0"/>
                    <w:jc w:val="both"/>
                  </w:pPr>
                  <w:r w:rsidRPr="007C414D">
                    <w:t>71.2% of NSP target in other districts</w:t>
                  </w:r>
                </w:p>
              </w:tc>
              <w:tc>
                <w:tcPr>
                  <w:tcW w:w="0" w:type="auto"/>
                  <w:vMerge/>
                </w:tcPr>
                <w:p w14:paraId="74382D19" w14:textId="77777777" w:rsidR="00570C66" w:rsidRDefault="00570C66" w:rsidP="00570C66">
                  <w:pPr>
                    <w:spacing w:after="0"/>
                    <w:jc w:val="both"/>
                  </w:pPr>
                </w:p>
              </w:tc>
            </w:tr>
          </w:tbl>
          <w:p w14:paraId="773BB24A" w14:textId="3706EF46" w:rsidR="00CC1171" w:rsidRPr="00C92797" w:rsidRDefault="00570C66" w:rsidP="005F1998">
            <w:pPr>
              <w:spacing w:after="0"/>
              <w:jc w:val="both"/>
            </w:pPr>
            <w:r w:rsidRPr="00087CD9">
              <w:t xml:space="preserve">ASP will coordinate </w:t>
            </w:r>
            <w:r>
              <w:t xml:space="preserve">and advocate </w:t>
            </w:r>
            <w:r w:rsidRPr="00087CD9">
              <w:t>with NGO PRs</w:t>
            </w:r>
            <w:r>
              <w:t xml:space="preserve"> and other entities of government</w:t>
            </w:r>
            <w:r w:rsidRPr="00087CD9">
              <w:t>. It will facilitate enabling milieu for KPs for accessing public services without discrimination</w:t>
            </w:r>
            <w:r>
              <w:t xml:space="preserve">, </w:t>
            </w:r>
            <w:r w:rsidRPr="00087CD9">
              <w:t xml:space="preserve">upholding human rights. </w:t>
            </w:r>
            <w:r>
              <w:t>C</w:t>
            </w:r>
            <w:r w:rsidRPr="00087CD9">
              <w:t xml:space="preserve">apacity building of government staff will be organized </w:t>
            </w:r>
            <w:r>
              <w:t>and</w:t>
            </w:r>
            <w:r w:rsidRPr="00087CD9">
              <w:t xml:space="preserve"> district health managers in 28 districts will be </w:t>
            </w:r>
            <w:r>
              <w:t xml:space="preserve">engaged with NGO/CBO implementors for </w:t>
            </w:r>
            <w:r w:rsidRPr="00087CD9">
              <w:t xml:space="preserve">HIV testing, treatment and support to the KPs for other reproductive healthcare. </w:t>
            </w:r>
            <w:r>
              <w:t>P</w:t>
            </w:r>
            <w:r w:rsidRPr="00087CD9">
              <w:t>regnant women will be supported for HIV testing during ante natal care and other SRH care.</w:t>
            </w:r>
            <w:r>
              <w:t xml:space="preserve"> </w:t>
            </w:r>
            <w:r w:rsidRPr="00087CD9">
              <w:t>The National Task Force</w:t>
            </w:r>
            <w:r>
              <w:t xml:space="preserve"> (NTF)</w:t>
            </w:r>
            <w:r w:rsidRPr="00087CD9">
              <w:t xml:space="preserve"> will facilitate human rights issues and KPs’ accessibility to public facilities.</w:t>
            </w:r>
          </w:p>
        </w:tc>
      </w:tr>
      <w:bookmarkEnd w:id="8"/>
    </w:tbl>
    <w:p w14:paraId="2431E9A7" w14:textId="77777777" w:rsidR="007E3A98" w:rsidRDefault="007E3A98" w:rsidP="009B6C0D">
      <w:pPr>
        <w:spacing w:after="0" w:line="0" w:lineRule="auto"/>
      </w:pPr>
    </w:p>
    <w:p w14:paraId="46CEC7B0" w14:textId="7098779E" w:rsidR="00F22610" w:rsidRDefault="00F22610" w:rsidP="009B6C0D">
      <w:pPr>
        <w:spacing w:after="0" w:line="0" w:lineRule="auto"/>
      </w:pPr>
      <w:r>
        <w:br w:type="page"/>
      </w:r>
    </w:p>
    <w:p w14:paraId="07A88DAF" w14:textId="17B45F57" w:rsidR="0098274C" w:rsidRPr="004F1255" w:rsidRDefault="0098274C" w:rsidP="00C57762">
      <w:pPr>
        <w:pStyle w:val="Heading2"/>
        <w:numPr>
          <w:ilvl w:val="1"/>
          <w:numId w:val="25"/>
        </w:numPr>
        <w:shd w:val="clear" w:color="auto" w:fill="D9D9D9" w:themeFill="background1" w:themeFillShade="D9"/>
        <w:spacing w:before="0" w:after="0" w:line="240" w:lineRule="auto"/>
        <w:contextualSpacing/>
      </w:pPr>
      <w:r w:rsidRPr="004F1255">
        <w:t xml:space="preserve">Funding Priorities </w:t>
      </w:r>
    </w:p>
    <w:p w14:paraId="0EE0552E" w14:textId="77777777" w:rsidR="009B6C0D" w:rsidRDefault="009B6C0D" w:rsidP="009B6C0D">
      <w:pPr>
        <w:pStyle w:val="ListParagraph"/>
        <w:spacing w:after="0" w:line="260" w:lineRule="atLeast"/>
        <w:ind w:left="450"/>
        <w:rPr>
          <w:rFonts w:eastAsia="Calibri"/>
        </w:rPr>
      </w:pPr>
    </w:p>
    <w:p w14:paraId="68502E24" w14:textId="3612EB79" w:rsidR="0098274C" w:rsidRPr="004F1255" w:rsidRDefault="0098274C" w:rsidP="00C57762">
      <w:pPr>
        <w:pStyle w:val="ListParagraph"/>
        <w:numPr>
          <w:ilvl w:val="0"/>
          <w:numId w:val="20"/>
        </w:numPr>
        <w:spacing w:after="0" w:line="260" w:lineRule="atLeast"/>
        <w:ind w:left="450" w:hanging="450"/>
        <w:rPr>
          <w:rFonts w:eastAsia="Calibri"/>
        </w:rPr>
      </w:pPr>
      <w:r w:rsidRPr="004F1255">
        <w:rPr>
          <w:rFonts w:eastAsia="Calibri"/>
        </w:rPr>
        <w:t xml:space="preserve">Based on the </w:t>
      </w:r>
      <w:r w:rsidRPr="004F1255">
        <w:rPr>
          <w:rFonts w:eastAsia="Calibri"/>
          <w:color w:val="3596EF"/>
          <w:u w:val="single"/>
        </w:rPr>
        <w:t>Global Fund Modular Framework</w:t>
      </w:r>
      <w:r w:rsidRPr="004F1255">
        <w:rPr>
          <w:rFonts w:eastAsia="Calibri"/>
        </w:rPr>
        <w:t xml:space="preserve">, use the table below to detail </w:t>
      </w:r>
      <w:r w:rsidRPr="004F1255">
        <w:rPr>
          <w:rFonts w:eastAsia="Calibri"/>
          <w:b/>
          <w:bCs/>
          <w:u w:val="single"/>
        </w:rPr>
        <w:t>each</w:t>
      </w:r>
      <w:r w:rsidRPr="004F1255">
        <w:rPr>
          <w:rFonts w:eastAsia="Calibri"/>
        </w:rPr>
        <w:t xml:space="preserve"> </w:t>
      </w:r>
      <w:r w:rsidRPr="002F3609">
        <w:rPr>
          <w:rFonts w:eastAsia="Calibri"/>
          <w:b/>
        </w:rPr>
        <w:t>prioritized module</w:t>
      </w:r>
      <w:r w:rsidRPr="004F1255">
        <w:rPr>
          <w:rFonts w:eastAsia="Calibri"/>
        </w:rPr>
        <w:t xml:space="preserve"> proposed for Global Fund investment </w:t>
      </w:r>
      <w:r w:rsidR="000E257D" w:rsidRPr="004F1255">
        <w:rPr>
          <w:rFonts w:eastAsia="Calibri"/>
        </w:rPr>
        <w:t xml:space="preserve">for the </w:t>
      </w:r>
      <w:r w:rsidRPr="004F1255">
        <w:t>relevant disease component(s) and/or Resilient and Sustainable Systems for Health (RSSH)</w:t>
      </w:r>
      <w:r w:rsidRPr="004F1255">
        <w:rPr>
          <w:rFonts w:eastAsia="Calibri"/>
        </w:rPr>
        <w:t xml:space="preserve">. </w:t>
      </w:r>
      <w:r w:rsidR="009341F1" w:rsidRPr="004F1255">
        <w:rPr>
          <w:rFonts w:eastAsia="Calibri"/>
        </w:rPr>
        <w:t xml:space="preserve"> </w:t>
      </w:r>
    </w:p>
    <w:p w14:paraId="6707046D" w14:textId="1C2F0DE7" w:rsidR="0098274C" w:rsidRPr="007F7A64" w:rsidRDefault="0098274C" w:rsidP="009B6C0D">
      <w:pPr>
        <w:spacing w:after="0"/>
        <w:ind w:left="450"/>
        <w:rPr>
          <w:rFonts w:eastAsia="Calibri"/>
        </w:rPr>
      </w:pPr>
      <w:bookmarkStart w:id="9" w:name="_Hlk8921192"/>
      <w:bookmarkEnd w:id="9"/>
    </w:p>
    <w:tbl>
      <w:tblPr>
        <w:tblStyle w:val="TableGrid"/>
        <w:tblW w:w="10795" w:type="dxa"/>
        <w:tblLook w:val="04A0" w:firstRow="1" w:lastRow="0" w:firstColumn="1" w:lastColumn="0" w:noHBand="0" w:noVBand="1"/>
      </w:tblPr>
      <w:tblGrid>
        <w:gridCol w:w="10795"/>
      </w:tblGrid>
      <w:tr w:rsidR="0098274C" w14:paraId="08136033" w14:textId="77777777" w:rsidTr="000E257D">
        <w:tc>
          <w:tcPr>
            <w:tcW w:w="10795" w:type="dxa"/>
          </w:tcPr>
          <w:p w14:paraId="007AF4F1" w14:textId="5F2D591A" w:rsidR="0098274C" w:rsidRPr="00FA2A25" w:rsidRDefault="0098274C" w:rsidP="009B6C0D">
            <w:pPr>
              <w:spacing w:after="0"/>
              <w:rPr>
                <w:i/>
              </w:rPr>
            </w:pPr>
            <w:bookmarkStart w:id="10" w:name="_Hlk11328283"/>
            <w:bookmarkStart w:id="11" w:name="_Hlk11328334"/>
            <w:bookmarkStart w:id="12" w:name="_Hlk11328321"/>
            <w:r w:rsidRPr="004A6887">
              <w:rPr>
                <w:b/>
              </w:rPr>
              <w:t xml:space="preserve">COMPONENT: </w:t>
            </w:r>
            <w:bookmarkEnd w:id="10"/>
            <w:r w:rsidR="00F66B15">
              <w:rPr>
                <w:b/>
              </w:rPr>
              <w:t>HIV</w:t>
            </w:r>
          </w:p>
        </w:tc>
      </w:tr>
    </w:tbl>
    <w:tbl>
      <w:tblPr>
        <w:tblStyle w:val="TableGrid33"/>
        <w:tblW w:w="10260" w:type="dxa"/>
        <w:tblInd w:w="-5" w:type="dxa"/>
        <w:tblLook w:val="04A0" w:firstRow="1" w:lastRow="0" w:firstColumn="1" w:lastColumn="0" w:noHBand="0" w:noVBand="1"/>
      </w:tblPr>
      <w:tblGrid>
        <w:gridCol w:w="2256"/>
        <w:gridCol w:w="8004"/>
      </w:tblGrid>
      <w:tr w:rsidR="00D961D7" w:rsidRPr="007F7A64" w14:paraId="43D07933" w14:textId="77777777" w:rsidTr="004A0826">
        <w:trPr>
          <w:trHeight w:val="289"/>
        </w:trPr>
        <w:tc>
          <w:tcPr>
            <w:tcW w:w="2256" w:type="dxa"/>
            <w:shd w:val="clear" w:color="auto" w:fill="F2F2F2"/>
            <w:vAlign w:val="center"/>
          </w:tcPr>
          <w:bookmarkEnd w:id="11"/>
          <w:bookmarkEnd w:id="12"/>
          <w:p w14:paraId="0AB1BAB5" w14:textId="77777777" w:rsidR="00D961D7" w:rsidRPr="00E41EDC" w:rsidRDefault="00D961D7" w:rsidP="00E4452E">
            <w:pPr>
              <w:spacing w:after="0"/>
              <w:rPr>
                <w:b/>
              </w:rPr>
            </w:pPr>
            <w:r>
              <w:rPr>
                <w:b/>
              </w:rPr>
              <w:t>Module # 1</w:t>
            </w:r>
          </w:p>
        </w:tc>
        <w:tc>
          <w:tcPr>
            <w:tcW w:w="8004" w:type="dxa"/>
          </w:tcPr>
          <w:p w14:paraId="5F5465C1" w14:textId="77777777" w:rsidR="00D961D7" w:rsidRPr="00F66B15" w:rsidRDefault="00D961D7" w:rsidP="00E4452E">
            <w:pPr>
              <w:spacing w:after="0"/>
              <w:rPr>
                <w:b/>
                <w:bCs/>
              </w:rPr>
            </w:pPr>
            <w:r w:rsidRPr="00F66B15">
              <w:rPr>
                <w:b/>
                <w:bCs/>
              </w:rPr>
              <w:t>Prevention- MSM and transgender women</w:t>
            </w:r>
            <w:r>
              <w:rPr>
                <w:b/>
                <w:bCs/>
              </w:rPr>
              <w:t xml:space="preserve"> (</w:t>
            </w:r>
            <w:r w:rsidRPr="00952C0C">
              <w:rPr>
                <w:b/>
                <w:bCs/>
                <w:i/>
                <w:iCs/>
              </w:rPr>
              <w:t>Hijra</w:t>
            </w:r>
            <w:r>
              <w:rPr>
                <w:b/>
                <w:bCs/>
              </w:rPr>
              <w:t>)</w:t>
            </w:r>
          </w:p>
        </w:tc>
      </w:tr>
      <w:tr w:rsidR="00D961D7" w:rsidRPr="007F7A64" w14:paraId="7CFC62F9" w14:textId="77777777" w:rsidTr="004A0826">
        <w:trPr>
          <w:trHeight w:val="289"/>
        </w:trPr>
        <w:tc>
          <w:tcPr>
            <w:tcW w:w="2256" w:type="dxa"/>
            <w:shd w:val="clear" w:color="auto" w:fill="F2F2F2"/>
            <w:vAlign w:val="center"/>
          </w:tcPr>
          <w:p w14:paraId="2FC67C6F" w14:textId="77777777" w:rsidR="00D961D7" w:rsidRPr="007F7A64" w:rsidRDefault="00D961D7" w:rsidP="00E4452E">
            <w:pPr>
              <w:spacing w:after="0"/>
              <w:rPr>
                <w:b/>
              </w:rPr>
            </w:pPr>
            <w:r w:rsidRPr="007F7A64">
              <w:rPr>
                <w:b/>
              </w:rPr>
              <w:t>Intervention(s)</w:t>
            </w:r>
            <w:r>
              <w:rPr>
                <w:b/>
              </w:rPr>
              <w:t xml:space="preserve"> &amp; Key Activities</w:t>
            </w:r>
          </w:p>
        </w:tc>
        <w:tc>
          <w:tcPr>
            <w:tcW w:w="8004" w:type="dxa"/>
          </w:tcPr>
          <w:p w14:paraId="6CA07F2B" w14:textId="77777777" w:rsidR="00D961D7" w:rsidRPr="00270FC0" w:rsidRDefault="00D961D7" w:rsidP="00E4452E">
            <w:pPr>
              <w:spacing w:after="0"/>
              <w:jc w:val="both"/>
            </w:pPr>
            <w:r w:rsidRPr="00270FC0">
              <w:rPr>
                <w:b/>
                <w:bCs/>
              </w:rPr>
              <w:t>Intervention</w:t>
            </w:r>
            <w:r w:rsidRPr="00270FC0">
              <w:t>: Condom and lubricant programming</w:t>
            </w:r>
          </w:p>
          <w:p w14:paraId="643B9472" w14:textId="77777777" w:rsidR="00D961D7" w:rsidRDefault="00D961D7" w:rsidP="00E4452E">
            <w:pPr>
              <w:spacing w:after="0"/>
              <w:jc w:val="both"/>
            </w:pPr>
            <w:r w:rsidRPr="00270FC0">
              <w:rPr>
                <w:b/>
                <w:bCs/>
              </w:rPr>
              <w:t>Activities</w:t>
            </w:r>
            <w:r w:rsidRPr="00270FC0">
              <w:t>: Condom</w:t>
            </w:r>
            <w:r>
              <w:t xml:space="preserve">s and </w:t>
            </w:r>
            <w:r w:rsidRPr="00270FC0">
              <w:t xml:space="preserve">lubricants will be promoted and distributed </w:t>
            </w:r>
            <w:r w:rsidRPr="00C21D73">
              <w:t xml:space="preserve">to </w:t>
            </w:r>
            <w:r w:rsidRPr="00441F5A">
              <w:t>32,500</w:t>
            </w:r>
            <w:r w:rsidRPr="00C21D73">
              <w:t xml:space="preserve"> MSM/MSW and </w:t>
            </w:r>
            <w:r w:rsidRPr="00441F5A">
              <w:t>5000 t</w:t>
            </w:r>
            <w:r w:rsidRPr="00C21D73">
              <w:t>ransgender women (</w:t>
            </w:r>
            <w:r w:rsidRPr="00BE27EF">
              <w:rPr>
                <w:i/>
                <w:iCs/>
              </w:rPr>
              <w:t>hijra</w:t>
            </w:r>
            <w:r w:rsidRPr="00C21D73">
              <w:t>)</w:t>
            </w:r>
            <w:r>
              <w:t>,</w:t>
            </w:r>
            <w:r w:rsidRPr="00C21D73">
              <w:t xml:space="preserve"> free of cost</w:t>
            </w:r>
            <w:r>
              <w:t xml:space="preserve"> by peers at cruising sites, from community-based depots and</w:t>
            </w:r>
            <w:r w:rsidRPr="00441F5A">
              <w:t xml:space="preserve"> service delivery points (SDP</w:t>
            </w:r>
            <w:r w:rsidRPr="00C21D73">
              <w:t>s). 14 Drop-in Center (DIC</w:t>
            </w:r>
            <w:r>
              <w:t>s</w:t>
            </w:r>
            <w:r w:rsidRPr="00C21D73">
              <w:t>)</w:t>
            </w:r>
            <w:r>
              <w:t xml:space="preserve"> will</w:t>
            </w:r>
            <w:r w:rsidRPr="00C21D73">
              <w:t xml:space="preserve"> provide service</w:t>
            </w:r>
            <w:r>
              <w:t>s</w:t>
            </w:r>
            <w:r w:rsidRPr="00C21D73">
              <w:t xml:space="preserve"> to </w:t>
            </w:r>
            <w:r w:rsidRPr="00441F5A">
              <w:t xml:space="preserve">≥1000 MSM, MSW &amp; </w:t>
            </w:r>
            <w:r w:rsidRPr="00BE27EF">
              <w:rPr>
                <w:i/>
                <w:iCs/>
              </w:rPr>
              <w:t>hijra</w:t>
            </w:r>
            <w:r w:rsidRPr="00441F5A">
              <w:t>; 18 sub-DIC</w:t>
            </w:r>
            <w:r>
              <w:t>s</w:t>
            </w:r>
            <w:r w:rsidRPr="00441F5A">
              <w:t xml:space="preserve"> will </w:t>
            </w:r>
            <w:r>
              <w:t xml:space="preserve">serve </w:t>
            </w:r>
            <w:r w:rsidRPr="00441F5A">
              <w:t xml:space="preserve">700-850 KPs; 18 outlets will be </w:t>
            </w:r>
            <w:r>
              <w:t xml:space="preserve">serving </w:t>
            </w:r>
            <w:r w:rsidRPr="00441F5A">
              <w:t xml:space="preserve">400-550 KPs </w:t>
            </w:r>
            <w:r>
              <w:t>per outlet</w:t>
            </w:r>
            <w:r w:rsidRPr="00441F5A">
              <w:t>. Further</w:t>
            </w:r>
            <w:r>
              <w:t>more</w:t>
            </w:r>
            <w:r w:rsidRPr="00441F5A">
              <w:t xml:space="preserve">, 13 satellite spots will be organized </w:t>
            </w:r>
            <w:r>
              <w:t xml:space="preserve">near the </w:t>
            </w:r>
            <w:r w:rsidRPr="00441F5A">
              <w:t xml:space="preserve">community and each </w:t>
            </w:r>
            <w:r>
              <w:t xml:space="preserve">satellite spot </w:t>
            </w:r>
            <w:r w:rsidRPr="00441F5A">
              <w:t xml:space="preserve">will provide services to &lt;250 MSM, MSW &amp; </w:t>
            </w:r>
            <w:r w:rsidRPr="00BE27EF">
              <w:rPr>
                <w:i/>
                <w:iCs/>
              </w:rPr>
              <w:t>hijra</w:t>
            </w:r>
            <w:r w:rsidRPr="00441F5A">
              <w:t xml:space="preserve">. </w:t>
            </w:r>
            <w:r>
              <w:t>Information Communication Technology</w:t>
            </w:r>
            <w:r w:rsidRPr="00C21D73">
              <w:t xml:space="preserve"> </w:t>
            </w:r>
            <w:r>
              <w:t>(</w:t>
            </w:r>
            <w:r w:rsidRPr="00441F5A">
              <w:t>ICT</w:t>
            </w:r>
            <w:r>
              <w:t>)</w:t>
            </w:r>
            <w:r w:rsidRPr="00C21D73">
              <w:t xml:space="preserve"> will be </w:t>
            </w:r>
            <w:r>
              <w:t>employed</w:t>
            </w:r>
            <w:r w:rsidRPr="00C21D73">
              <w:t xml:space="preserve"> to </w:t>
            </w:r>
            <w:r>
              <w:t xml:space="preserve">contact </w:t>
            </w:r>
            <w:r w:rsidRPr="00C21D73">
              <w:t>hidden</w:t>
            </w:r>
            <w:r>
              <w:t xml:space="preserve"> groups to ensure they receive services.</w:t>
            </w:r>
          </w:p>
          <w:p w14:paraId="5CBAD51F" w14:textId="77777777" w:rsidR="00D961D7" w:rsidRPr="00441F5A" w:rsidRDefault="00D961D7" w:rsidP="00E4452E">
            <w:pPr>
              <w:spacing w:after="0"/>
              <w:jc w:val="both"/>
            </w:pPr>
            <w:r w:rsidRPr="00441F5A">
              <w:rPr>
                <w:b/>
                <w:bCs/>
              </w:rPr>
              <w:t>Intervention</w:t>
            </w:r>
            <w:r w:rsidRPr="00441F5A">
              <w:t>: Behavior change interventions</w:t>
            </w:r>
          </w:p>
          <w:p w14:paraId="068EDBD5" w14:textId="77777777" w:rsidR="00D961D7" w:rsidRPr="00441F5A" w:rsidRDefault="00D961D7" w:rsidP="00E4452E">
            <w:pPr>
              <w:spacing w:after="0"/>
              <w:jc w:val="both"/>
            </w:pPr>
            <w:r w:rsidRPr="00441F5A">
              <w:rPr>
                <w:b/>
                <w:bCs/>
              </w:rPr>
              <w:t>Activities</w:t>
            </w:r>
            <w:r w:rsidRPr="00441F5A">
              <w:t>: Individual-</w:t>
            </w:r>
            <w:r>
              <w:t xml:space="preserve"> and</w:t>
            </w:r>
            <w:r w:rsidRPr="00441F5A">
              <w:t xml:space="preserve"> community-</w:t>
            </w:r>
            <w:r>
              <w:t xml:space="preserve">based </w:t>
            </w:r>
            <w:r w:rsidRPr="00441F5A">
              <w:t>behavioral change communication (BCC</w:t>
            </w:r>
            <w:r>
              <w:t>)</w:t>
            </w:r>
            <w:r w:rsidRPr="00C21D73">
              <w:t xml:space="preserve"> activities</w:t>
            </w:r>
            <w:r>
              <w:t xml:space="preserve"> will be conducted</w:t>
            </w:r>
            <w:r w:rsidRPr="00C21D73">
              <w:t xml:space="preserve"> </w:t>
            </w:r>
            <w:r>
              <w:t>at various kinds of outreach locations. BCC will consist of</w:t>
            </w:r>
            <w:r w:rsidRPr="00C21D73">
              <w:t xml:space="preserve"> promoting </w:t>
            </w:r>
            <w:r w:rsidRPr="00441F5A">
              <w:t xml:space="preserve">consistent </w:t>
            </w:r>
            <w:r>
              <w:t xml:space="preserve">use of </w:t>
            </w:r>
            <w:r w:rsidRPr="00441F5A">
              <w:t>condom</w:t>
            </w:r>
            <w:r>
              <w:t>s</w:t>
            </w:r>
            <w:r w:rsidRPr="00441F5A">
              <w:t>, HIV testing, safer sex, etc</w:t>
            </w:r>
            <w:r>
              <w:t xml:space="preserve">. Peers In addition, ICT (i.e., </w:t>
            </w:r>
            <w:r w:rsidRPr="00441F5A">
              <w:t>mobile app</w:t>
            </w:r>
            <w:r>
              <w:t>, web, SMS, voice-SMS)</w:t>
            </w:r>
            <w:r w:rsidRPr="00C21D73">
              <w:t xml:space="preserve"> will </w:t>
            </w:r>
            <w:r>
              <w:t>be utilized to c</w:t>
            </w:r>
            <w:r w:rsidRPr="00C21D73">
              <w:t>ontact</w:t>
            </w:r>
            <w:r w:rsidRPr="00441F5A">
              <w:t xml:space="preserve"> </w:t>
            </w:r>
            <w:r>
              <w:t xml:space="preserve">hidden </w:t>
            </w:r>
            <w:r w:rsidRPr="00441F5A">
              <w:t xml:space="preserve">MSM, MSW and </w:t>
            </w:r>
            <w:r w:rsidRPr="00BE27EF">
              <w:rPr>
                <w:i/>
                <w:iCs/>
              </w:rPr>
              <w:t>hijra</w:t>
            </w:r>
            <w:r>
              <w:rPr>
                <w:i/>
                <w:iCs/>
              </w:rPr>
              <w:t xml:space="preserve"> </w:t>
            </w:r>
            <w:r w:rsidRPr="00982204">
              <w:t xml:space="preserve">and </w:t>
            </w:r>
            <w:r>
              <w:t>as part of BCC and to uptake of HTS.</w:t>
            </w:r>
          </w:p>
          <w:p w14:paraId="31943E7D" w14:textId="77777777" w:rsidR="00D961D7" w:rsidRPr="00441F5A" w:rsidRDefault="00D961D7" w:rsidP="00E4452E">
            <w:pPr>
              <w:spacing w:after="0"/>
              <w:jc w:val="both"/>
            </w:pPr>
            <w:r w:rsidRPr="00441F5A">
              <w:rPr>
                <w:b/>
                <w:bCs/>
              </w:rPr>
              <w:t>Intervention</w:t>
            </w:r>
            <w:r w:rsidRPr="00441F5A">
              <w:t xml:space="preserve">: Sexual and reproductive health services, including STIs  </w:t>
            </w:r>
          </w:p>
          <w:p w14:paraId="1F2E1F86" w14:textId="77777777" w:rsidR="00D961D7" w:rsidRPr="00441F5A" w:rsidRDefault="00D961D7" w:rsidP="00E4452E">
            <w:pPr>
              <w:spacing w:after="0"/>
              <w:jc w:val="both"/>
            </w:pPr>
            <w:r w:rsidRPr="00441F5A">
              <w:rPr>
                <w:b/>
                <w:bCs/>
              </w:rPr>
              <w:t>Activities</w:t>
            </w:r>
            <w:r w:rsidRPr="00441F5A">
              <w:t xml:space="preserve">: </w:t>
            </w:r>
            <w:r>
              <w:t>Sexually transmitted infections (</w:t>
            </w:r>
            <w:r w:rsidRPr="00441F5A">
              <w:t>STI</w:t>
            </w:r>
            <w:r>
              <w:t>s)</w:t>
            </w:r>
            <w:r w:rsidRPr="00441F5A">
              <w:t xml:space="preserve"> management will be continued through syndromic management approach as per </w:t>
            </w:r>
            <w:r>
              <w:t>the N</w:t>
            </w:r>
            <w:r w:rsidRPr="00441F5A">
              <w:t>ational STI management guideline</w:t>
            </w:r>
            <w:r>
              <w:t xml:space="preserve">, alongside </w:t>
            </w:r>
            <w:r w:rsidRPr="00441F5A">
              <w:t>management of general health complaints</w:t>
            </w:r>
            <w:r>
              <w:t xml:space="preserve">. </w:t>
            </w:r>
            <w:r w:rsidRPr="00441F5A">
              <w:t>Recurrent, non-responsive and complicated STI</w:t>
            </w:r>
            <w:r>
              <w:t>s</w:t>
            </w:r>
            <w:r w:rsidRPr="00C21D73">
              <w:t xml:space="preserve"> w</w:t>
            </w:r>
            <w:r w:rsidRPr="00441F5A">
              <w:t>ill be referred to government healthcare facilities for etiological management. Mobile app</w:t>
            </w:r>
            <w:r w:rsidRPr="00C21D73">
              <w:t xml:space="preserve"> and website will be </w:t>
            </w:r>
            <w:r>
              <w:t>used</w:t>
            </w:r>
            <w:r w:rsidRPr="00C21D73">
              <w:t xml:space="preserve"> for self-risk assessment. Linkages </w:t>
            </w:r>
            <w:r>
              <w:t xml:space="preserve">will be considered </w:t>
            </w:r>
            <w:r w:rsidRPr="00C21D73">
              <w:t>with SRH</w:t>
            </w:r>
            <w:r w:rsidRPr="00441F5A">
              <w:t xml:space="preserve"> </w:t>
            </w:r>
            <w:r>
              <w:t xml:space="preserve">services </w:t>
            </w:r>
            <w:r w:rsidRPr="00441F5A">
              <w:t xml:space="preserve">for diagnosis, treatment, and counseling </w:t>
            </w:r>
            <w:r>
              <w:t>of</w:t>
            </w:r>
            <w:r w:rsidRPr="00441F5A">
              <w:t xml:space="preserve"> female partners of MSM. </w:t>
            </w:r>
            <w:r>
              <w:t>On a pilot basis,</w:t>
            </w:r>
            <w:r w:rsidRPr="00441F5A">
              <w:t xml:space="preserve"> two public health</w:t>
            </w:r>
            <w:r>
              <w:t xml:space="preserve">care facilities </w:t>
            </w:r>
            <w:r w:rsidRPr="00441F5A">
              <w:t>in two different districts will be</w:t>
            </w:r>
            <w:r>
              <w:t xml:space="preserve"> utilized </w:t>
            </w:r>
            <w:r w:rsidRPr="00441F5A">
              <w:t>for STI</w:t>
            </w:r>
            <w:r>
              <w:t>s</w:t>
            </w:r>
            <w:r w:rsidRPr="00441F5A">
              <w:t xml:space="preserve"> and general health care services for KPs</w:t>
            </w:r>
            <w:r>
              <w:t xml:space="preserve">, aiming to examine </w:t>
            </w:r>
            <w:r w:rsidRPr="00441F5A">
              <w:t>the feasibility and acceptability of health services offered to KPs.</w:t>
            </w:r>
          </w:p>
          <w:p w14:paraId="477C108D" w14:textId="77777777" w:rsidR="00D961D7" w:rsidRPr="00441F5A" w:rsidRDefault="00D961D7" w:rsidP="00E4452E">
            <w:pPr>
              <w:spacing w:after="0"/>
              <w:jc w:val="both"/>
            </w:pPr>
            <w:r w:rsidRPr="00441F5A">
              <w:rPr>
                <w:b/>
                <w:bCs/>
              </w:rPr>
              <w:t>Intervention</w:t>
            </w:r>
            <w:r w:rsidRPr="00441F5A">
              <w:t>: Interventions for young key populations</w:t>
            </w:r>
          </w:p>
          <w:p w14:paraId="7D93C5E3" w14:textId="77777777" w:rsidR="00D961D7" w:rsidRPr="00C21D73" w:rsidRDefault="00D961D7" w:rsidP="00E4452E">
            <w:pPr>
              <w:spacing w:after="0"/>
              <w:jc w:val="both"/>
            </w:pPr>
            <w:r w:rsidRPr="00441F5A">
              <w:rPr>
                <w:b/>
                <w:bCs/>
              </w:rPr>
              <w:t>Activities</w:t>
            </w:r>
            <w:r w:rsidRPr="00441F5A">
              <w:t xml:space="preserve">: Young key-population </w:t>
            </w:r>
            <w:r w:rsidRPr="00C21D73">
              <w:t>and most at</w:t>
            </w:r>
            <w:r w:rsidRPr="00441F5A">
              <w:t xml:space="preserve">-risk adolescents </w:t>
            </w:r>
            <w:r w:rsidRPr="00C21D73">
              <w:t xml:space="preserve">MSM and </w:t>
            </w:r>
            <w:r w:rsidRPr="00BE27EF">
              <w:rPr>
                <w:i/>
                <w:iCs/>
              </w:rPr>
              <w:t>hijra</w:t>
            </w:r>
            <w:r w:rsidRPr="00C21D73">
              <w:t xml:space="preserve"> will receive </w:t>
            </w:r>
            <w:r>
              <w:t xml:space="preserve">free-of-cost </w:t>
            </w:r>
            <w:r w:rsidRPr="00C21D73">
              <w:t xml:space="preserve">preventive services </w:t>
            </w:r>
            <w:r>
              <w:t>including</w:t>
            </w:r>
            <w:r w:rsidRPr="00C21D73">
              <w:t xml:space="preserve"> condoms and lubricants, </w:t>
            </w:r>
            <w:r>
              <w:t>BCC</w:t>
            </w:r>
            <w:r w:rsidRPr="00C21D73">
              <w:t xml:space="preserve">, and </w:t>
            </w:r>
            <w:r>
              <w:t xml:space="preserve">SRH </w:t>
            </w:r>
            <w:r w:rsidRPr="00C21D73">
              <w:t xml:space="preserve">services. </w:t>
            </w:r>
          </w:p>
          <w:p w14:paraId="291B9F69" w14:textId="77777777" w:rsidR="00D961D7" w:rsidRPr="00441F5A" w:rsidRDefault="00D961D7" w:rsidP="00E4452E">
            <w:pPr>
              <w:spacing w:after="0"/>
              <w:jc w:val="both"/>
            </w:pPr>
            <w:r w:rsidRPr="00441F5A">
              <w:rPr>
                <w:b/>
                <w:bCs/>
              </w:rPr>
              <w:t>Intervention</w:t>
            </w:r>
            <w:r w:rsidRPr="00441F5A">
              <w:t>: Addressing stigma, discrimination, and violence</w:t>
            </w:r>
          </w:p>
          <w:p w14:paraId="23BF420F" w14:textId="77777777" w:rsidR="00D961D7" w:rsidRPr="00441F5A" w:rsidRDefault="00D961D7" w:rsidP="00E4452E">
            <w:pPr>
              <w:spacing w:after="0"/>
              <w:jc w:val="both"/>
            </w:pPr>
            <w:r w:rsidRPr="00441F5A">
              <w:rPr>
                <w:b/>
                <w:bCs/>
              </w:rPr>
              <w:t>Activities</w:t>
            </w:r>
            <w:r w:rsidRPr="00441F5A">
              <w:t>: Advocacy</w:t>
            </w:r>
            <w:r>
              <w:t xml:space="preserve"> sessions</w:t>
            </w:r>
            <w:r w:rsidRPr="00441F5A">
              <w:t xml:space="preserve"> with </w:t>
            </w:r>
            <w:r>
              <w:t>various groups of stakeholders</w:t>
            </w:r>
            <w:r w:rsidRPr="00441F5A">
              <w:t xml:space="preserve"> (i.e., religious leaders, local influential people, members of law enforcement agencies</w:t>
            </w:r>
            <w:r>
              <w:t>,</w:t>
            </w:r>
            <w:r w:rsidRPr="00441F5A">
              <w:t xml:space="preserve"> journalists, etc.) will be </w:t>
            </w:r>
            <w:r>
              <w:t xml:space="preserve">conducted </w:t>
            </w:r>
            <w:r w:rsidRPr="00441F5A">
              <w:t>at intervention sites</w:t>
            </w:r>
            <w:r>
              <w:t xml:space="preserve"> to facilitate program implementation</w:t>
            </w:r>
            <w:r w:rsidRPr="00441F5A">
              <w:t xml:space="preserve">. </w:t>
            </w:r>
            <w:r>
              <w:t>Stigma</w:t>
            </w:r>
            <w:r w:rsidRPr="00441F5A">
              <w:t>, discrimination, and violence</w:t>
            </w:r>
            <w:r>
              <w:t>-related issues</w:t>
            </w:r>
            <w:r w:rsidRPr="00441F5A">
              <w:t xml:space="preserve"> will be </w:t>
            </w:r>
            <w:r>
              <w:t>addressed</w:t>
            </w:r>
            <w:r w:rsidRPr="00441F5A">
              <w:t xml:space="preserve"> </w:t>
            </w:r>
            <w:r>
              <w:t>via</w:t>
            </w:r>
            <w:r w:rsidRPr="00441F5A">
              <w:t xml:space="preserve"> group education sessions and </w:t>
            </w:r>
            <w:r>
              <w:t>life-skill education</w:t>
            </w:r>
            <w:r w:rsidRPr="00441F5A">
              <w:t xml:space="preserve"> training</w:t>
            </w:r>
            <w:r>
              <w:t>s</w:t>
            </w:r>
            <w:r w:rsidRPr="00441F5A">
              <w:t>. Referral</w:t>
            </w:r>
            <w:r>
              <w:t>/</w:t>
            </w:r>
            <w:r w:rsidRPr="00441F5A">
              <w:t xml:space="preserve">linkages will be established with service providers for providing medico-legal and psychosocial support services </w:t>
            </w:r>
            <w:r>
              <w:t>to address</w:t>
            </w:r>
            <w:r w:rsidRPr="00441F5A">
              <w:t xml:space="preserve"> GBV and Human Rights violations. The N</w:t>
            </w:r>
            <w:r>
              <w:t xml:space="preserve">ational </w:t>
            </w:r>
            <w:r w:rsidRPr="00441F5A">
              <w:t>T</w:t>
            </w:r>
            <w:r>
              <w:t xml:space="preserve">ask </w:t>
            </w:r>
            <w:r w:rsidRPr="00441F5A">
              <w:t>F</w:t>
            </w:r>
            <w:r>
              <w:t>orce</w:t>
            </w:r>
            <w:r w:rsidRPr="00441F5A">
              <w:t>, established under the leadership of the National Human Rights Commission and ASP</w:t>
            </w:r>
            <w:r>
              <w:t>,</w:t>
            </w:r>
            <w:r w:rsidRPr="00441F5A">
              <w:t xml:space="preserve"> will continue to </w:t>
            </w:r>
            <w:r>
              <w:t>safeguard KPs’ human rights through providing relevant services.</w:t>
            </w:r>
          </w:p>
          <w:p w14:paraId="7B55F4CA" w14:textId="77777777" w:rsidR="00D961D7" w:rsidRPr="00270FC0" w:rsidRDefault="00D961D7" w:rsidP="00E4452E">
            <w:pPr>
              <w:spacing w:after="0"/>
              <w:jc w:val="both"/>
            </w:pPr>
            <w:r w:rsidRPr="00441F5A">
              <w:rPr>
                <w:b/>
                <w:bCs/>
              </w:rPr>
              <w:t>Intervention</w:t>
            </w:r>
            <w:r w:rsidRPr="00441F5A">
              <w:t xml:space="preserve">: Harm reduction interventions for </w:t>
            </w:r>
            <w:r>
              <w:t xml:space="preserve">illicit </w:t>
            </w:r>
            <w:r w:rsidRPr="00441F5A">
              <w:t>drug use</w:t>
            </w:r>
          </w:p>
          <w:p w14:paraId="2B9CE431" w14:textId="77777777" w:rsidR="00D961D7" w:rsidRPr="00270FC0" w:rsidRDefault="00D961D7" w:rsidP="00E4452E">
            <w:pPr>
              <w:spacing w:after="0"/>
              <w:jc w:val="both"/>
            </w:pPr>
            <w:r w:rsidRPr="00270FC0">
              <w:rPr>
                <w:b/>
                <w:bCs/>
              </w:rPr>
              <w:t>Activities</w:t>
            </w:r>
            <w:r w:rsidRPr="00270FC0">
              <w:t xml:space="preserve">: MSM and </w:t>
            </w:r>
            <w:r w:rsidRPr="00BE27EF">
              <w:rPr>
                <w:i/>
                <w:iCs/>
              </w:rPr>
              <w:t>hijra</w:t>
            </w:r>
            <w:r w:rsidRPr="00270FC0">
              <w:t xml:space="preserve"> who use </w:t>
            </w:r>
            <w:r>
              <w:t xml:space="preserve">illicit </w:t>
            </w:r>
            <w:r w:rsidRPr="00270FC0">
              <w:t>drugs will be linked to relevant government and non-government services</w:t>
            </w:r>
            <w:r>
              <w:t xml:space="preserve"> associated with harm reduction</w:t>
            </w:r>
            <w:r w:rsidRPr="00270FC0">
              <w:t xml:space="preserve">. </w:t>
            </w:r>
            <w:r>
              <w:t xml:space="preserve">Considering the rising use of methamphetamine among </w:t>
            </w:r>
            <w:r>
              <w:rPr>
                <w:i/>
              </w:rPr>
              <w:t xml:space="preserve">hijra </w:t>
            </w:r>
            <w:r>
              <w:t>and MSM</w:t>
            </w:r>
            <w:r w:rsidRPr="00270FC0">
              <w:t xml:space="preserve">, methamphetamine-related HIV risks and complexities </w:t>
            </w:r>
            <w:r>
              <w:t xml:space="preserve">need to be addressed </w:t>
            </w:r>
            <w:r w:rsidRPr="00270FC0">
              <w:t xml:space="preserve">within the HIV prevention intervention. </w:t>
            </w:r>
            <w:r>
              <w:t>A</w:t>
            </w:r>
            <w:r w:rsidRPr="00270FC0">
              <w:t xml:space="preserve"> guideline on </w:t>
            </w:r>
            <w:r>
              <w:t xml:space="preserve">management of concurrent drug use (including </w:t>
            </w:r>
            <w:r w:rsidRPr="00270FC0">
              <w:t>methamphetamine</w:t>
            </w:r>
            <w:r>
              <w:t>)</w:t>
            </w:r>
            <w:r w:rsidRPr="00270FC0">
              <w:t xml:space="preserve"> will be developed </w:t>
            </w:r>
            <w:r>
              <w:t>in</w:t>
            </w:r>
            <w:r w:rsidRPr="00270FC0">
              <w:t xml:space="preserve"> collaboration </w:t>
            </w:r>
            <w:r>
              <w:t>with</w:t>
            </w:r>
            <w:r w:rsidRPr="00270FC0">
              <w:t xml:space="preserve"> </w:t>
            </w:r>
            <w:r>
              <w:t>D</w:t>
            </w:r>
            <w:r w:rsidRPr="00270FC0">
              <w:t xml:space="preserve">epartment of </w:t>
            </w:r>
            <w:r>
              <w:t>N</w:t>
            </w:r>
            <w:r w:rsidRPr="00270FC0">
              <w:t xml:space="preserve">arcotic </w:t>
            </w:r>
            <w:r>
              <w:t>C</w:t>
            </w:r>
            <w:r w:rsidRPr="00270FC0">
              <w:t>ontrol (DNC), Government of Bangladesh. DIC counselors will be capacitat</w:t>
            </w:r>
            <w:r>
              <w:t>ed</w:t>
            </w:r>
            <w:r w:rsidRPr="00270FC0">
              <w:t xml:space="preserve"> to provide </w:t>
            </w:r>
            <w:r>
              <w:t xml:space="preserve">relevant </w:t>
            </w:r>
            <w:r w:rsidRPr="00270FC0">
              <w:t xml:space="preserve">counseling services to </w:t>
            </w:r>
            <w:r>
              <w:t>alleviate</w:t>
            </w:r>
            <w:r w:rsidRPr="00270FC0">
              <w:t xml:space="preserve"> their HIV</w:t>
            </w:r>
            <w:r>
              <w:t>-</w:t>
            </w:r>
            <w:r w:rsidRPr="00270FC0">
              <w:t>related vulnerabilities</w:t>
            </w:r>
            <w:r>
              <w:t>, under the support and training of</w:t>
            </w:r>
            <w:r w:rsidRPr="00270FC0">
              <w:t xml:space="preserve"> </w:t>
            </w:r>
            <w:r>
              <w:t>t</w:t>
            </w:r>
            <w:r w:rsidRPr="00270FC0">
              <w:t xml:space="preserve">he chief psychiatrist of DNC. </w:t>
            </w:r>
            <w:r>
              <w:t>C</w:t>
            </w:r>
            <w:r w:rsidRPr="00270FC0">
              <w:t>ritical cases of meth dependence, referrals, and linkages will be consolidated with rehabilitation and detoxification centers.</w:t>
            </w:r>
          </w:p>
          <w:p w14:paraId="3CEAFA8D" w14:textId="77777777" w:rsidR="00D961D7" w:rsidRPr="00270FC0" w:rsidRDefault="00D961D7" w:rsidP="00E4452E">
            <w:pPr>
              <w:spacing w:after="0"/>
              <w:jc w:val="both"/>
            </w:pPr>
            <w:r w:rsidRPr="00270FC0">
              <w:rPr>
                <w:b/>
                <w:bCs/>
              </w:rPr>
              <w:t>Intervention</w:t>
            </w:r>
            <w:r w:rsidRPr="00270FC0">
              <w:t xml:space="preserve">: Prevention and management of co-infections and co-morbidities </w:t>
            </w:r>
          </w:p>
          <w:p w14:paraId="1D9AC965" w14:textId="77777777" w:rsidR="00D961D7" w:rsidRPr="00270FC0" w:rsidRDefault="00D961D7" w:rsidP="00E4452E">
            <w:pPr>
              <w:spacing w:after="0"/>
              <w:jc w:val="both"/>
            </w:pPr>
            <w:r w:rsidRPr="00270FC0">
              <w:rPr>
                <w:b/>
                <w:bCs/>
              </w:rPr>
              <w:t>Activities</w:t>
            </w:r>
            <w:r w:rsidRPr="00270FC0">
              <w:t>: Community-</w:t>
            </w:r>
            <w:r>
              <w:t xml:space="preserve"> </w:t>
            </w:r>
            <w:r w:rsidRPr="00270FC0">
              <w:t>and facility-based verbal TB screening will be conducted. Presumptive TB cases will be referred to DOTS</w:t>
            </w:r>
            <w:r>
              <w:t xml:space="preserve"> (Directly Observed Treatment Short-course)</w:t>
            </w:r>
            <w:r w:rsidRPr="00270FC0">
              <w:t xml:space="preserve"> Center</w:t>
            </w:r>
            <w:r>
              <w:t>s</w:t>
            </w:r>
            <w:r w:rsidRPr="00270FC0">
              <w:t xml:space="preserve"> for diagnosis and treatment. Management of co-infection and co-morbidities of PLHIV such as Hepatitis B &amp; C will be provided through accompanied referrals to government hospitals. </w:t>
            </w:r>
            <w:r>
              <w:t>A</w:t>
            </w:r>
            <w:r w:rsidRPr="00270FC0">
              <w:t>ccompanied referrals for anal cancer</w:t>
            </w:r>
            <w:r>
              <w:t>, mental health and non-communicable disease (NCDs)</w:t>
            </w:r>
            <w:r w:rsidRPr="00270FC0">
              <w:t xml:space="preserve"> </w:t>
            </w:r>
            <w:r>
              <w:t xml:space="preserve">will also be initiated </w:t>
            </w:r>
            <w:r w:rsidRPr="00270FC0">
              <w:t>at government health centers.</w:t>
            </w:r>
          </w:p>
          <w:p w14:paraId="562CD6D2" w14:textId="77777777" w:rsidR="00D961D7" w:rsidRPr="00270FC0" w:rsidRDefault="00D961D7" w:rsidP="00E4452E">
            <w:pPr>
              <w:spacing w:after="0"/>
              <w:jc w:val="both"/>
            </w:pPr>
            <w:r w:rsidRPr="00270FC0">
              <w:rPr>
                <w:b/>
                <w:bCs/>
              </w:rPr>
              <w:t>Intervention</w:t>
            </w:r>
            <w:r w:rsidRPr="00270FC0">
              <w:t xml:space="preserve">: </w:t>
            </w:r>
            <w:r w:rsidRPr="0058297B">
              <w:t>Community empowerment</w:t>
            </w:r>
          </w:p>
          <w:p w14:paraId="113A19CC" w14:textId="77777777" w:rsidR="00D961D7" w:rsidRPr="007F7A64" w:rsidRDefault="00D961D7" w:rsidP="00E4452E">
            <w:pPr>
              <w:spacing w:after="0"/>
              <w:jc w:val="both"/>
            </w:pPr>
            <w:r w:rsidRPr="00270FC0">
              <w:rPr>
                <w:b/>
                <w:bCs/>
              </w:rPr>
              <w:t>Activities</w:t>
            </w:r>
            <w:r w:rsidRPr="00270FC0">
              <w:t>: Community partnership linkage and coordination will be maintained</w:t>
            </w:r>
            <w:r>
              <w:t xml:space="preserve"> and</w:t>
            </w:r>
            <w:r w:rsidRPr="00270FC0">
              <w:t xml:space="preserve"> safe spaces (i.e. DICs) will be established for community members. </w:t>
            </w:r>
            <w:r>
              <w:t xml:space="preserve">Like current modality, most of the field level staff will be community members. Besides, icddr,b will </w:t>
            </w:r>
            <w:r w:rsidRPr="0058297B">
              <w:t>involv</w:t>
            </w:r>
            <w:r>
              <w:t xml:space="preserve">e  more capacitated CBOs </w:t>
            </w:r>
            <w:r w:rsidRPr="0058297B">
              <w:t>in program implementation</w:t>
            </w:r>
            <w:r>
              <w:t xml:space="preserve">. Also, </w:t>
            </w:r>
            <w:r w:rsidRPr="0058297B">
              <w:t>involvement of CBOs in treatment, care and support for PLHIV</w:t>
            </w:r>
            <w:r>
              <w:t xml:space="preserve"> will be ensured. Community members and </w:t>
            </w:r>
            <w:r w:rsidRPr="0058297B">
              <w:t xml:space="preserve">CBOs </w:t>
            </w:r>
            <w:r>
              <w:t xml:space="preserve">will also be involved </w:t>
            </w:r>
            <w:r w:rsidRPr="0058297B">
              <w:t>in advocacy with local and national stakeholders</w:t>
            </w:r>
            <w:r>
              <w:t>.</w:t>
            </w:r>
          </w:p>
        </w:tc>
      </w:tr>
      <w:tr w:rsidR="00D961D7" w:rsidRPr="007F7A64" w14:paraId="10EB070F" w14:textId="77777777" w:rsidTr="004A0826">
        <w:trPr>
          <w:trHeight w:val="289"/>
        </w:trPr>
        <w:tc>
          <w:tcPr>
            <w:tcW w:w="2256" w:type="dxa"/>
            <w:shd w:val="clear" w:color="auto" w:fill="F2F2F2"/>
            <w:vAlign w:val="center"/>
          </w:tcPr>
          <w:p w14:paraId="796DEFAD" w14:textId="77777777" w:rsidR="00D961D7" w:rsidRPr="007F7A64" w:rsidRDefault="00D961D7" w:rsidP="00E4452E">
            <w:pPr>
              <w:spacing w:after="0"/>
              <w:rPr>
                <w:b/>
              </w:rPr>
            </w:pPr>
            <w:r>
              <w:rPr>
                <w:b/>
              </w:rPr>
              <w:t>Priority Population(s)</w:t>
            </w:r>
          </w:p>
        </w:tc>
        <w:tc>
          <w:tcPr>
            <w:tcW w:w="8004" w:type="dxa"/>
          </w:tcPr>
          <w:p w14:paraId="0990BE8E" w14:textId="77777777" w:rsidR="00D961D7" w:rsidRPr="007C1BE9" w:rsidRDefault="00D961D7" w:rsidP="00E4452E">
            <w:pPr>
              <w:spacing w:after="0"/>
            </w:pPr>
            <w:r w:rsidRPr="00202F24">
              <w:t>Males who have sex with males including</w:t>
            </w:r>
            <w:r w:rsidRPr="00E951F0">
              <w:t xml:space="preserve"> male sex workers, and transgender women (</w:t>
            </w:r>
            <w:r w:rsidRPr="00051875">
              <w:rPr>
                <w:i/>
                <w:iCs/>
              </w:rPr>
              <w:t>hijra</w:t>
            </w:r>
            <w:r w:rsidRPr="00E951F0">
              <w:t>)</w:t>
            </w:r>
          </w:p>
        </w:tc>
      </w:tr>
      <w:tr w:rsidR="00D961D7" w:rsidRPr="007F7A64" w14:paraId="6BA1D122" w14:textId="77777777" w:rsidTr="004A0826">
        <w:trPr>
          <w:trHeight w:val="289"/>
        </w:trPr>
        <w:tc>
          <w:tcPr>
            <w:tcW w:w="2256" w:type="dxa"/>
            <w:shd w:val="clear" w:color="auto" w:fill="F2F2F2"/>
            <w:vAlign w:val="center"/>
          </w:tcPr>
          <w:p w14:paraId="237A8A24" w14:textId="77777777" w:rsidR="00D961D7" w:rsidRDefault="00D961D7" w:rsidP="00E4452E">
            <w:pPr>
              <w:spacing w:after="0"/>
              <w:rPr>
                <w:b/>
              </w:rPr>
            </w:pPr>
            <w:r>
              <w:rPr>
                <w:b/>
              </w:rPr>
              <w:t>Barriers and Inequities</w:t>
            </w:r>
          </w:p>
        </w:tc>
        <w:tc>
          <w:tcPr>
            <w:tcW w:w="8004" w:type="dxa"/>
          </w:tcPr>
          <w:p w14:paraId="2F1249B1" w14:textId="77777777" w:rsidR="00D961D7" w:rsidRPr="00BB1670" w:rsidRDefault="00D961D7" w:rsidP="00E4452E">
            <w:pPr>
              <w:spacing w:after="0"/>
              <w:jc w:val="both"/>
            </w:pPr>
            <w:r>
              <w:t>National laws</w:t>
            </w:r>
            <w:r w:rsidRPr="00917034">
              <w:t xml:space="preserve"> criminaliz</w:t>
            </w:r>
            <w:r>
              <w:t>e</w:t>
            </w:r>
            <w:r w:rsidRPr="00917034">
              <w:t xml:space="preserve"> male</w:t>
            </w:r>
            <w:r>
              <w:t>-</w:t>
            </w:r>
            <w:r w:rsidRPr="00917034">
              <w:t>to</w:t>
            </w:r>
            <w:r>
              <w:t>-</w:t>
            </w:r>
            <w:r w:rsidRPr="00917034">
              <w:t>male sexual relationship</w:t>
            </w:r>
            <w:r>
              <w:t>s</w:t>
            </w:r>
            <w:r w:rsidRPr="00917034">
              <w:t xml:space="preserve"> </w:t>
            </w:r>
            <w:r>
              <w:t>to the harshest degree</w:t>
            </w:r>
            <w:r w:rsidRPr="00917034">
              <w:t xml:space="preserve"> (i.e., life imprisonment). </w:t>
            </w:r>
            <w:r>
              <w:t>Moreover</w:t>
            </w:r>
            <w:r w:rsidRPr="00917034">
              <w:t>, due to socio-cultural constructs and gender norms, sexual</w:t>
            </w:r>
            <w:r>
              <w:t xml:space="preserve"> practices</w:t>
            </w:r>
            <w:r w:rsidRPr="00917034">
              <w:t xml:space="preserve"> of MSM and </w:t>
            </w:r>
            <w:r w:rsidRPr="00BE27EF">
              <w:rPr>
                <w:i/>
                <w:iCs/>
              </w:rPr>
              <w:t>hijra</w:t>
            </w:r>
            <w:r w:rsidRPr="0017765A">
              <w:rPr>
                <w:i/>
                <w:iCs/>
              </w:rPr>
              <w:t xml:space="preserve"> </w:t>
            </w:r>
            <w:r w:rsidRPr="00917034">
              <w:t>are stigmatized. Feminized males (</w:t>
            </w:r>
            <w:r>
              <w:rPr>
                <w:i/>
                <w:iCs/>
              </w:rPr>
              <w:t>k</w:t>
            </w:r>
            <w:r w:rsidRPr="0017765A">
              <w:rPr>
                <w:i/>
                <w:iCs/>
              </w:rPr>
              <w:t>othi</w:t>
            </w:r>
            <w:r w:rsidRPr="00917034">
              <w:t xml:space="preserve">) and </w:t>
            </w:r>
            <w:r w:rsidRPr="00BE27EF">
              <w:rPr>
                <w:i/>
                <w:iCs/>
              </w:rPr>
              <w:t>hijra</w:t>
            </w:r>
            <w:r w:rsidRPr="0017765A">
              <w:rPr>
                <w:i/>
                <w:iCs/>
              </w:rPr>
              <w:t xml:space="preserve"> </w:t>
            </w:r>
            <w:r w:rsidRPr="00917034">
              <w:t xml:space="preserve">are socially excluded and subjected to human rights violations. KPs’ access to </w:t>
            </w:r>
            <w:r>
              <w:t>health and other services</w:t>
            </w:r>
            <w:r w:rsidRPr="00917034">
              <w:t xml:space="preserve"> </w:t>
            </w:r>
            <w:r>
              <w:t xml:space="preserve">remain </w:t>
            </w:r>
            <w:r w:rsidRPr="00917034">
              <w:t>limited and</w:t>
            </w:r>
            <w:r>
              <w:t xml:space="preserve"> somewhat because of stigma associated with their sexual practices</w:t>
            </w:r>
            <w:r w:rsidRPr="00917034">
              <w:t xml:space="preserve">.   </w:t>
            </w:r>
          </w:p>
        </w:tc>
      </w:tr>
      <w:tr w:rsidR="00D961D7" w:rsidRPr="007F7A64" w14:paraId="07720F0A" w14:textId="77777777" w:rsidTr="004A0826">
        <w:trPr>
          <w:trHeight w:val="289"/>
        </w:trPr>
        <w:tc>
          <w:tcPr>
            <w:tcW w:w="2256" w:type="dxa"/>
            <w:shd w:val="clear" w:color="auto" w:fill="F2F2F2"/>
            <w:vAlign w:val="center"/>
          </w:tcPr>
          <w:p w14:paraId="39E0EA48" w14:textId="77777777" w:rsidR="00D961D7" w:rsidRPr="007F7A64" w:rsidRDefault="00D961D7" w:rsidP="00E4452E">
            <w:pPr>
              <w:spacing w:after="0"/>
              <w:rPr>
                <w:b/>
              </w:rPr>
            </w:pPr>
            <w:r>
              <w:rPr>
                <w:b/>
              </w:rPr>
              <w:t>Rationale</w:t>
            </w:r>
          </w:p>
        </w:tc>
        <w:tc>
          <w:tcPr>
            <w:tcW w:w="8004" w:type="dxa"/>
          </w:tcPr>
          <w:p w14:paraId="04889969" w14:textId="77777777" w:rsidR="00D961D7" w:rsidRPr="007F7A64" w:rsidRDefault="00D961D7" w:rsidP="00E4452E">
            <w:pPr>
              <w:spacing w:after="0"/>
              <w:jc w:val="both"/>
            </w:pPr>
            <w:r w:rsidRPr="00917034">
              <w:t xml:space="preserve">MSM and </w:t>
            </w:r>
            <w:r w:rsidRPr="00BE27EF">
              <w:rPr>
                <w:i/>
                <w:iCs/>
              </w:rPr>
              <w:t>hijra</w:t>
            </w:r>
            <w:r w:rsidRPr="00917034">
              <w:t xml:space="preserve"> populations</w:t>
            </w:r>
            <w:r>
              <w:t xml:space="preserve"> experience health inequalities</w:t>
            </w:r>
            <w:r w:rsidRPr="00917034">
              <w:t xml:space="preserve"> due to </w:t>
            </w:r>
            <w:r>
              <w:t>lack of tolerance towards</w:t>
            </w:r>
            <w:r w:rsidRPr="00917034">
              <w:t xml:space="preserve"> male</w:t>
            </w:r>
            <w:r>
              <w:t>-</w:t>
            </w:r>
            <w:r w:rsidRPr="00917034">
              <w:t>to</w:t>
            </w:r>
            <w:r>
              <w:t>-</w:t>
            </w:r>
            <w:r w:rsidRPr="00917034">
              <w:t xml:space="preserve">male sexual behaviors and relationships, </w:t>
            </w:r>
            <w:r>
              <w:t>thus, limiting access to necessary services for</w:t>
            </w:r>
            <w:r w:rsidRPr="00917034">
              <w:t xml:space="preserve"> </w:t>
            </w:r>
            <w:r w:rsidRPr="00BE27EF">
              <w:rPr>
                <w:i/>
                <w:iCs/>
              </w:rPr>
              <w:t>kothi</w:t>
            </w:r>
            <w:r w:rsidRPr="0017765A">
              <w:rPr>
                <w:i/>
                <w:iCs/>
              </w:rPr>
              <w:t xml:space="preserve"> </w:t>
            </w:r>
            <w:r w:rsidRPr="00917034">
              <w:t xml:space="preserve">and </w:t>
            </w:r>
            <w:r w:rsidRPr="00BE27EF">
              <w:rPr>
                <w:i/>
                <w:iCs/>
              </w:rPr>
              <w:t>hijra</w:t>
            </w:r>
            <w:r w:rsidRPr="00917034">
              <w:t xml:space="preserve">. </w:t>
            </w:r>
            <w:r>
              <w:t>Adverse experiences from</w:t>
            </w:r>
            <w:r w:rsidRPr="00917034">
              <w:t xml:space="preserve"> public healthcare facilities </w:t>
            </w:r>
            <w:r>
              <w:t>make them reluctant or resistant</w:t>
            </w:r>
            <w:r w:rsidRPr="00917034">
              <w:t xml:space="preserve"> seek healthcare</w:t>
            </w:r>
            <w:r>
              <w:t>,</w:t>
            </w:r>
            <w:r w:rsidRPr="00917034">
              <w:t xml:space="preserve"> particularly</w:t>
            </w:r>
            <w:r>
              <w:t xml:space="preserve"> SRH-related</w:t>
            </w:r>
            <w:r w:rsidRPr="00917034">
              <w:t xml:space="preserve"> services </w:t>
            </w:r>
            <w:r>
              <w:t>(</w:t>
            </w:r>
            <w:r w:rsidRPr="00917034">
              <w:t>including STI</w:t>
            </w:r>
            <w:r>
              <w:t>)</w:t>
            </w:r>
            <w:r w:rsidRPr="00917034">
              <w:t xml:space="preserve"> from </w:t>
            </w:r>
            <w:r>
              <w:t>these</w:t>
            </w:r>
            <w:r w:rsidRPr="00917034">
              <w:t xml:space="preserve"> facilities. The Global Fund recommends offering safe spaces for </w:t>
            </w:r>
            <w:r>
              <w:t>KPs</w:t>
            </w:r>
            <w:r w:rsidRPr="00917034">
              <w:t xml:space="preserve"> at risk of STI</w:t>
            </w:r>
            <w:r>
              <w:t>s</w:t>
            </w:r>
            <w:r w:rsidRPr="00917034">
              <w:t xml:space="preserve">, in countries </w:t>
            </w:r>
            <w:r>
              <w:t>with</w:t>
            </w:r>
            <w:r w:rsidRPr="00917034">
              <w:t xml:space="preserve"> punitive laws. Hence, HIV and STI services will be provided through SDPs operated by </w:t>
            </w:r>
            <w:r>
              <w:t>NGOs</w:t>
            </w:r>
            <w:r w:rsidRPr="00917034">
              <w:t xml:space="preserve">. HIV prevention services </w:t>
            </w:r>
            <w:r>
              <w:t xml:space="preserve">are </w:t>
            </w:r>
            <w:r w:rsidRPr="00917034">
              <w:t xml:space="preserve">yet to be </w:t>
            </w:r>
            <w:r>
              <w:t xml:space="preserve">made </w:t>
            </w:r>
            <w:r w:rsidRPr="00917034">
              <w:t>available for these groups at public and other settings</w:t>
            </w:r>
            <w:r>
              <w:t>.</w:t>
            </w:r>
          </w:p>
        </w:tc>
      </w:tr>
      <w:tr w:rsidR="00D961D7" w:rsidRPr="007F7A64" w14:paraId="1C8016E5" w14:textId="77777777" w:rsidTr="004A0826">
        <w:trPr>
          <w:trHeight w:val="289"/>
        </w:trPr>
        <w:tc>
          <w:tcPr>
            <w:tcW w:w="2256" w:type="dxa"/>
            <w:shd w:val="clear" w:color="auto" w:fill="F2F2F2"/>
            <w:vAlign w:val="center"/>
          </w:tcPr>
          <w:p w14:paraId="3DB7A775" w14:textId="77777777" w:rsidR="00D961D7" w:rsidRPr="007F7A64" w:rsidRDefault="00D961D7" w:rsidP="00E4452E">
            <w:pPr>
              <w:spacing w:after="0"/>
              <w:rPr>
                <w:b/>
              </w:rPr>
            </w:pPr>
            <w:r w:rsidRPr="007F7A64">
              <w:rPr>
                <w:b/>
              </w:rPr>
              <w:t xml:space="preserve">Expected </w:t>
            </w:r>
            <w:r>
              <w:rPr>
                <w:b/>
              </w:rPr>
              <w:t>Outcome</w:t>
            </w:r>
          </w:p>
        </w:tc>
        <w:tc>
          <w:tcPr>
            <w:tcW w:w="8004" w:type="dxa"/>
          </w:tcPr>
          <w:p w14:paraId="49A00F84" w14:textId="77777777" w:rsidR="00D961D7" w:rsidRPr="007F7A64" w:rsidRDefault="00D961D7" w:rsidP="00E4452E">
            <w:pPr>
              <w:spacing w:after="0"/>
            </w:pPr>
            <w:r>
              <w:t>Improved s</w:t>
            </w:r>
            <w:r w:rsidRPr="00270FC0">
              <w:t xml:space="preserve">afer sex behavior to reduce </w:t>
            </w:r>
            <w:r>
              <w:t>HIV</w:t>
            </w:r>
            <w:r w:rsidRPr="00270FC0">
              <w:t xml:space="preserve"> and STI</w:t>
            </w:r>
            <w:r>
              <w:t xml:space="preserve"> incidence</w:t>
            </w:r>
            <w:r w:rsidRPr="00270FC0">
              <w:t xml:space="preserve"> among targeted MSM and </w:t>
            </w:r>
            <w:r w:rsidRPr="00BE27EF">
              <w:rPr>
                <w:i/>
                <w:iCs/>
              </w:rPr>
              <w:t>hijra</w:t>
            </w:r>
            <w:r w:rsidRPr="00270FC0">
              <w:t>.</w:t>
            </w:r>
          </w:p>
        </w:tc>
      </w:tr>
      <w:tr w:rsidR="00D961D7" w:rsidRPr="007F7A64" w14:paraId="78960150" w14:textId="77777777" w:rsidTr="004A0826">
        <w:trPr>
          <w:trHeight w:val="289"/>
        </w:trPr>
        <w:tc>
          <w:tcPr>
            <w:tcW w:w="2256" w:type="dxa"/>
            <w:shd w:val="clear" w:color="auto" w:fill="F2F2F2"/>
            <w:vAlign w:val="center"/>
          </w:tcPr>
          <w:p w14:paraId="78FAFDCB" w14:textId="77777777" w:rsidR="00D961D7" w:rsidRPr="00C44844" w:rsidRDefault="00D961D7" w:rsidP="00E4452E">
            <w:pPr>
              <w:spacing w:after="0"/>
              <w:rPr>
                <w:b/>
              </w:rPr>
            </w:pPr>
            <w:r w:rsidRPr="007F7A64">
              <w:rPr>
                <w:b/>
              </w:rPr>
              <w:t>Expected Investment</w:t>
            </w:r>
          </w:p>
        </w:tc>
        <w:tc>
          <w:tcPr>
            <w:tcW w:w="8004" w:type="dxa"/>
          </w:tcPr>
          <w:p w14:paraId="4FE75433" w14:textId="77777777" w:rsidR="00D961D7" w:rsidRPr="007F7A64" w:rsidRDefault="00D961D7" w:rsidP="00E4452E">
            <w:pPr>
              <w:spacing w:after="0"/>
            </w:pPr>
            <w:r w:rsidRPr="00DE2B0D">
              <w:rPr>
                <w:highlight w:val="yellow"/>
              </w:rPr>
              <w:t>US $ 4,696,684</w:t>
            </w:r>
          </w:p>
        </w:tc>
      </w:tr>
    </w:tbl>
    <w:p w14:paraId="6A5E432B" w14:textId="57A6CD51" w:rsidR="0098274C" w:rsidRDefault="0098274C" w:rsidP="009B6C0D">
      <w:pPr>
        <w:spacing w:after="0"/>
      </w:pPr>
    </w:p>
    <w:tbl>
      <w:tblPr>
        <w:tblStyle w:val="TableGrid30"/>
        <w:tblW w:w="4904" w:type="pct"/>
        <w:tblLook w:val="04A0" w:firstRow="1" w:lastRow="0" w:firstColumn="1" w:lastColumn="0" w:noHBand="0" w:noVBand="1"/>
      </w:tblPr>
      <w:tblGrid>
        <w:gridCol w:w="2334"/>
        <w:gridCol w:w="7921"/>
      </w:tblGrid>
      <w:tr w:rsidR="00D961D7" w:rsidRPr="003108F0" w14:paraId="7D94B73E" w14:textId="77777777" w:rsidTr="00263BA7">
        <w:trPr>
          <w:trHeight w:val="288"/>
        </w:trPr>
        <w:tc>
          <w:tcPr>
            <w:tcW w:w="1138" w:type="pct"/>
            <w:shd w:val="clear" w:color="auto" w:fill="F2F2F2"/>
            <w:vAlign w:val="center"/>
          </w:tcPr>
          <w:p w14:paraId="17899AE8" w14:textId="77777777" w:rsidR="00D961D7" w:rsidRPr="003108F0" w:rsidRDefault="00D961D7" w:rsidP="00E4452E">
            <w:pPr>
              <w:rPr>
                <w:rFonts w:ascii="Arial" w:hAnsi="Arial" w:cs="Arial"/>
                <w:b/>
              </w:rPr>
            </w:pPr>
            <w:r w:rsidRPr="003108F0">
              <w:rPr>
                <w:rFonts w:ascii="Arial" w:hAnsi="Arial" w:cs="Arial"/>
                <w:b/>
              </w:rPr>
              <w:t>Module # 1</w:t>
            </w:r>
          </w:p>
        </w:tc>
        <w:tc>
          <w:tcPr>
            <w:tcW w:w="3862" w:type="pct"/>
          </w:tcPr>
          <w:p w14:paraId="15086198" w14:textId="77777777" w:rsidR="00D961D7" w:rsidRPr="003108F0" w:rsidRDefault="00D961D7" w:rsidP="00E4452E">
            <w:pPr>
              <w:rPr>
                <w:rFonts w:ascii="Arial" w:hAnsi="Arial" w:cs="Arial"/>
              </w:rPr>
            </w:pPr>
            <w:r w:rsidRPr="003108F0">
              <w:rPr>
                <w:rFonts w:ascii="Arial" w:hAnsi="Arial" w:cs="Arial"/>
                <w:b/>
                <w:bCs/>
              </w:rPr>
              <w:t>Prevention- Female Sex workers and their clients</w:t>
            </w:r>
          </w:p>
        </w:tc>
      </w:tr>
      <w:tr w:rsidR="00D961D7" w:rsidRPr="003108F0" w14:paraId="7911EF2E" w14:textId="77777777" w:rsidTr="00263BA7">
        <w:trPr>
          <w:trHeight w:val="288"/>
        </w:trPr>
        <w:tc>
          <w:tcPr>
            <w:tcW w:w="1138" w:type="pct"/>
            <w:shd w:val="clear" w:color="auto" w:fill="F2F2F2"/>
            <w:vAlign w:val="center"/>
          </w:tcPr>
          <w:p w14:paraId="4D46BA1D" w14:textId="77777777" w:rsidR="00D961D7" w:rsidRPr="003108F0" w:rsidRDefault="00D961D7" w:rsidP="00E4452E">
            <w:pPr>
              <w:rPr>
                <w:rFonts w:ascii="Arial" w:hAnsi="Arial" w:cs="Arial"/>
                <w:b/>
              </w:rPr>
            </w:pPr>
            <w:r w:rsidRPr="003108F0">
              <w:rPr>
                <w:rFonts w:ascii="Arial" w:hAnsi="Arial" w:cs="Arial"/>
                <w:b/>
              </w:rPr>
              <w:t>Intervention(s) &amp; Key Activities</w:t>
            </w:r>
          </w:p>
        </w:tc>
        <w:tc>
          <w:tcPr>
            <w:tcW w:w="3862" w:type="pct"/>
          </w:tcPr>
          <w:p w14:paraId="2D5EB64A" w14:textId="77777777" w:rsidR="00D961D7" w:rsidRDefault="00D961D7" w:rsidP="00E4452E">
            <w:pPr>
              <w:jc w:val="both"/>
              <w:rPr>
                <w:rFonts w:ascii="Arial" w:hAnsi="Arial" w:cs="Arial"/>
              </w:rPr>
            </w:pPr>
            <w:r w:rsidRPr="00857583">
              <w:rPr>
                <w:rFonts w:ascii="Arial" w:hAnsi="Arial" w:cs="Arial"/>
              </w:rPr>
              <w:t>Interventions will be implemented by PR-SC and PR-ASP. PR-ASP will implement at a small scale using existing government facilities. Thus</w:t>
            </w:r>
            <w:r>
              <w:rPr>
                <w:rFonts w:ascii="Arial" w:hAnsi="Arial" w:cs="Arial"/>
              </w:rPr>
              <w:t>,</w:t>
            </w:r>
            <w:r w:rsidRPr="00857583">
              <w:rPr>
                <w:rFonts w:ascii="Arial" w:hAnsi="Arial" w:cs="Arial"/>
              </w:rPr>
              <w:t xml:space="preserve"> the strategic approaches </w:t>
            </w:r>
            <w:r>
              <w:rPr>
                <w:rFonts w:ascii="Arial" w:hAnsi="Arial" w:cs="Arial"/>
              </w:rPr>
              <w:t>are</w:t>
            </w:r>
            <w:r w:rsidRPr="00857583">
              <w:rPr>
                <w:rFonts w:ascii="Arial" w:hAnsi="Arial" w:cs="Arial"/>
              </w:rPr>
              <w:t xml:space="preserve"> different. </w:t>
            </w:r>
            <w:r w:rsidRPr="0086099C">
              <w:rPr>
                <w:rFonts w:ascii="Arial" w:hAnsi="Arial" w:cs="Arial"/>
              </w:rPr>
              <w:t>A mapping exercise will be conducted to avoid overlapping</w:t>
            </w:r>
            <w:r>
              <w:rPr>
                <w:rFonts w:ascii="Arial" w:hAnsi="Arial" w:cs="Arial"/>
              </w:rPr>
              <w:t xml:space="preserve"> between the intervention areas of the PRs</w:t>
            </w:r>
            <w:r w:rsidRPr="0086099C">
              <w:rPr>
                <w:rFonts w:ascii="Arial" w:hAnsi="Arial" w:cs="Arial"/>
              </w:rPr>
              <w:t xml:space="preserve">. </w:t>
            </w:r>
            <w:r w:rsidRPr="00857583">
              <w:rPr>
                <w:rFonts w:ascii="Arial" w:hAnsi="Arial" w:cs="Arial"/>
              </w:rPr>
              <w:t xml:space="preserve"> </w:t>
            </w:r>
          </w:p>
          <w:p w14:paraId="5421D8CE" w14:textId="77777777" w:rsidR="00D961D7" w:rsidRPr="003108F0" w:rsidRDefault="00D961D7" w:rsidP="00E4452E">
            <w:pPr>
              <w:jc w:val="both"/>
              <w:rPr>
                <w:rFonts w:ascii="Arial" w:hAnsi="Arial" w:cs="Arial"/>
              </w:rPr>
            </w:pPr>
            <w:r w:rsidRPr="003108F0">
              <w:rPr>
                <w:rFonts w:ascii="Arial" w:hAnsi="Arial" w:cs="Arial"/>
                <w:b/>
                <w:bCs/>
              </w:rPr>
              <w:t>Intervention</w:t>
            </w:r>
            <w:r w:rsidRPr="003108F0">
              <w:rPr>
                <w:rFonts w:ascii="Arial" w:hAnsi="Arial" w:cs="Arial"/>
              </w:rPr>
              <w:t xml:space="preserve">: Condom and lubricant programming </w:t>
            </w:r>
          </w:p>
          <w:p w14:paraId="31872B5B" w14:textId="77777777" w:rsidR="00D961D7" w:rsidRDefault="00D961D7" w:rsidP="00E4452E">
            <w:pPr>
              <w:jc w:val="both"/>
              <w:rPr>
                <w:rFonts w:ascii="Arial" w:hAnsi="Arial" w:cs="Arial"/>
              </w:rPr>
            </w:pPr>
            <w:r w:rsidRPr="003108F0">
              <w:rPr>
                <w:rFonts w:ascii="Arial" w:hAnsi="Arial" w:cs="Arial"/>
                <w:b/>
                <w:bCs/>
              </w:rPr>
              <w:t>Activities</w:t>
            </w:r>
            <w:r w:rsidRPr="003108F0">
              <w:rPr>
                <w:rFonts w:ascii="Arial" w:hAnsi="Arial" w:cs="Arial"/>
              </w:rPr>
              <w:t xml:space="preserve">: </w:t>
            </w:r>
            <w:r w:rsidRPr="005A053B">
              <w:rPr>
                <w:rFonts w:ascii="Arial" w:hAnsi="Arial" w:cs="Arial"/>
                <w:i/>
                <w:iCs/>
                <w:u w:val="single"/>
              </w:rPr>
              <w:t>PR-SC</w:t>
            </w:r>
            <w:r w:rsidRPr="001C65DE">
              <w:rPr>
                <w:rFonts w:ascii="Arial" w:hAnsi="Arial" w:cs="Arial"/>
              </w:rPr>
              <w:t xml:space="preserve"> will </w:t>
            </w:r>
            <w:r>
              <w:rPr>
                <w:rFonts w:ascii="Arial" w:hAnsi="Arial" w:cs="Arial"/>
              </w:rPr>
              <w:t xml:space="preserve">provide free </w:t>
            </w:r>
            <w:r w:rsidRPr="006E40B0">
              <w:rPr>
                <w:rFonts w:ascii="Arial" w:hAnsi="Arial" w:cs="Arial"/>
              </w:rPr>
              <w:t>condom</w:t>
            </w:r>
            <w:r>
              <w:rPr>
                <w:rFonts w:ascii="Arial" w:hAnsi="Arial" w:cs="Arial"/>
              </w:rPr>
              <w:t>s</w:t>
            </w:r>
            <w:r w:rsidRPr="006E40B0">
              <w:rPr>
                <w:rFonts w:ascii="Arial" w:hAnsi="Arial" w:cs="Arial"/>
              </w:rPr>
              <w:t xml:space="preserve"> and lubricant</w:t>
            </w:r>
            <w:r>
              <w:rPr>
                <w:rFonts w:ascii="Arial" w:hAnsi="Arial" w:cs="Arial"/>
              </w:rPr>
              <w:t>s</w:t>
            </w:r>
            <w:r w:rsidRPr="006E40B0">
              <w:rPr>
                <w:rFonts w:ascii="Arial" w:hAnsi="Arial" w:cs="Arial"/>
              </w:rPr>
              <w:t xml:space="preserve"> in 13 districts for 30,000 FSWs. </w:t>
            </w:r>
            <w:r>
              <w:rPr>
                <w:rFonts w:ascii="Arial" w:hAnsi="Arial" w:cs="Arial"/>
              </w:rPr>
              <w:t>C</w:t>
            </w:r>
            <w:r w:rsidRPr="00416A87">
              <w:rPr>
                <w:rFonts w:ascii="Arial" w:hAnsi="Arial" w:cs="Arial"/>
              </w:rPr>
              <w:t>ondom</w:t>
            </w:r>
            <w:r>
              <w:rPr>
                <w:rFonts w:ascii="Arial" w:hAnsi="Arial" w:cs="Arial"/>
              </w:rPr>
              <w:t>s</w:t>
            </w:r>
            <w:r w:rsidRPr="00416A87">
              <w:rPr>
                <w:rFonts w:ascii="Arial" w:hAnsi="Arial" w:cs="Arial"/>
              </w:rPr>
              <w:t xml:space="preserve"> and lubricants will be</w:t>
            </w:r>
            <w:r>
              <w:rPr>
                <w:rFonts w:ascii="Arial" w:hAnsi="Arial" w:cs="Arial"/>
              </w:rPr>
              <w:t xml:space="preserve"> distributed by</w:t>
            </w:r>
            <w:r w:rsidRPr="00416A87">
              <w:rPr>
                <w:rFonts w:ascii="Arial" w:hAnsi="Arial" w:cs="Arial"/>
              </w:rPr>
              <w:t xml:space="preserve"> peer outreach workers (POW)</w:t>
            </w:r>
            <w:r>
              <w:rPr>
                <w:rFonts w:ascii="Arial" w:hAnsi="Arial" w:cs="Arial"/>
              </w:rPr>
              <w:t xml:space="preserve"> p</w:t>
            </w:r>
            <w:r w:rsidRPr="00416A87">
              <w:rPr>
                <w:rFonts w:ascii="Arial" w:hAnsi="Arial" w:cs="Arial"/>
              </w:rPr>
              <w:t>rimarily</w:t>
            </w:r>
            <w:r>
              <w:rPr>
                <w:rFonts w:ascii="Arial" w:hAnsi="Arial" w:cs="Arial"/>
              </w:rPr>
              <w:t>,</w:t>
            </w:r>
            <w:r w:rsidRPr="00416A87">
              <w:rPr>
                <w:rFonts w:ascii="Arial" w:hAnsi="Arial" w:cs="Arial"/>
              </w:rPr>
              <w:t xml:space="preserve"> and also from DIC</w:t>
            </w:r>
            <w:r>
              <w:rPr>
                <w:rFonts w:ascii="Arial" w:hAnsi="Arial" w:cs="Arial"/>
              </w:rPr>
              <w:t>s</w:t>
            </w:r>
            <w:r w:rsidRPr="00416A87">
              <w:rPr>
                <w:rFonts w:ascii="Arial" w:hAnsi="Arial" w:cs="Arial"/>
              </w:rPr>
              <w:t>, outlet</w:t>
            </w:r>
            <w:r>
              <w:rPr>
                <w:rFonts w:ascii="Arial" w:hAnsi="Arial" w:cs="Arial"/>
              </w:rPr>
              <w:t>s</w:t>
            </w:r>
            <w:r w:rsidRPr="00416A87">
              <w:rPr>
                <w:rFonts w:ascii="Arial" w:hAnsi="Arial" w:cs="Arial"/>
              </w:rPr>
              <w:t xml:space="preserve"> and depot</w:t>
            </w:r>
            <w:r>
              <w:rPr>
                <w:rFonts w:ascii="Arial" w:hAnsi="Arial" w:cs="Arial"/>
              </w:rPr>
              <w:t>s</w:t>
            </w:r>
            <w:r w:rsidRPr="00416A87">
              <w:rPr>
                <w:rFonts w:ascii="Arial" w:hAnsi="Arial" w:cs="Arial"/>
              </w:rPr>
              <w:t>.</w:t>
            </w:r>
            <w:r>
              <w:rPr>
                <w:rFonts w:ascii="Arial" w:hAnsi="Arial" w:cs="Arial"/>
              </w:rPr>
              <w:t xml:space="preserve"> </w:t>
            </w:r>
            <w:r w:rsidRPr="00416A87">
              <w:rPr>
                <w:rFonts w:ascii="Arial" w:hAnsi="Arial" w:cs="Arial"/>
              </w:rPr>
              <w:t>To ensure off hour con</w:t>
            </w:r>
            <w:r>
              <w:rPr>
                <w:rFonts w:ascii="Arial" w:hAnsi="Arial" w:cs="Arial"/>
              </w:rPr>
              <w:t xml:space="preserve">dom availability, depot holders (e.g. </w:t>
            </w:r>
            <w:r w:rsidRPr="00416A87">
              <w:rPr>
                <w:rFonts w:ascii="Arial" w:hAnsi="Arial" w:cs="Arial"/>
              </w:rPr>
              <w:t>shopkeeper</w:t>
            </w:r>
            <w:r>
              <w:rPr>
                <w:rFonts w:ascii="Arial" w:hAnsi="Arial" w:cs="Arial"/>
              </w:rPr>
              <w:t>s</w:t>
            </w:r>
            <w:r w:rsidRPr="00416A87">
              <w:rPr>
                <w:rFonts w:ascii="Arial" w:hAnsi="Arial" w:cs="Arial"/>
              </w:rPr>
              <w:t xml:space="preserve">, </w:t>
            </w:r>
            <w:r>
              <w:rPr>
                <w:rFonts w:ascii="Arial" w:hAnsi="Arial" w:cs="Arial"/>
              </w:rPr>
              <w:t>pimps, madams,</w:t>
            </w:r>
            <w:r w:rsidRPr="00416A87">
              <w:rPr>
                <w:rFonts w:ascii="Arial" w:hAnsi="Arial" w:cs="Arial"/>
              </w:rPr>
              <w:t xml:space="preserve"> etc</w:t>
            </w:r>
            <w:r>
              <w:rPr>
                <w:rFonts w:ascii="Arial" w:hAnsi="Arial" w:cs="Arial"/>
              </w:rPr>
              <w:t>.)</w:t>
            </w:r>
            <w:r w:rsidRPr="00416A87">
              <w:rPr>
                <w:rFonts w:ascii="Arial" w:hAnsi="Arial" w:cs="Arial"/>
              </w:rPr>
              <w:t>. will be engaged.</w:t>
            </w:r>
            <w:r>
              <w:rPr>
                <w:rFonts w:ascii="Arial" w:hAnsi="Arial" w:cs="Arial"/>
              </w:rPr>
              <w:t xml:space="preserve"> </w:t>
            </w:r>
            <w:r w:rsidRPr="006E40B0">
              <w:rPr>
                <w:rFonts w:ascii="Arial" w:hAnsi="Arial" w:cs="Arial"/>
              </w:rPr>
              <w:t xml:space="preserve">POW will be recruited from the community and </w:t>
            </w:r>
            <w:r>
              <w:rPr>
                <w:rFonts w:ascii="Arial" w:hAnsi="Arial" w:cs="Arial"/>
              </w:rPr>
              <w:t>their</w:t>
            </w:r>
            <w:r w:rsidRPr="006E40B0">
              <w:rPr>
                <w:rFonts w:ascii="Arial" w:hAnsi="Arial" w:cs="Arial"/>
              </w:rPr>
              <w:t xml:space="preserve"> work</w:t>
            </w:r>
            <w:r>
              <w:rPr>
                <w:rFonts w:ascii="Arial" w:hAnsi="Arial" w:cs="Arial"/>
              </w:rPr>
              <w:t xml:space="preserve"> area </w:t>
            </w:r>
            <w:r w:rsidRPr="006E40B0">
              <w:rPr>
                <w:rFonts w:ascii="Arial" w:hAnsi="Arial" w:cs="Arial"/>
              </w:rPr>
              <w:t xml:space="preserve">will be defined based on concentration and modality of sex trade, settings, e.g. street, hotel or residence. </w:t>
            </w:r>
            <w:r w:rsidRPr="00B05352">
              <w:rPr>
                <w:rFonts w:ascii="Arial" w:hAnsi="Arial" w:cs="Arial"/>
              </w:rPr>
              <w:t>For street based FSWs in Dhaka A1</w:t>
            </w:r>
            <w:r>
              <w:rPr>
                <w:rFonts w:ascii="Arial" w:hAnsi="Arial" w:cs="Arial"/>
              </w:rPr>
              <w:t xml:space="preserve"> (older parts of Dhaka)</w:t>
            </w:r>
            <w:r w:rsidRPr="00B05352">
              <w:rPr>
                <w:rFonts w:ascii="Arial" w:hAnsi="Arial" w:cs="Arial"/>
              </w:rPr>
              <w:t xml:space="preserve">, </w:t>
            </w:r>
            <w:r>
              <w:rPr>
                <w:rFonts w:ascii="Arial" w:hAnsi="Arial" w:cs="Arial"/>
              </w:rPr>
              <w:t xml:space="preserve">the </w:t>
            </w:r>
            <w:r w:rsidRPr="00B05352">
              <w:rPr>
                <w:rFonts w:ascii="Arial" w:hAnsi="Arial" w:cs="Arial"/>
              </w:rPr>
              <w:t xml:space="preserve">ratio of POW </w:t>
            </w:r>
            <w:r>
              <w:rPr>
                <w:rFonts w:ascii="Arial" w:hAnsi="Arial" w:cs="Arial"/>
              </w:rPr>
              <w:t>to</w:t>
            </w:r>
            <w:r w:rsidRPr="00B05352">
              <w:rPr>
                <w:rFonts w:ascii="Arial" w:hAnsi="Arial" w:cs="Arial"/>
              </w:rPr>
              <w:t xml:space="preserve"> FSW is 1:60, whereas it is 1:70 and 1:90 in Dhaka A2 </w:t>
            </w:r>
            <w:r>
              <w:rPr>
                <w:rFonts w:ascii="Arial" w:hAnsi="Arial" w:cs="Arial"/>
              </w:rPr>
              <w:t xml:space="preserve">(remaining parts of Dhaka) </w:t>
            </w:r>
            <w:r w:rsidRPr="00B05352">
              <w:rPr>
                <w:rFonts w:ascii="Arial" w:hAnsi="Arial" w:cs="Arial"/>
              </w:rPr>
              <w:t xml:space="preserve">and other districts respectively. For hotel and residence based FSWs, one POW will be responsible for reaching FSWs in seven hotels and ten residences </w:t>
            </w:r>
            <w:r>
              <w:rPr>
                <w:rFonts w:ascii="Arial" w:hAnsi="Arial" w:cs="Arial"/>
              </w:rPr>
              <w:t xml:space="preserve">on average </w:t>
            </w:r>
            <w:r w:rsidRPr="00B05352">
              <w:rPr>
                <w:rFonts w:ascii="Arial" w:hAnsi="Arial" w:cs="Arial"/>
              </w:rPr>
              <w:t>respectively</w:t>
            </w:r>
            <w:r>
              <w:rPr>
                <w:rFonts w:ascii="Arial" w:hAnsi="Arial" w:cs="Arial"/>
              </w:rPr>
              <w:t>. They</w:t>
            </w:r>
            <w:r w:rsidRPr="00B05352">
              <w:rPr>
                <w:rFonts w:ascii="Arial" w:hAnsi="Arial" w:cs="Arial"/>
              </w:rPr>
              <w:t xml:space="preserve"> will be paired with hotel boy and residence madam.</w:t>
            </w:r>
            <w:r>
              <w:rPr>
                <w:rFonts w:ascii="Arial" w:hAnsi="Arial" w:cs="Arial"/>
              </w:rPr>
              <w:t xml:space="preserve"> In addition to the free condoms, </w:t>
            </w:r>
            <w:r w:rsidRPr="006E40B0">
              <w:rPr>
                <w:rFonts w:ascii="Arial" w:hAnsi="Arial" w:cs="Arial"/>
              </w:rPr>
              <w:t>multiple brand</w:t>
            </w:r>
            <w:r>
              <w:rPr>
                <w:rFonts w:ascii="Arial" w:hAnsi="Arial" w:cs="Arial"/>
              </w:rPr>
              <w:t>s</w:t>
            </w:r>
            <w:r w:rsidRPr="006E40B0">
              <w:rPr>
                <w:rFonts w:ascii="Arial" w:hAnsi="Arial" w:cs="Arial"/>
              </w:rPr>
              <w:t xml:space="preserve"> of condoms </w:t>
            </w:r>
            <w:r>
              <w:rPr>
                <w:rFonts w:ascii="Arial" w:hAnsi="Arial" w:cs="Arial"/>
              </w:rPr>
              <w:t xml:space="preserve">will be available for purchase among the </w:t>
            </w:r>
            <w:r w:rsidRPr="00B05352">
              <w:rPr>
                <w:rFonts w:ascii="Arial" w:hAnsi="Arial" w:cs="Arial"/>
              </w:rPr>
              <w:t>hotel and residence based FSWs</w:t>
            </w:r>
            <w:r w:rsidRPr="006E40B0">
              <w:rPr>
                <w:rFonts w:ascii="Arial" w:hAnsi="Arial" w:cs="Arial"/>
              </w:rPr>
              <w:t xml:space="preserve"> for those who have ability to buy</w:t>
            </w:r>
            <w:r>
              <w:rPr>
                <w:rFonts w:ascii="Arial" w:hAnsi="Arial" w:cs="Arial"/>
              </w:rPr>
              <w:t xml:space="preserve"> these</w:t>
            </w:r>
            <w:r w:rsidRPr="006E40B0">
              <w:rPr>
                <w:rFonts w:ascii="Arial" w:hAnsi="Arial" w:cs="Arial"/>
              </w:rPr>
              <w:t xml:space="preserve">. A proportion of required condom will be procured from the grant but gradually it will be collected from </w:t>
            </w:r>
            <w:r>
              <w:rPr>
                <w:rFonts w:ascii="Arial" w:hAnsi="Arial" w:cs="Arial"/>
              </w:rPr>
              <w:t xml:space="preserve">the government </w:t>
            </w:r>
            <w:r w:rsidRPr="006E40B0">
              <w:rPr>
                <w:rFonts w:ascii="Arial" w:hAnsi="Arial" w:cs="Arial"/>
              </w:rPr>
              <w:t>sector programs.</w:t>
            </w:r>
          </w:p>
          <w:p w14:paraId="299717B4" w14:textId="77777777" w:rsidR="00D961D7" w:rsidRDefault="00D961D7" w:rsidP="00E4452E">
            <w:pPr>
              <w:jc w:val="both"/>
              <w:rPr>
                <w:rFonts w:ascii="Arial" w:hAnsi="Arial" w:cs="Arial"/>
              </w:rPr>
            </w:pPr>
            <w:r w:rsidRPr="005A053B">
              <w:rPr>
                <w:rFonts w:ascii="Arial" w:hAnsi="Arial" w:cs="Arial"/>
                <w:i/>
                <w:iCs/>
                <w:u w:val="single"/>
              </w:rPr>
              <w:t>PR-ASP</w:t>
            </w:r>
            <w:r w:rsidRPr="0086099C">
              <w:rPr>
                <w:rFonts w:ascii="Arial" w:hAnsi="Arial" w:cs="Arial"/>
              </w:rPr>
              <w:t xml:space="preserve"> will provide the service from public hospitals to 1,140 FSWs at 4 districts by engaging FSW outreach workers</w:t>
            </w:r>
            <w:r>
              <w:rPr>
                <w:rFonts w:ascii="Arial" w:hAnsi="Arial" w:cs="Arial"/>
              </w:rPr>
              <w:t xml:space="preserve"> or Peer Educators</w:t>
            </w:r>
            <w:r w:rsidRPr="0086099C">
              <w:rPr>
                <w:rFonts w:ascii="Arial" w:hAnsi="Arial" w:cs="Arial"/>
              </w:rPr>
              <w:t xml:space="preserve"> (PE </w:t>
            </w:r>
            <w:r>
              <w:rPr>
                <w:rFonts w:ascii="Arial" w:hAnsi="Arial" w:cs="Arial"/>
              </w:rPr>
              <w:t xml:space="preserve">to FSW </w:t>
            </w:r>
            <w:r w:rsidRPr="0086099C">
              <w:rPr>
                <w:rFonts w:ascii="Arial" w:hAnsi="Arial" w:cs="Arial"/>
              </w:rPr>
              <w:t xml:space="preserve">ratio 1:200) from </w:t>
            </w:r>
            <w:r>
              <w:rPr>
                <w:rFonts w:ascii="Arial" w:hAnsi="Arial" w:cs="Arial"/>
              </w:rPr>
              <w:t xml:space="preserve">the </w:t>
            </w:r>
            <w:r w:rsidRPr="0086099C">
              <w:rPr>
                <w:rFonts w:ascii="Arial" w:hAnsi="Arial" w:cs="Arial"/>
              </w:rPr>
              <w:t xml:space="preserve">2nd year of the grant cycle. ASP appointed </w:t>
            </w:r>
            <w:r>
              <w:rPr>
                <w:rFonts w:ascii="Arial" w:hAnsi="Arial" w:cs="Arial"/>
              </w:rPr>
              <w:t>PE</w:t>
            </w:r>
            <w:r w:rsidRPr="0086099C">
              <w:rPr>
                <w:rFonts w:ascii="Arial" w:hAnsi="Arial" w:cs="Arial"/>
              </w:rPr>
              <w:t xml:space="preserve"> will promote condom</w:t>
            </w:r>
            <w:r>
              <w:rPr>
                <w:rFonts w:ascii="Arial" w:hAnsi="Arial" w:cs="Arial"/>
              </w:rPr>
              <w:t xml:space="preserve"> use</w:t>
            </w:r>
            <w:r w:rsidRPr="0086099C">
              <w:rPr>
                <w:rFonts w:ascii="Arial" w:hAnsi="Arial" w:cs="Arial"/>
              </w:rPr>
              <w:t xml:space="preserve"> in the outreach and FSW will </w:t>
            </w:r>
            <w:r>
              <w:rPr>
                <w:rFonts w:ascii="Arial" w:hAnsi="Arial" w:cs="Arial"/>
              </w:rPr>
              <w:t xml:space="preserve">also </w:t>
            </w:r>
            <w:r w:rsidRPr="0086099C">
              <w:rPr>
                <w:rFonts w:ascii="Arial" w:hAnsi="Arial" w:cs="Arial"/>
              </w:rPr>
              <w:t>receive condom</w:t>
            </w:r>
            <w:r>
              <w:rPr>
                <w:rFonts w:ascii="Arial" w:hAnsi="Arial" w:cs="Arial"/>
              </w:rPr>
              <w:t>s</w:t>
            </w:r>
            <w:r w:rsidRPr="0086099C">
              <w:rPr>
                <w:rFonts w:ascii="Arial" w:hAnsi="Arial" w:cs="Arial"/>
              </w:rPr>
              <w:t xml:space="preserve"> from </w:t>
            </w:r>
            <w:r>
              <w:rPr>
                <w:rFonts w:ascii="Arial" w:hAnsi="Arial" w:cs="Arial"/>
              </w:rPr>
              <w:t xml:space="preserve">the </w:t>
            </w:r>
            <w:r w:rsidRPr="0086099C">
              <w:rPr>
                <w:rFonts w:ascii="Arial" w:hAnsi="Arial" w:cs="Arial"/>
              </w:rPr>
              <w:t>hospital</w:t>
            </w:r>
            <w:r>
              <w:rPr>
                <w:rFonts w:ascii="Arial" w:hAnsi="Arial" w:cs="Arial"/>
              </w:rPr>
              <w:t>s</w:t>
            </w:r>
            <w:r w:rsidRPr="0086099C">
              <w:rPr>
                <w:rFonts w:ascii="Arial" w:hAnsi="Arial" w:cs="Arial"/>
              </w:rPr>
              <w:t xml:space="preserve"> during their visit as per </w:t>
            </w:r>
            <w:r>
              <w:rPr>
                <w:rFonts w:ascii="Arial" w:hAnsi="Arial" w:cs="Arial"/>
              </w:rPr>
              <w:t xml:space="preserve">their </w:t>
            </w:r>
            <w:r w:rsidRPr="0086099C">
              <w:rPr>
                <w:rFonts w:ascii="Arial" w:hAnsi="Arial" w:cs="Arial"/>
              </w:rPr>
              <w:t>requirement. Condom</w:t>
            </w:r>
            <w:r>
              <w:rPr>
                <w:rFonts w:ascii="Arial" w:hAnsi="Arial" w:cs="Arial"/>
              </w:rPr>
              <w:t>s</w:t>
            </w:r>
            <w:r w:rsidRPr="0086099C">
              <w:rPr>
                <w:rFonts w:ascii="Arial" w:hAnsi="Arial" w:cs="Arial"/>
              </w:rPr>
              <w:t xml:space="preserve"> will be supplied from OP fund.</w:t>
            </w:r>
          </w:p>
          <w:p w14:paraId="3C451895" w14:textId="77777777" w:rsidR="00D961D7" w:rsidRPr="003108F0" w:rsidRDefault="00D961D7" w:rsidP="00E4452E">
            <w:pPr>
              <w:jc w:val="both"/>
              <w:rPr>
                <w:rFonts w:ascii="Arial" w:hAnsi="Arial" w:cs="Arial"/>
              </w:rPr>
            </w:pPr>
            <w:r w:rsidRPr="003108F0">
              <w:rPr>
                <w:rFonts w:ascii="Arial" w:hAnsi="Arial" w:cs="Arial"/>
                <w:b/>
                <w:bCs/>
              </w:rPr>
              <w:t>Intervention</w:t>
            </w:r>
            <w:r w:rsidRPr="003108F0">
              <w:rPr>
                <w:rFonts w:ascii="Arial" w:hAnsi="Arial" w:cs="Arial"/>
              </w:rPr>
              <w:t xml:space="preserve">: Behavior change interventions </w:t>
            </w:r>
          </w:p>
          <w:p w14:paraId="41CCEBBD" w14:textId="77777777" w:rsidR="00D961D7" w:rsidRDefault="00D961D7" w:rsidP="00E4452E">
            <w:pPr>
              <w:jc w:val="both"/>
              <w:rPr>
                <w:rFonts w:ascii="Arial" w:hAnsi="Arial" w:cs="Arial"/>
              </w:rPr>
            </w:pPr>
            <w:r w:rsidRPr="003108F0">
              <w:rPr>
                <w:rFonts w:ascii="Arial" w:hAnsi="Arial" w:cs="Arial"/>
                <w:b/>
                <w:bCs/>
              </w:rPr>
              <w:t>Activities</w:t>
            </w:r>
            <w:r w:rsidRPr="003108F0">
              <w:rPr>
                <w:rFonts w:ascii="Arial" w:hAnsi="Arial" w:cs="Arial"/>
              </w:rPr>
              <w:t xml:space="preserve">: </w:t>
            </w:r>
            <w:r w:rsidRPr="005A053B">
              <w:rPr>
                <w:rFonts w:ascii="Arial" w:hAnsi="Arial" w:cs="Arial"/>
                <w:i/>
                <w:iCs/>
                <w:u w:val="single"/>
              </w:rPr>
              <w:t xml:space="preserve">PR-SC </w:t>
            </w:r>
            <w:r>
              <w:rPr>
                <w:rFonts w:ascii="Arial" w:hAnsi="Arial" w:cs="Arial"/>
              </w:rPr>
              <w:t>will implement three</w:t>
            </w:r>
            <w:r w:rsidRPr="00BC1449">
              <w:rPr>
                <w:rFonts w:ascii="Arial" w:hAnsi="Arial" w:cs="Arial"/>
              </w:rPr>
              <w:t xml:space="preserve"> approaches for BCC</w:t>
            </w:r>
            <w:r>
              <w:rPr>
                <w:rFonts w:ascii="Arial" w:hAnsi="Arial" w:cs="Arial"/>
              </w:rPr>
              <w:t>:</w:t>
            </w:r>
            <w:r w:rsidRPr="00BC1449">
              <w:rPr>
                <w:rFonts w:ascii="Arial" w:hAnsi="Arial" w:cs="Arial"/>
              </w:rPr>
              <w:t xml:space="preserve"> 1) One to one and group sessions using appropriate IEC materials; 2) Social interaction with friends, family and the community through games, theater, creative works</w:t>
            </w:r>
            <w:r>
              <w:rPr>
                <w:rFonts w:ascii="Arial" w:hAnsi="Arial" w:cs="Arial"/>
              </w:rPr>
              <w:t xml:space="preserve"> (eg.</w:t>
            </w:r>
            <w:r w:rsidRPr="00BC1449">
              <w:rPr>
                <w:rFonts w:ascii="Arial" w:hAnsi="Arial" w:cs="Arial"/>
              </w:rPr>
              <w:t xml:space="preserve"> developing products</w:t>
            </w:r>
            <w:r>
              <w:rPr>
                <w:rFonts w:ascii="Arial" w:hAnsi="Arial" w:cs="Arial"/>
              </w:rPr>
              <w:t>)</w:t>
            </w:r>
            <w:r w:rsidRPr="00BC1449">
              <w:rPr>
                <w:rFonts w:ascii="Arial" w:hAnsi="Arial" w:cs="Arial"/>
              </w:rPr>
              <w:t>, social networks (offline and online)</w:t>
            </w:r>
            <w:r>
              <w:rPr>
                <w:rFonts w:ascii="Arial" w:hAnsi="Arial" w:cs="Arial"/>
              </w:rPr>
              <w:t>,</w:t>
            </w:r>
            <w:r w:rsidRPr="00BC1449">
              <w:rPr>
                <w:rFonts w:ascii="Arial" w:hAnsi="Arial" w:cs="Arial"/>
              </w:rPr>
              <w:t xml:space="preserve"> </w:t>
            </w:r>
            <w:r>
              <w:rPr>
                <w:rFonts w:ascii="Arial" w:hAnsi="Arial" w:cs="Arial"/>
              </w:rPr>
              <w:t xml:space="preserve">and </w:t>
            </w:r>
            <w:r w:rsidRPr="00BC1449">
              <w:rPr>
                <w:rFonts w:ascii="Arial" w:hAnsi="Arial" w:cs="Arial"/>
              </w:rPr>
              <w:t xml:space="preserve">local level sensitization and advocacy. 3) </w:t>
            </w:r>
            <w:r>
              <w:rPr>
                <w:rFonts w:ascii="Arial" w:hAnsi="Arial" w:cs="Arial"/>
              </w:rPr>
              <w:t>D</w:t>
            </w:r>
            <w:r w:rsidRPr="00BC1449">
              <w:rPr>
                <w:rFonts w:ascii="Arial" w:hAnsi="Arial" w:cs="Arial"/>
              </w:rPr>
              <w:t>evelopment</w:t>
            </w:r>
            <w:r>
              <w:rPr>
                <w:rFonts w:ascii="Arial" w:hAnsi="Arial" w:cs="Arial"/>
              </w:rPr>
              <w:t xml:space="preserve"> of</w:t>
            </w:r>
            <w:r w:rsidRPr="00BC1449">
              <w:rPr>
                <w:rFonts w:ascii="Arial" w:hAnsi="Arial" w:cs="Arial"/>
              </w:rPr>
              <w:t xml:space="preserve"> life skills to support business development and marketing to ensure rehabilitation and livelihood for FS</w:t>
            </w:r>
            <w:r>
              <w:rPr>
                <w:rFonts w:ascii="Arial" w:hAnsi="Arial" w:cs="Arial"/>
              </w:rPr>
              <w:t>Ws</w:t>
            </w:r>
            <w:r w:rsidRPr="00BC1449">
              <w:rPr>
                <w:rFonts w:ascii="Arial" w:hAnsi="Arial" w:cs="Arial"/>
              </w:rPr>
              <w:t xml:space="preserve">. </w:t>
            </w:r>
            <w:r>
              <w:rPr>
                <w:rFonts w:ascii="Arial" w:hAnsi="Arial" w:cs="Arial"/>
              </w:rPr>
              <w:t>C</w:t>
            </w:r>
            <w:r w:rsidRPr="00BC1449">
              <w:rPr>
                <w:rFonts w:ascii="Arial" w:hAnsi="Arial" w:cs="Arial"/>
              </w:rPr>
              <w:t xml:space="preserve">apacity </w:t>
            </w:r>
            <w:r>
              <w:rPr>
                <w:rFonts w:ascii="Arial" w:hAnsi="Arial" w:cs="Arial"/>
              </w:rPr>
              <w:t xml:space="preserve">will also be </w:t>
            </w:r>
            <w:r w:rsidRPr="00BC1449">
              <w:rPr>
                <w:rFonts w:ascii="Arial" w:hAnsi="Arial" w:cs="Arial"/>
              </w:rPr>
              <w:t>develop</w:t>
            </w:r>
            <w:r>
              <w:rPr>
                <w:rFonts w:ascii="Arial" w:hAnsi="Arial" w:cs="Arial"/>
              </w:rPr>
              <w:t>ed</w:t>
            </w:r>
            <w:r w:rsidRPr="00BC1449">
              <w:rPr>
                <w:rFonts w:ascii="Arial" w:hAnsi="Arial" w:cs="Arial"/>
              </w:rPr>
              <w:t xml:space="preserve"> </w:t>
            </w:r>
            <w:r>
              <w:rPr>
                <w:rFonts w:ascii="Arial" w:hAnsi="Arial" w:cs="Arial"/>
              </w:rPr>
              <w:t xml:space="preserve">so FSW may </w:t>
            </w:r>
            <w:r w:rsidRPr="00BC1449">
              <w:rPr>
                <w:rFonts w:ascii="Arial" w:hAnsi="Arial" w:cs="Arial"/>
              </w:rPr>
              <w:t xml:space="preserve">access social justice and public facilities especially for health care. </w:t>
            </w:r>
            <w:r>
              <w:rPr>
                <w:rFonts w:ascii="Arial" w:hAnsi="Arial" w:cs="Arial"/>
              </w:rPr>
              <w:t>F</w:t>
            </w:r>
            <w:r w:rsidRPr="00BC1449">
              <w:rPr>
                <w:rFonts w:ascii="Arial" w:hAnsi="Arial" w:cs="Arial"/>
              </w:rPr>
              <w:t>or</w:t>
            </w:r>
            <w:r>
              <w:rPr>
                <w:rFonts w:ascii="Arial" w:hAnsi="Arial" w:cs="Arial"/>
              </w:rPr>
              <w:t xml:space="preserve"> hidden and hard-to-reach FSWs </w:t>
            </w:r>
            <w:r w:rsidRPr="00BC1449">
              <w:rPr>
                <w:rFonts w:ascii="Arial" w:hAnsi="Arial" w:cs="Arial"/>
              </w:rPr>
              <w:t xml:space="preserve">virtual space-based </w:t>
            </w:r>
            <w:r>
              <w:rPr>
                <w:rFonts w:ascii="Arial" w:hAnsi="Arial" w:cs="Arial"/>
              </w:rPr>
              <w:t>BCC will be designed. O</w:t>
            </w:r>
            <w:r w:rsidRPr="00BC1449">
              <w:rPr>
                <w:rFonts w:ascii="Arial" w:hAnsi="Arial" w:cs="Arial"/>
              </w:rPr>
              <w:t>nline assessment of risk behavior will be introduced.</w:t>
            </w:r>
          </w:p>
          <w:p w14:paraId="2B658B91" w14:textId="77777777" w:rsidR="00D961D7" w:rsidRDefault="00D961D7" w:rsidP="00E4452E">
            <w:pPr>
              <w:jc w:val="both"/>
              <w:rPr>
                <w:rFonts w:ascii="Arial" w:hAnsi="Arial" w:cs="Arial"/>
              </w:rPr>
            </w:pPr>
            <w:r w:rsidRPr="005A053B">
              <w:rPr>
                <w:rFonts w:ascii="Arial" w:hAnsi="Arial" w:cs="Arial"/>
                <w:i/>
                <w:iCs/>
                <w:u w:val="single"/>
              </w:rPr>
              <w:t>Under PR-ASP</w:t>
            </w:r>
            <w:r w:rsidRPr="005A053B">
              <w:rPr>
                <w:rFonts w:ascii="Arial" w:hAnsi="Arial" w:cs="Arial"/>
              </w:rPr>
              <w:t xml:space="preserve"> hospital-based counselor will have sessions with the FSW to change their risk behaviors during hospital visits. Also, PEs will conduct one to one and group sessions at the field level using IEC/ BCC </w:t>
            </w:r>
            <w:r w:rsidRPr="00AE05F6">
              <w:rPr>
                <w:rFonts w:ascii="Arial" w:hAnsi="Arial" w:cs="Arial"/>
              </w:rPr>
              <w:t>materials.</w:t>
            </w:r>
          </w:p>
          <w:p w14:paraId="5C339935" w14:textId="5DAC05C0" w:rsidR="00D961D7" w:rsidRPr="003108F0" w:rsidRDefault="00D961D7" w:rsidP="00E4452E">
            <w:pPr>
              <w:jc w:val="both"/>
              <w:rPr>
                <w:rFonts w:ascii="Arial" w:hAnsi="Arial" w:cs="Arial"/>
              </w:rPr>
            </w:pPr>
            <w:r w:rsidRPr="003108F0">
              <w:rPr>
                <w:rFonts w:ascii="Arial" w:hAnsi="Arial" w:cs="Arial"/>
                <w:b/>
                <w:bCs/>
              </w:rPr>
              <w:t>Intervention</w:t>
            </w:r>
            <w:r w:rsidRPr="003108F0">
              <w:rPr>
                <w:rFonts w:ascii="Arial" w:hAnsi="Arial" w:cs="Arial"/>
              </w:rPr>
              <w:t xml:space="preserve">: Sexual and reproductive health </w:t>
            </w:r>
            <w:r>
              <w:rPr>
                <w:rFonts w:ascii="Arial" w:hAnsi="Arial" w:cs="Arial"/>
              </w:rPr>
              <w:t xml:space="preserve">(SRH) </w:t>
            </w:r>
            <w:r w:rsidRPr="003108F0">
              <w:rPr>
                <w:rFonts w:ascii="Arial" w:hAnsi="Arial" w:cs="Arial"/>
              </w:rPr>
              <w:t>services</w:t>
            </w:r>
          </w:p>
          <w:p w14:paraId="42895D52" w14:textId="77777777" w:rsidR="00D961D7" w:rsidRDefault="00D961D7" w:rsidP="00E4452E">
            <w:pPr>
              <w:jc w:val="both"/>
              <w:rPr>
                <w:rFonts w:ascii="Arial" w:hAnsi="Arial" w:cs="Arial"/>
              </w:rPr>
            </w:pPr>
            <w:r w:rsidRPr="003108F0">
              <w:rPr>
                <w:rFonts w:ascii="Arial" w:hAnsi="Arial" w:cs="Arial"/>
                <w:b/>
                <w:bCs/>
              </w:rPr>
              <w:t>Activities</w:t>
            </w:r>
            <w:r w:rsidRPr="003108F0">
              <w:rPr>
                <w:rFonts w:ascii="Arial" w:hAnsi="Arial" w:cs="Arial"/>
              </w:rPr>
              <w:t xml:space="preserve">: </w:t>
            </w:r>
            <w:r w:rsidRPr="005A053B">
              <w:rPr>
                <w:rFonts w:ascii="Arial" w:hAnsi="Arial" w:cs="Arial"/>
                <w:i/>
                <w:iCs/>
                <w:u w:val="single"/>
              </w:rPr>
              <w:t>Under PR-SC</w:t>
            </w:r>
            <w:r>
              <w:rPr>
                <w:rFonts w:ascii="Arial" w:hAnsi="Arial" w:cs="Arial"/>
              </w:rPr>
              <w:t>, c</w:t>
            </w:r>
            <w:r w:rsidRPr="005F0E46">
              <w:rPr>
                <w:rFonts w:ascii="Arial" w:hAnsi="Arial" w:cs="Arial"/>
              </w:rPr>
              <w:t xml:space="preserve">omprehensive SRH </w:t>
            </w:r>
            <w:r>
              <w:rPr>
                <w:rFonts w:ascii="Arial" w:hAnsi="Arial" w:cs="Arial"/>
              </w:rPr>
              <w:t>s</w:t>
            </w:r>
            <w:r w:rsidRPr="005F0E46">
              <w:rPr>
                <w:rFonts w:ascii="Arial" w:hAnsi="Arial" w:cs="Arial"/>
              </w:rPr>
              <w:t>ervices will be offered to FSWs</w:t>
            </w:r>
            <w:r>
              <w:rPr>
                <w:rFonts w:ascii="Arial" w:hAnsi="Arial" w:cs="Arial"/>
              </w:rPr>
              <w:t>.</w:t>
            </w:r>
            <w:r w:rsidRPr="005F0E46">
              <w:rPr>
                <w:rFonts w:ascii="Arial" w:hAnsi="Arial" w:cs="Arial"/>
              </w:rPr>
              <w:t xml:space="preserve"> Shifting </w:t>
            </w:r>
            <w:r>
              <w:rPr>
                <w:rFonts w:ascii="Arial" w:hAnsi="Arial" w:cs="Arial"/>
              </w:rPr>
              <w:t xml:space="preserve">of SRH services </w:t>
            </w:r>
            <w:r w:rsidRPr="005F0E46">
              <w:rPr>
                <w:rFonts w:ascii="Arial" w:hAnsi="Arial" w:cs="Arial"/>
              </w:rPr>
              <w:t>from community set-up to government facilities will be gradually increased (25-45%) throughout the grant period. MA will provide counselling, pregnancy test and enhanced syndromic management of STIs either at DIC/Outlet, or at satellite spots. On t</w:t>
            </w:r>
            <w:r>
              <w:rPr>
                <w:rFonts w:ascii="Arial" w:hAnsi="Arial" w:cs="Arial"/>
              </w:rPr>
              <w:t>he other hand, pregnancy care, c</w:t>
            </w:r>
            <w:r w:rsidRPr="005F0E46">
              <w:rPr>
                <w:rFonts w:ascii="Arial" w:hAnsi="Arial" w:cs="Arial"/>
              </w:rPr>
              <w:t>ervical cancer screening, and etiological management of STIs will be linked with government/semi-government/NGO health facilities. Referral linkage will also be available with private practitioners through voucher scheme</w:t>
            </w:r>
            <w:r>
              <w:rPr>
                <w:rFonts w:ascii="Arial" w:hAnsi="Arial" w:cs="Arial"/>
              </w:rPr>
              <w:t>s</w:t>
            </w:r>
            <w:r w:rsidRPr="005F0E46">
              <w:rPr>
                <w:rFonts w:ascii="Arial" w:hAnsi="Arial" w:cs="Arial"/>
              </w:rPr>
              <w:t>. Continuous capacity building and clinical supervision of the service providers will be ensured through formal</w:t>
            </w:r>
            <w:r>
              <w:rPr>
                <w:rFonts w:ascii="Arial" w:hAnsi="Arial" w:cs="Arial"/>
              </w:rPr>
              <w:t xml:space="preserve"> and</w:t>
            </w:r>
            <w:r w:rsidRPr="005F0E46">
              <w:rPr>
                <w:rFonts w:ascii="Arial" w:hAnsi="Arial" w:cs="Arial"/>
              </w:rPr>
              <w:t xml:space="preserve"> on-the-job training and mentoring.</w:t>
            </w:r>
          </w:p>
          <w:p w14:paraId="395D69C4" w14:textId="71A7F3F8" w:rsidR="00D961D7" w:rsidRPr="003108F0" w:rsidRDefault="00D961D7" w:rsidP="00E4452E">
            <w:pPr>
              <w:jc w:val="both"/>
              <w:rPr>
                <w:rFonts w:ascii="Arial" w:hAnsi="Arial" w:cs="Arial"/>
              </w:rPr>
            </w:pPr>
            <w:r w:rsidRPr="005A053B">
              <w:rPr>
                <w:rFonts w:ascii="Arial" w:hAnsi="Arial" w:cs="Arial"/>
                <w:i/>
                <w:iCs/>
                <w:u w:val="single"/>
              </w:rPr>
              <w:t>Under PR-ASP</w:t>
            </w:r>
            <w:r w:rsidRPr="005A053B">
              <w:rPr>
                <w:rFonts w:ascii="Arial" w:hAnsi="Arial" w:cs="Arial"/>
              </w:rPr>
              <w:t>, hospital</w:t>
            </w:r>
            <w:r>
              <w:rPr>
                <w:rFonts w:ascii="Arial" w:hAnsi="Arial" w:cs="Arial"/>
              </w:rPr>
              <w:t>-</w:t>
            </w:r>
            <w:r w:rsidRPr="005A053B">
              <w:rPr>
                <w:rFonts w:ascii="Arial" w:hAnsi="Arial" w:cs="Arial"/>
              </w:rPr>
              <w:t xml:space="preserve">based </w:t>
            </w:r>
            <w:r>
              <w:rPr>
                <w:rFonts w:ascii="Arial" w:hAnsi="Arial" w:cs="Arial"/>
              </w:rPr>
              <w:t xml:space="preserve">SRH </w:t>
            </w:r>
            <w:r w:rsidRPr="005A053B">
              <w:rPr>
                <w:rFonts w:ascii="Arial" w:hAnsi="Arial" w:cs="Arial"/>
              </w:rPr>
              <w:t>service</w:t>
            </w:r>
            <w:r>
              <w:rPr>
                <w:rFonts w:ascii="Arial" w:hAnsi="Arial" w:cs="Arial"/>
              </w:rPr>
              <w:t>s</w:t>
            </w:r>
            <w:r w:rsidRPr="005A053B">
              <w:rPr>
                <w:rFonts w:ascii="Arial" w:hAnsi="Arial" w:cs="Arial"/>
              </w:rPr>
              <w:t xml:space="preserve"> will </w:t>
            </w:r>
            <w:r>
              <w:rPr>
                <w:rFonts w:ascii="Arial" w:hAnsi="Arial" w:cs="Arial"/>
              </w:rPr>
              <w:t xml:space="preserve">be </w:t>
            </w:r>
            <w:r w:rsidRPr="005A053B">
              <w:rPr>
                <w:rFonts w:ascii="Arial" w:hAnsi="Arial" w:cs="Arial"/>
              </w:rPr>
              <w:t>provide</w:t>
            </w:r>
            <w:r>
              <w:rPr>
                <w:rFonts w:ascii="Arial" w:hAnsi="Arial" w:cs="Arial"/>
              </w:rPr>
              <w:t>d</w:t>
            </w:r>
            <w:r w:rsidRPr="005A053B">
              <w:rPr>
                <w:rFonts w:ascii="Arial" w:hAnsi="Arial" w:cs="Arial"/>
              </w:rPr>
              <w:t xml:space="preserve"> for FSWs when necessary</w:t>
            </w:r>
            <w:r>
              <w:rPr>
                <w:rFonts w:ascii="Arial" w:hAnsi="Arial" w:cs="Arial"/>
              </w:rPr>
              <w:t>;</w:t>
            </w:r>
            <w:r w:rsidRPr="005A053B">
              <w:rPr>
                <w:rFonts w:ascii="Arial" w:hAnsi="Arial" w:cs="Arial"/>
              </w:rPr>
              <w:t xml:space="preserve"> </w:t>
            </w:r>
            <w:r>
              <w:rPr>
                <w:rFonts w:ascii="Arial" w:hAnsi="Arial" w:cs="Arial"/>
              </w:rPr>
              <w:t xml:space="preserve">and </w:t>
            </w:r>
            <w:r w:rsidRPr="005A053B">
              <w:rPr>
                <w:rFonts w:ascii="Arial" w:hAnsi="Arial" w:cs="Arial"/>
              </w:rPr>
              <w:t xml:space="preserve">at least once in the year health checkup will be conducted. Medical officer, counselor and </w:t>
            </w:r>
            <w:r>
              <w:rPr>
                <w:rFonts w:ascii="Arial" w:hAnsi="Arial" w:cs="Arial"/>
              </w:rPr>
              <w:t xml:space="preserve">service providers from </w:t>
            </w:r>
            <w:r w:rsidRPr="005A053B">
              <w:rPr>
                <w:rFonts w:ascii="Arial" w:hAnsi="Arial" w:cs="Arial"/>
              </w:rPr>
              <w:t>other department</w:t>
            </w:r>
            <w:r>
              <w:rPr>
                <w:rFonts w:ascii="Arial" w:hAnsi="Arial" w:cs="Arial"/>
              </w:rPr>
              <w:t>s</w:t>
            </w:r>
            <w:r w:rsidRPr="005A053B">
              <w:rPr>
                <w:rFonts w:ascii="Arial" w:hAnsi="Arial" w:cs="Arial"/>
              </w:rPr>
              <w:t xml:space="preserve"> (if require</w:t>
            </w:r>
            <w:r>
              <w:rPr>
                <w:rFonts w:ascii="Arial" w:hAnsi="Arial" w:cs="Arial"/>
              </w:rPr>
              <w:t>d</w:t>
            </w:r>
            <w:r w:rsidRPr="005A053B">
              <w:rPr>
                <w:rFonts w:ascii="Arial" w:hAnsi="Arial" w:cs="Arial"/>
              </w:rPr>
              <w:t xml:space="preserve">) will ensure the health services for the FSWs. Enabling environment will be ensured for the KPs in </w:t>
            </w:r>
            <w:r>
              <w:rPr>
                <w:rFonts w:ascii="Arial" w:hAnsi="Arial" w:cs="Arial"/>
              </w:rPr>
              <w:t xml:space="preserve">the </w:t>
            </w:r>
            <w:r w:rsidRPr="005A053B">
              <w:rPr>
                <w:rFonts w:ascii="Arial" w:hAnsi="Arial" w:cs="Arial"/>
              </w:rPr>
              <w:t>hospital facility.</w:t>
            </w:r>
          </w:p>
          <w:p w14:paraId="4FAF4491" w14:textId="77777777" w:rsidR="00D961D7" w:rsidRPr="003108F0" w:rsidRDefault="00D961D7" w:rsidP="00E4452E">
            <w:pPr>
              <w:jc w:val="both"/>
              <w:rPr>
                <w:rFonts w:ascii="Arial" w:hAnsi="Arial" w:cs="Arial"/>
              </w:rPr>
            </w:pPr>
            <w:r w:rsidRPr="003108F0">
              <w:rPr>
                <w:rFonts w:ascii="Arial" w:hAnsi="Arial" w:cs="Arial"/>
                <w:b/>
                <w:bCs/>
              </w:rPr>
              <w:t>Intervention</w:t>
            </w:r>
            <w:r w:rsidRPr="003108F0">
              <w:rPr>
                <w:rFonts w:ascii="Arial" w:hAnsi="Arial" w:cs="Arial"/>
              </w:rPr>
              <w:t xml:space="preserve">: Interventions for young key populations </w:t>
            </w:r>
          </w:p>
          <w:p w14:paraId="4AA3DFAF" w14:textId="53475712" w:rsidR="00D961D7" w:rsidRPr="003108F0" w:rsidRDefault="00D961D7" w:rsidP="00E4452E">
            <w:pPr>
              <w:jc w:val="both"/>
              <w:rPr>
                <w:rFonts w:ascii="Arial" w:hAnsi="Arial" w:cs="Arial"/>
              </w:rPr>
            </w:pPr>
            <w:r w:rsidRPr="003108F0">
              <w:rPr>
                <w:rFonts w:ascii="Arial" w:hAnsi="Arial" w:cs="Arial"/>
                <w:b/>
                <w:bCs/>
              </w:rPr>
              <w:t>Activities</w:t>
            </w:r>
            <w:r w:rsidRPr="003108F0">
              <w:rPr>
                <w:rFonts w:ascii="Arial" w:hAnsi="Arial" w:cs="Arial"/>
              </w:rPr>
              <w:t>: Adolescent FSWs will be reached with customized package</w:t>
            </w:r>
            <w:r>
              <w:rPr>
                <w:rFonts w:ascii="Arial" w:hAnsi="Arial" w:cs="Arial"/>
              </w:rPr>
              <w:t xml:space="preserve"> by </w:t>
            </w:r>
            <w:r w:rsidRPr="00EE0C65">
              <w:rPr>
                <w:rFonts w:ascii="Arial" w:hAnsi="Arial" w:cs="Arial"/>
                <w:i/>
                <w:iCs/>
                <w:u w:val="single"/>
              </w:rPr>
              <w:t>PR-SC</w:t>
            </w:r>
            <w:r w:rsidRPr="003108F0">
              <w:rPr>
                <w:rFonts w:ascii="Arial" w:hAnsi="Arial" w:cs="Arial"/>
              </w:rPr>
              <w:t>. Provision of adolescent POW will be created in every DIC. Adolescent network will be formed to link them with national social safety net</w:t>
            </w:r>
            <w:r>
              <w:rPr>
                <w:rFonts w:ascii="Arial" w:hAnsi="Arial" w:cs="Arial"/>
              </w:rPr>
              <w:t>s</w:t>
            </w:r>
            <w:r w:rsidRPr="003108F0">
              <w:rPr>
                <w:rFonts w:ascii="Arial" w:hAnsi="Arial" w:cs="Arial"/>
              </w:rPr>
              <w:t xml:space="preserve"> and alternative schemes. Support will be given to </w:t>
            </w:r>
            <w:r>
              <w:rPr>
                <w:rFonts w:ascii="Arial" w:hAnsi="Arial" w:cs="Arial"/>
              </w:rPr>
              <w:t>obtain</w:t>
            </w:r>
            <w:r w:rsidRPr="003108F0">
              <w:rPr>
                <w:rFonts w:ascii="Arial" w:hAnsi="Arial" w:cs="Arial"/>
              </w:rPr>
              <w:t xml:space="preserve"> birth registration so they can apply for national ID</w:t>
            </w:r>
            <w:r w:rsidRPr="003108F0">
              <w:rPr>
                <w:rFonts w:cs="Arial"/>
              </w:rPr>
              <w:fldChar w:fldCharType="begin"/>
            </w:r>
            <w:r w:rsidRPr="003108F0">
              <w:rPr>
                <w:rFonts w:ascii="Arial" w:hAnsi="Arial" w:cs="Arial"/>
              </w:rPr>
              <w:instrText xml:space="preserve"> TA \l "ID: Indentity" \s "ID" \c 1 </w:instrText>
            </w:r>
            <w:r w:rsidRPr="003108F0">
              <w:rPr>
                <w:rFonts w:cs="Arial"/>
              </w:rPr>
              <w:fldChar w:fldCharType="end"/>
            </w:r>
            <w:r w:rsidRPr="003108F0">
              <w:rPr>
                <w:rFonts w:ascii="Arial" w:hAnsi="Arial" w:cs="Arial"/>
              </w:rPr>
              <w:t>, passport, driving license, bank account, etc.</w:t>
            </w:r>
          </w:p>
          <w:p w14:paraId="0BC924E1" w14:textId="77777777" w:rsidR="00D961D7" w:rsidRPr="003108F0" w:rsidRDefault="00D961D7" w:rsidP="00E4452E">
            <w:pPr>
              <w:jc w:val="both"/>
              <w:rPr>
                <w:rFonts w:ascii="Arial" w:hAnsi="Arial" w:cs="Arial"/>
              </w:rPr>
            </w:pPr>
            <w:r w:rsidRPr="003108F0">
              <w:rPr>
                <w:rFonts w:ascii="Arial" w:hAnsi="Arial" w:cs="Arial"/>
                <w:b/>
                <w:bCs/>
              </w:rPr>
              <w:t>Intervention</w:t>
            </w:r>
            <w:r w:rsidRPr="003108F0">
              <w:rPr>
                <w:rFonts w:ascii="Arial" w:hAnsi="Arial" w:cs="Arial"/>
              </w:rPr>
              <w:t xml:space="preserve">: Addressing stigma, discrimination, and violence </w:t>
            </w:r>
          </w:p>
          <w:p w14:paraId="3E987938" w14:textId="77777777" w:rsidR="00D961D7" w:rsidRDefault="00D961D7" w:rsidP="00E4452E">
            <w:pPr>
              <w:jc w:val="both"/>
              <w:rPr>
                <w:rFonts w:ascii="Arial" w:hAnsi="Arial" w:cs="Arial"/>
              </w:rPr>
            </w:pPr>
            <w:r w:rsidRPr="003108F0">
              <w:rPr>
                <w:rFonts w:ascii="Arial" w:hAnsi="Arial" w:cs="Arial"/>
                <w:b/>
                <w:bCs/>
              </w:rPr>
              <w:t>Activities</w:t>
            </w:r>
            <w:r w:rsidRPr="003108F0">
              <w:rPr>
                <w:rFonts w:ascii="Arial" w:hAnsi="Arial" w:cs="Arial"/>
              </w:rPr>
              <w:t xml:space="preserve">: ‘Community </w:t>
            </w:r>
            <w:r>
              <w:rPr>
                <w:rFonts w:ascii="Arial" w:hAnsi="Arial" w:cs="Arial"/>
              </w:rPr>
              <w:t>S</w:t>
            </w:r>
            <w:r w:rsidRPr="003108F0">
              <w:rPr>
                <w:rFonts w:ascii="Arial" w:hAnsi="Arial" w:cs="Arial"/>
              </w:rPr>
              <w:t>quads’ and ‘DIC</w:t>
            </w:r>
            <w:r>
              <w:rPr>
                <w:rFonts w:ascii="Arial" w:hAnsi="Arial" w:cs="Arial"/>
              </w:rPr>
              <w:t>-</w:t>
            </w:r>
            <w:r w:rsidRPr="003108F0">
              <w:rPr>
                <w:rFonts w:ascii="Arial" w:hAnsi="Arial" w:cs="Arial"/>
              </w:rPr>
              <w:t xml:space="preserve">based </w:t>
            </w:r>
            <w:r>
              <w:rPr>
                <w:rFonts w:ascii="Arial" w:hAnsi="Arial" w:cs="Arial"/>
              </w:rPr>
              <w:t>C</w:t>
            </w:r>
            <w:r w:rsidRPr="003108F0">
              <w:rPr>
                <w:rFonts w:ascii="Arial" w:hAnsi="Arial" w:cs="Arial"/>
              </w:rPr>
              <w:t>ommunity Group’ will be utilized to respond to sexual violence and social harassment</w:t>
            </w:r>
            <w:r>
              <w:rPr>
                <w:rFonts w:ascii="Arial" w:hAnsi="Arial" w:cs="Arial"/>
              </w:rPr>
              <w:t xml:space="preserve"> by </w:t>
            </w:r>
            <w:r w:rsidRPr="00EE0C65">
              <w:rPr>
                <w:rFonts w:ascii="Arial" w:hAnsi="Arial" w:cs="Arial"/>
                <w:i/>
                <w:iCs/>
                <w:u w:val="single"/>
              </w:rPr>
              <w:t>PR-SC</w:t>
            </w:r>
            <w:r w:rsidRPr="003108F0">
              <w:rPr>
                <w:rFonts w:ascii="Arial" w:hAnsi="Arial" w:cs="Arial"/>
              </w:rPr>
              <w:t>. A hot line number will be operational through Sex Workers Network</w:t>
            </w:r>
            <w:r>
              <w:rPr>
                <w:rFonts w:ascii="Arial" w:hAnsi="Arial" w:cs="Arial"/>
              </w:rPr>
              <w:t xml:space="preserve"> (SWN)</w:t>
            </w:r>
            <w:r w:rsidRPr="003108F0">
              <w:rPr>
                <w:rFonts w:ascii="Arial" w:hAnsi="Arial" w:cs="Arial"/>
              </w:rPr>
              <w:t xml:space="preserve">. </w:t>
            </w:r>
            <w:r>
              <w:rPr>
                <w:rFonts w:ascii="Arial" w:hAnsi="Arial" w:cs="Arial"/>
              </w:rPr>
              <w:t>The SW</w:t>
            </w:r>
            <w:r w:rsidRPr="003108F0">
              <w:rPr>
                <w:rFonts w:ascii="Arial" w:hAnsi="Arial" w:cs="Arial"/>
              </w:rPr>
              <w:t>N and CBOs will be engaged for advoca</w:t>
            </w:r>
            <w:r>
              <w:rPr>
                <w:rFonts w:ascii="Arial" w:hAnsi="Arial" w:cs="Arial"/>
              </w:rPr>
              <w:t>cy with</w:t>
            </w:r>
            <w:r w:rsidRPr="003108F0">
              <w:rPr>
                <w:rFonts w:ascii="Arial" w:hAnsi="Arial" w:cs="Arial"/>
              </w:rPr>
              <w:t xml:space="preserve"> local religious and political leaders, </w:t>
            </w:r>
            <w:r>
              <w:rPr>
                <w:rFonts w:ascii="Arial" w:hAnsi="Arial" w:cs="Arial"/>
              </w:rPr>
              <w:t xml:space="preserve">and </w:t>
            </w:r>
            <w:r w:rsidRPr="003108F0">
              <w:rPr>
                <w:rFonts w:ascii="Arial" w:hAnsi="Arial" w:cs="Arial"/>
              </w:rPr>
              <w:t>law enforcement agenc</w:t>
            </w:r>
            <w:r>
              <w:rPr>
                <w:rFonts w:ascii="Arial" w:hAnsi="Arial" w:cs="Arial"/>
              </w:rPr>
              <w:t>ies</w:t>
            </w:r>
            <w:r w:rsidRPr="003108F0">
              <w:rPr>
                <w:rFonts w:ascii="Arial" w:hAnsi="Arial" w:cs="Arial"/>
              </w:rPr>
              <w:t xml:space="preserve"> for social support and combating violence. Functional linkage will be established between human rights organizations and </w:t>
            </w:r>
            <w:r>
              <w:rPr>
                <w:rFonts w:ascii="Arial" w:hAnsi="Arial" w:cs="Arial"/>
              </w:rPr>
              <w:t>SWN</w:t>
            </w:r>
            <w:r w:rsidRPr="003108F0">
              <w:rPr>
                <w:rFonts w:ascii="Arial" w:hAnsi="Arial" w:cs="Arial"/>
              </w:rPr>
              <w:t xml:space="preserve">/CBOs. </w:t>
            </w:r>
            <w:r>
              <w:rPr>
                <w:rFonts w:ascii="Arial" w:hAnsi="Arial" w:cs="Arial"/>
              </w:rPr>
              <w:t>S</w:t>
            </w:r>
            <w:r w:rsidRPr="003108F0">
              <w:rPr>
                <w:rFonts w:ascii="Arial" w:hAnsi="Arial" w:cs="Arial"/>
              </w:rPr>
              <w:t>trategy</w:t>
            </w:r>
            <w:r>
              <w:rPr>
                <w:rFonts w:ascii="Arial" w:hAnsi="Arial" w:cs="Arial"/>
              </w:rPr>
              <w:t xml:space="preserve"> document, </w:t>
            </w:r>
            <w:r w:rsidRPr="003108F0">
              <w:rPr>
                <w:rFonts w:ascii="Arial" w:hAnsi="Arial" w:cs="Arial"/>
              </w:rPr>
              <w:t>manual/guidelines, training modules, BCC materials</w:t>
            </w:r>
            <w:r>
              <w:rPr>
                <w:rFonts w:ascii="Arial" w:hAnsi="Arial" w:cs="Arial"/>
              </w:rPr>
              <w:t>, etc.</w:t>
            </w:r>
            <w:r w:rsidRPr="003108F0">
              <w:rPr>
                <w:rFonts w:ascii="Arial" w:hAnsi="Arial" w:cs="Arial"/>
              </w:rPr>
              <w:t xml:space="preserve"> will be developed </w:t>
            </w:r>
            <w:r>
              <w:rPr>
                <w:rFonts w:ascii="Arial" w:hAnsi="Arial" w:cs="Arial"/>
              </w:rPr>
              <w:t xml:space="preserve">for advocacy </w:t>
            </w:r>
            <w:r w:rsidRPr="003108F0">
              <w:rPr>
                <w:rFonts w:ascii="Arial" w:hAnsi="Arial" w:cs="Arial"/>
              </w:rPr>
              <w:t>in association with ASP. Systematic recording, reporting and response mechanism will be built within the intervention.</w:t>
            </w:r>
          </w:p>
          <w:p w14:paraId="7A6F3CFF" w14:textId="77777777" w:rsidR="00D961D7" w:rsidRDefault="00D961D7" w:rsidP="00E4452E">
            <w:pPr>
              <w:jc w:val="both"/>
              <w:rPr>
                <w:rFonts w:ascii="Arial" w:hAnsi="Arial" w:cs="Arial"/>
              </w:rPr>
            </w:pPr>
            <w:r w:rsidRPr="00EE0C65">
              <w:rPr>
                <w:rFonts w:ascii="Arial" w:hAnsi="Arial" w:cs="Arial"/>
                <w:i/>
                <w:iCs/>
                <w:u w:val="single"/>
              </w:rPr>
              <w:t>P</w:t>
            </w:r>
            <w:r w:rsidRPr="006F6026">
              <w:rPr>
                <w:rFonts w:ascii="Arial" w:hAnsi="Arial" w:cs="Arial"/>
                <w:i/>
                <w:iCs/>
                <w:u w:val="single"/>
              </w:rPr>
              <w:t>R-ASP</w:t>
            </w:r>
            <w:r w:rsidRPr="006F6026">
              <w:rPr>
                <w:rFonts w:ascii="Arial" w:hAnsi="Arial" w:cs="Arial"/>
              </w:rPr>
              <w:t xml:space="preserve"> will arrange workshop</w:t>
            </w:r>
            <w:r>
              <w:rPr>
                <w:rFonts w:ascii="Arial" w:hAnsi="Arial" w:cs="Arial"/>
              </w:rPr>
              <w:t xml:space="preserve">s, </w:t>
            </w:r>
            <w:r w:rsidRPr="006F6026">
              <w:rPr>
                <w:rFonts w:ascii="Arial" w:hAnsi="Arial" w:cs="Arial"/>
              </w:rPr>
              <w:t>orientation</w:t>
            </w:r>
            <w:r>
              <w:rPr>
                <w:rFonts w:ascii="Arial" w:hAnsi="Arial" w:cs="Arial"/>
              </w:rPr>
              <w:t>s</w:t>
            </w:r>
            <w:r w:rsidRPr="006F6026">
              <w:rPr>
                <w:rFonts w:ascii="Arial" w:hAnsi="Arial" w:cs="Arial"/>
              </w:rPr>
              <w:t xml:space="preserve"> and meeting</w:t>
            </w:r>
            <w:r>
              <w:rPr>
                <w:rFonts w:ascii="Arial" w:hAnsi="Arial" w:cs="Arial"/>
              </w:rPr>
              <w:t>s</w:t>
            </w:r>
            <w:r w:rsidRPr="006F6026">
              <w:rPr>
                <w:rFonts w:ascii="Arial" w:hAnsi="Arial" w:cs="Arial"/>
              </w:rPr>
              <w:t xml:space="preserve"> at the hospital premises with hospital</w:t>
            </w:r>
            <w:r>
              <w:rPr>
                <w:rFonts w:ascii="Arial" w:hAnsi="Arial" w:cs="Arial"/>
              </w:rPr>
              <w:t>-</w:t>
            </w:r>
            <w:r w:rsidRPr="006F6026">
              <w:rPr>
                <w:rFonts w:ascii="Arial" w:hAnsi="Arial" w:cs="Arial"/>
              </w:rPr>
              <w:t xml:space="preserve">based service providers and other relevant departments including district social welfare, law enforcement, district administration etc. </w:t>
            </w:r>
            <w:r>
              <w:rPr>
                <w:rFonts w:ascii="Arial" w:hAnsi="Arial" w:cs="Arial"/>
              </w:rPr>
              <w:t xml:space="preserve">officials </w:t>
            </w:r>
            <w:r w:rsidRPr="006F6026">
              <w:rPr>
                <w:rFonts w:ascii="Arial" w:hAnsi="Arial" w:cs="Arial"/>
              </w:rPr>
              <w:t xml:space="preserve">under the leadership of </w:t>
            </w:r>
            <w:r>
              <w:rPr>
                <w:rFonts w:ascii="Arial" w:hAnsi="Arial" w:cs="Arial"/>
              </w:rPr>
              <w:t>H</w:t>
            </w:r>
            <w:r w:rsidRPr="006F6026">
              <w:rPr>
                <w:rFonts w:ascii="Arial" w:hAnsi="Arial" w:cs="Arial"/>
              </w:rPr>
              <w:t xml:space="preserve">ospital </w:t>
            </w:r>
            <w:r>
              <w:rPr>
                <w:rFonts w:ascii="Arial" w:hAnsi="Arial" w:cs="Arial"/>
              </w:rPr>
              <w:t>S</w:t>
            </w:r>
            <w:r w:rsidRPr="006F6026">
              <w:rPr>
                <w:rFonts w:ascii="Arial" w:hAnsi="Arial" w:cs="Arial"/>
              </w:rPr>
              <w:t>uperintendent</w:t>
            </w:r>
            <w:r>
              <w:rPr>
                <w:rFonts w:ascii="Arial" w:hAnsi="Arial" w:cs="Arial"/>
              </w:rPr>
              <w:t xml:space="preserve"> or</w:t>
            </w:r>
            <w:r w:rsidRPr="006F6026">
              <w:rPr>
                <w:rFonts w:ascii="Arial" w:hAnsi="Arial" w:cs="Arial"/>
              </w:rPr>
              <w:t xml:space="preserve"> Civil </w:t>
            </w:r>
            <w:r>
              <w:rPr>
                <w:rFonts w:ascii="Arial" w:hAnsi="Arial" w:cs="Arial"/>
              </w:rPr>
              <w:t>S</w:t>
            </w:r>
            <w:r w:rsidRPr="006F6026">
              <w:rPr>
                <w:rFonts w:ascii="Arial" w:hAnsi="Arial" w:cs="Arial"/>
              </w:rPr>
              <w:t xml:space="preserve">urgeon to reduce stigma and discrimination. </w:t>
            </w:r>
            <w:r>
              <w:rPr>
                <w:rFonts w:ascii="Arial" w:hAnsi="Arial" w:cs="Arial"/>
              </w:rPr>
              <w:t>V</w:t>
            </w:r>
            <w:r w:rsidRPr="006F6026">
              <w:rPr>
                <w:rFonts w:ascii="Arial" w:hAnsi="Arial" w:cs="Arial"/>
              </w:rPr>
              <w:t>iolence and discrimination report</w:t>
            </w:r>
            <w:r>
              <w:rPr>
                <w:rFonts w:ascii="Arial" w:hAnsi="Arial" w:cs="Arial"/>
              </w:rPr>
              <w:t>s</w:t>
            </w:r>
            <w:r w:rsidRPr="006F6026">
              <w:rPr>
                <w:rFonts w:ascii="Arial" w:hAnsi="Arial" w:cs="Arial"/>
              </w:rPr>
              <w:t xml:space="preserve"> </w:t>
            </w:r>
            <w:r>
              <w:rPr>
                <w:rFonts w:ascii="Arial" w:hAnsi="Arial" w:cs="Arial"/>
              </w:rPr>
              <w:t xml:space="preserve">(as recorded by NGOs, SWN or CBOs) </w:t>
            </w:r>
            <w:r w:rsidRPr="006F6026">
              <w:rPr>
                <w:rFonts w:ascii="Arial" w:hAnsi="Arial" w:cs="Arial"/>
              </w:rPr>
              <w:t>will be shared in the meeting</w:t>
            </w:r>
            <w:r>
              <w:rPr>
                <w:rFonts w:ascii="Arial" w:hAnsi="Arial" w:cs="Arial"/>
              </w:rPr>
              <w:t>s</w:t>
            </w:r>
            <w:r w:rsidRPr="006F6026">
              <w:rPr>
                <w:rFonts w:ascii="Arial" w:hAnsi="Arial" w:cs="Arial"/>
              </w:rPr>
              <w:t xml:space="preserve"> for way forward.</w:t>
            </w:r>
          </w:p>
          <w:p w14:paraId="19069F88" w14:textId="77777777" w:rsidR="00D961D7" w:rsidRPr="003108F0" w:rsidRDefault="00D961D7" w:rsidP="00E4452E">
            <w:pPr>
              <w:jc w:val="both"/>
              <w:rPr>
                <w:rFonts w:ascii="Arial" w:hAnsi="Arial" w:cs="Arial"/>
              </w:rPr>
            </w:pPr>
            <w:r w:rsidRPr="003108F0">
              <w:rPr>
                <w:rFonts w:ascii="Arial" w:hAnsi="Arial" w:cs="Arial"/>
                <w:b/>
                <w:bCs/>
              </w:rPr>
              <w:t>Intervention</w:t>
            </w:r>
            <w:r w:rsidRPr="003108F0">
              <w:rPr>
                <w:rFonts w:ascii="Arial" w:hAnsi="Arial" w:cs="Arial"/>
              </w:rPr>
              <w:t>: Prevention and management of co-infections and co-morbidities</w:t>
            </w:r>
          </w:p>
          <w:p w14:paraId="2E22DDF4" w14:textId="77777777" w:rsidR="00D961D7" w:rsidRDefault="00D961D7" w:rsidP="00E4452E">
            <w:pPr>
              <w:jc w:val="both"/>
              <w:rPr>
                <w:rFonts w:ascii="Arial" w:hAnsi="Arial" w:cs="Arial"/>
              </w:rPr>
            </w:pPr>
            <w:r w:rsidRPr="003108F0">
              <w:rPr>
                <w:rFonts w:ascii="Arial" w:hAnsi="Arial" w:cs="Arial"/>
                <w:b/>
                <w:bCs/>
              </w:rPr>
              <w:t>Activities</w:t>
            </w:r>
            <w:r w:rsidRPr="003108F0">
              <w:rPr>
                <w:rFonts w:ascii="Arial" w:hAnsi="Arial" w:cs="Arial"/>
              </w:rPr>
              <w:t xml:space="preserve">: Verbal screening for TB will be done at DIC/Outlet </w:t>
            </w:r>
            <w:r>
              <w:rPr>
                <w:rFonts w:ascii="Arial" w:hAnsi="Arial" w:cs="Arial"/>
              </w:rPr>
              <w:t xml:space="preserve">by </w:t>
            </w:r>
            <w:r w:rsidRPr="006F6026">
              <w:rPr>
                <w:rFonts w:ascii="Arial" w:hAnsi="Arial" w:cs="Arial"/>
                <w:i/>
                <w:iCs/>
                <w:u w:val="single"/>
              </w:rPr>
              <w:t>PR-SC</w:t>
            </w:r>
            <w:r>
              <w:rPr>
                <w:rFonts w:ascii="Arial" w:hAnsi="Arial" w:cs="Arial"/>
              </w:rPr>
              <w:t xml:space="preserve"> </w:t>
            </w:r>
            <w:r w:rsidRPr="003108F0">
              <w:rPr>
                <w:rFonts w:ascii="Arial" w:hAnsi="Arial" w:cs="Arial"/>
              </w:rPr>
              <w:t>and sus</w:t>
            </w:r>
            <w:r>
              <w:rPr>
                <w:rFonts w:ascii="Arial" w:hAnsi="Arial" w:cs="Arial"/>
              </w:rPr>
              <w:t>pected</w:t>
            </w:r>
            <w:r w:rsidRPr="003108F0">
              <w:rPr>
                <w:rFonts w:ascii="Arial" w:hAnsi="Arial" w:cs="Arial"/>
              </w:rPr>
              <w:t xml:space="preserve"> cases will be referred to Govt./NGO facilities for further investigation and management. Functional referral network will be established with relevant public and private facilities. IEC</w:t>
            </w:r>
            <w:r w:rsidRPr="003108F0">
              <w:rPr>
                <w:rFonts w:cs="Arial"/>
              </w:rPr>
              <w:fldChar w:fldCharType="begin"/>
            </w:r>
            <w:r w:rsidRPr="003108F0">
              <w:rPr>
                <w:rFonts w:ascii="Arial" w:hAnsi="Arial" w:cs="Arial"/>
              </w:rPr>
              <w:instrText xml:space="preserve"> TA \l "IEC: Information Education Communication" \s "IEC" \c 1 </w:instrText>
            </w:r>
            <w:r w:rsidRPr="003108F0">
              <w:rPr>
                <w:rFonts w:cs="Arial"/>
              </w:rPr>
              <w:fldChar w:fldCharType="end"/>
            </w:r>
            <w:r w:rsidRPr="003108F0">
              <w:rPr>
                <w:rFonts w:ascii="Arial" w:hAnsi="Arial" w:cs="Arial"/>
              </w:rPr>
              <w:t>/BCC materials specific to TB will be used.</w:t>
            </w:r>
          </w:p>
          <w:p w14:paraId="0AA9A04D" w14:textId="77777777" w:rsidR="00D961D7" w:rsidRDefault="00D961D7" w:rsidP="00E4452E">
            <w:pPr>
              <w:jc w:val="both"/>
              <w:rPr>
                <w:rFonts w:ascii="Arial" w:hAnsi="Arial" w:cs="Arial"/>
              </w:rPr>
            </w:pPr>
            <w:r>
              <w:rPr>
                <w:rFonts w:ascii="Arial" w:hAnsi="Arial" w:cs="Arial"/>
              </w:rPr>
              <w:t>C</w:t>
            </w:r>
            <w:r w:rsidRPr="006F6026">
              <w:rPr>
                <w:rFonts w:ascii="Arial" w:hAnsi="Arial" w:cs="Arial"/>
              </w:rPr>
              <w:t>o</w:t>
            </w:r>
            <w:r>
              <w:rPr>
                <w:rFonts w:ascii="Arial" w:hAnsi="Arial" w:cs="Arial"/>
              </w:rPr>
              <w:t>-</w:t>
            </w:r>
            <w:r w:rsidRPr="006F6026">
              <w:rPr>
                <w:rFonts w:ascii="Arial" w:hAnsi="Arial" w:cs="Arial"/>
              </w:rPr>
              <w:t>morbidit</w:t>
            </w:r>
            <w:r>
              <w:rPr>
                <w:rFonts w:ascii="Arial" w:hAnsi="Arial" w:cs="Arial"/>
              </w:rPr>
              <w:t>ies,</w:t>
            </w:r>
            <w:r w:rsidRPr="006F6026">
              <w:rPr>
                <w:rFonts w:ascii="Arial" w:hAnsi="Arial" w:cs="Arial"/>
              </w:rPr>
              <w:t xml:space="preserve"> </w:t>
            </w:r>
            <w:r>
              <w:rPr>
                <w:rFonts w:ascii="Arial" w:hAnsi="Arial" w:cs="Arial"/>
              </w:rPr>
              <w:t>mainly</w:t>
            </w:r>
            <w:r w:rsidRPr="006F6026">
              <w:rPr>
                <w:rFonts w:ascii="Arial" w:hAnsi="Arial" w:cs="Arial"/>
              </w:rPr>
              <w:t xml:space="preserve"> </w:t>
            </w:r>
            <w:r>
              <w:rPr>
                <w:rFonts w:ascii="Arial" w:hAnsi="Arial" w:cs="Arial"/>
              </w:rPr>
              <w:t xml:space="preserve">with </w:t>
            </w:r>
            <w:r w:rsidRPr="006F6026">
              <w:rPr>
                <w:rFonts w:ascii="Arial" w:hAnsi="Arial" w:cs="Arial"/>
              </w:rPr>
              <w:t>TB</w:t>
            </w:r>
            <w:r>
              <w:rPr>
                <w:rFonts w:ascii="Arial" w:hAnsi="Arial" w:cs="Arial"/>
              </w:rPr>
              <w:t>,</w:t>
            </w:r>
            <w:r w:rsidRPr="006F6026">
              <w:rPr>
                <w:rFonts w:ascii="Arial" w:hAnsi="Arial" w:cs="Arial"/>
              </w:rPr>
              <w:t xml:space="preserve"> will be referred to </w:t>
            </w:r>
            <w:r>
              <w:rPr>
                <w:rFonts w:ascii="Arial" w:hAnsi="Arial" w:cs="Arial"/>
              </w:rPr>
              <w:t xml:space="preserve">relevant departments (eg. NTP </w:t>
            </w:r>
            <w:r w:rsidRPr="006F6026">
              <w:rPr>
                <w:rFonts w:ascii="Arial" w:hAnsi="Arial" w:cs="Arial"/>
              </w:rPr>
              <w:t>TB center</w:t>
            </w:r>
            <w:r>
              <w:rPr>
                <w:rFonts w:ascii="Arial" w:hAnsi="Arial" w:cs="Arial"/>
              </w:rPr>
              <w:t>)</w:t>
            </w:r>
            <w:r w:rsidRPr="006F6026">
              <w:rPr>
                <w:rFonts w:ascii="Arial" w:hAnsi="Arial" w:cs="Arial"/>
              </w:rPr>
              <w:t xml:space="preserve"> in same compound </w:t>
            </w:r>
            <w:r>
              <w:rPr>
                <w:rFonts w:ascii="Arial" w:hAnsi="Arial" w:cs="Arial"/>
              </w:rPr>
              <w:t>(</w:t>
            </w:r>
            <w:r w:rsidRPr="006F6026">
              <w:rPr>
                <w:rFonts w:ascii="Arial" w:hAnsi="Arial" w:cs="Arial"/>
              </w:rPr>
              <w:t xml:space="preserve">by </w:t>
            </w:r>
            <w:r w:rsidRPr="006F6026">
              <w:rPr>
                <w:rFonts w:ascii="Arial" w:hAnsi="Arial" w:cs="Arial"/>
                <w:i/>
                <w:iCs/>
                <w:u w:val="single"/>
              </w:rPr>
              <w:t>PR-ASP</w:t>
            </w:r>
            <w:r>
              <w:rPr>
                <w:rFonts w:ascii="Arial" w:hAnsi="Arial" w:cs="Arial"/>
                <w:i/>
                <w:iCs/>
                <w:u w:val="single"/>
              </w:rPr>
              <w:t>)</w:t>
            </w:r>
            <w:r w:rsidRPr="006F6026">
              <w:rPr>
                <w:rFonts w:ascii="Arial" w:hAnsi="Arial" w:cs="Arial"/>
              </w:rPr>
              <w:t>.</w:t>
            </w:r>
          </w:p>
          <w:p w14:paraId="07EF6371" w14:textId="77777777" w:rsidR="00D961D7" w:rsidRPr="003108F0" w:rsidRDefault="00D961D7" w:rsidP="00E4452E">
            <w:pPr>
              <w:jc w:val="both"/>
              <w:rPr>
                <w:rFonts w:ascii="Arial" w:hAnsi="Arial" w:cs="Arial"/>
              </w:rPr>
            </w:pPr>
            <w:r w:rsidRPr="003108F0">
              <w:rPr>
                <w:rFonts w:ascii="Arial" w:hAnsi="Arial" w:cs="Arial"/>
                <w:b/>
                <w:bCs/>
              </w:rPr>
              <w:t>Intervention</w:t>
            </w:r>
            <w:r w:rsidRPr="003108F0">
              <w:rPr>
                <w:rFonts w:ascii="Arial" w:hAnsi="Arial" w:cs="Arial"/>
              </w:rPr>
              <w:t>: Community empowerment</w:t>
            </w:r>
          </w:p>
          <w:p w14:paraId="05C6A119" w14:textId="77777777" w:rsidR="00D961D7" w:rsidRDefault="00D961D7" w:rsidP="00E4452E">
            <w:pPr>
              <w:jc w:val="both"/>
              <w:rPr>
                <w:rFonts w:ascii="Arial" w:hAnsi="Arial" w:cs="Arial"/>
              </w:rPr>
            </w:pPr>
            <w:r w:rsidRPr="003108F0">
              <w:rPr>
                <w:rFonts w:ascii="Arial" w:hAnsi="Arial" w:cs="Arial"/>
                <w:b/>
                <w:bCs/>
              </w:rPr>
              <w:t>Activities</w:t>
            </w:r>
            <w:r w:rsidRPr="003108F0">
              <w:rPr>
                <w:rFonts w:ascii="Arial" w:hAnsi="Arial" w:cs="Arial"/>
              </w:rPr>
              <w:t xml:space="preserve">: </w:t>
            </w:r>
            <w:r w:rsidRPr="00D76CA9">
              <w:rPr>
                <w:rFonts w:ascii="Arial" w:hAnsi="Arial" w:cs="Arial"/>
              </w:rPr>
              <w:t>FSWs and their community will be empowered with right</w:t>
            </w:r>
            <w:r>
              <w:rPr>
                <w:rFonts w:ascii="Arial" w:hAnsi="Arial" w:cs="Arial"/>
              </w:rPr>
              <w:t>s</w:t>
            </w:r>
            <w:r w:rsidRPr="00D76CA9">
              <w:rPr>
                <w:rFonts w:ascii="Arial" w:hAnsi="Arial" w:cs="Arial"/>
              </w:rPr>
              <w:t xml:space="preserve"> and law literacy</w:t>
            </w:r>
            <w:r>
              <w:rPr>
                <w:rFonts w:ascii="Arial" w:hAnsi="Arial" w:cs="Arial"/>
              </w:rPr>
              <w:t xml:space="preserve"> by </w:t>
            </w:r>
            <w:r w:rsidRPr="00A367B5">
              <w:rPr>
                <w:rFonts w:ascii="Arial" w:hAnsi="Arial" w:cs="Arial"/>
                <w:i/>
                <w:iCs/>
                <w:u w:val="single"/>
              </w:rPr>
              <w:t>PR-SC</w:t>
            </w:r>
            <w:r w:rsidRPr="00D76CA9">
              <w:rPr>
                <w:rFonts w:ascii="Arial" w:hAnsi="Arial" w:cs="Arial"/>
              </w:rPr>
              <w:t xml:space="preserve">. </w:t>
            </w:r>
            <w:r>
              <w:rPr>
                <w:rFonts w:ascii="Arial" w:hAnsi="Arial" w:cs="Arial"/>
              </w:rPr>
              <w:t>An e</w:t>
            </w:r>
            <w:r w:rsidRPr="00D76CA9">
              <w:rPr>
                <w:rFonts w:ascii="Arial" w:hAnsi="Arial" w:cs="Arial"/>
              </w:rPr>
              <w:t xml:space="preserve">nvironment </w:t>
            </w:r>
            <w:r>
              <w:rPr>
                <w:rFonts w:ascii="Arial" w:hAnsi="Arial" w:cs="Arial"/>
              </w:rPr>
              <w:t>where</w:t>
            </w:r>
            <w:r w:rsidRPr="00D76CA9">
              <w:rPr>
                <w:rFonts w:ascii="Arial" w:hAnsi="Arial" w:cs="Arial"/>
              </w:rPr>
              <w:t xml:space="preserve"> FSWs </w:t>
            </w:r>
            <w:r>
              <w:rPr>
                <w:rFonts w:ascii="Arial" w:hAnsi="Arial" w:cs="Arial"/>
              </w:rPr>
              <w:t xml:space="preserve">can </w:t>
            </w:r>
            <w:r w:rsidRPr="00D76CA9">
              <w:rPr>
                <w:rFonts w:ascii="Arial" w:hAnsi="Arial" w:cs="Arial"/>
              </w:rPr>
              <w:t>raise their voice</w:t>
            </w:r>
            <w:r>
              <w:rPr>
                <w:rFonts w:ascii="Arial" w:hAnsi="Arial" w:cs="Arial"/>
              </w:rPr>
              <w:t xml:space="preserve"> through</w:t>
            </w:r>
            <w:r w:rsidRPr="00D76CA9">
              <w:rPr>
                <w:rFonts w:ascii="Arial" w:hAnsi="Arial" w:cs="Arial"/>
              </w:rPr>
              <w:t xml:space="preserve"> community group</w:t>
            </w:r>
            <w:r>
              <w:rPr>
                <w:rFonts w:ascii="Arial" w:hAnsi="Arial" w:cs="Arial"/>
              </w:rPr>
              <w:t>s</w:t>
            </w:r>
            <w:r w:rsidRPr="00D76CA9">
              <w:rPr>
                <w:rFonts w:ascii="Arial" w:hAnsi="Arial" w:cs="Arial"/>
              </w:rPr>
              <w:t xml:space="preserve">, CBOs </w:t>
            </w:r>
            <w:r>
              <w:rPr>
                <w:rFonts w:ascii="Arial" w:hAnsi="Arial" w:cs="Arial"/>
              </w:rPr>
              <w:t xml:space="preserve">and networks </w:t>
            </w:r>
            <w:r w:rsidRPr="00D76CA9">
              <w:rPr>
                <w:rFonts w:ascii="Arial" w:hAnsi="Arial" w:cs="Arial"/>
              </w:rPr>
              <w:t>will be created</w:t>
            </w:r>
            <w:r>
              <w:rPr>
                <w:rFonts w:ascii="Arial" w:hAnsi="Arial" w:cs="Arial"/>
              </w:rPr>
              <w:t xml:space="preserve">. For their economic freedom, cooperatives may be formed. </w:t>
            </w:r>
            <w:r w:rsidRPr="00D76CA9">
              <w:rPr>
                <w:rFonts w:ascii="Arial" w:hAnsi="Arial" w:cs="Arial"/>
              </w:rPr>
              <w:t xml:space="preserve">Necessary initiatives will be taken to build capacity of the </w:t>
            </w:r>
            <w:r>
              <w:rPr>
                <w:rFonts w:ascii="Arial" w:hAnsi="Arial" w:cs="Arial"/>
              </w:rPr>
              <w:t>SWN</w:t>
            </w:r>
            <w:r w:rsidRPr="00D76CA9">
              <w:rPr>
                <w:rFonts w:ascii="Arial" w:hAnsi="Arial" w:cs="Arial"/>
              </w:rPr>
              <w:t xml:space="preserve"> </w:t>
            </w:r>
            <w:r>
              <w:rPr>
                <w:rFonts w:ascii="Arial" w:hAnsi="Arial" w:cs="Arial"/>
              </w:rPr>
              <w:t>and</w:t>
            </w:r>
            <w:r w:rsidRPr="00D76CA9">
              <w:rPr>
                <w:rFonts w:ascii="Arial" w:hAnsi="Arial" w:cs="Arial"/>
              </w:rPr>
              <w:t xml:space="preserve"> CBOs</w:t>
            </w:r>
            <w:r>
              <w:rPr>
                <w:rFonts w:ascii="Arial" w:hAnsi="Arial" w:cs="Arial"/>
              </w:rPr>
              <w:t>.</w:t>
            </w:r>
            <w:r w:rsidRPr="00D76CA9">
              <w:rPr>
                <w:rFonts w:ascii="Arial" w:hAnsi="Arial" w:cs="Arial"/>
              </w:rPr>
              <w:t xml:space="preserve"> SW</w:t>
            </w:r>
            <w:r>
              <w:rPr>
                <w:rFonts w:ascii="Arial" w:hAnsi="Arial" w:cs="Arial"/>
              </w:rPr>
              <w:t>N</w:t>
            </w:r>
            <w:r w:rsidRPr="00D76CA9">
              <w:rPr>
                <w:rFonts w:ascii="Arial" w:hAnsi="Arial" w:cs="Arial"/>
              </w:rPr>
              <w:t xml:space="preserve"> will lead and implement outreach team mentoring </w:t>
            </w:r>
            <w:r>
              <w:rPr>
                <w:rFonts w:ascii="Arial" w:hAnsi="Arial" w:cs="Arial"/>
              </w:rPr>
              <w:t xml:space="preserve">and community-based monitoring. </w:t>
            </w:r>
            <w:r w:rsidRPr="00D76CA9">
              <w:rPr>
                <w:rFonts w:ascii="Arial" w:hAnsi="Arial" w:cs="Arial"/>
              </w:rPr>
              <w:t xml:space="preserve">A set of guidelines, policy documents, tools and form/formats will be developed for </w:t>
            </w:r>
            <w:r>
              <w:rPr>
                <w:rFonts w:ascii="Arial" w:hAnsi="Arial" w:cs="Arial"/>
              </w:rPr>
              <w:t>this</w:t>
            </w:r>
            <w:r w:rsidRPr="00D76CA9">
              <w:rPr>
                <w:rFonts w:ascii="Arial" w:hAnsi="Arial" w:cs="Arial"/>
              </w:rPr>
              <w:t>.</w:t>
            </w:r>
          </w:p>
          <w:p w14:paraId="2E9C89D4" w14:textId="08F9D34C" w:rsidR="00D961D7" w:rsidRPr="003108F0" w:rsidRDefault="00D961D7" w:rsidP="00E4452E">
            <w:pPr>
              <w:jc w:val="both"/>
              <w:rPr>
                <w:rFonts w:ascii="Arial" w:hAnsi="Arial" w:cs="Arial"/>
              </w:rPr>
            </w:pPr>
            <w:r w:rsidRPr="003108F0">
              <w:rPr>
                <w:rFonts w:ascii="Arial" w:hAnsi="Arial" w:cs="Arial"/>
                <w:b/>
                <w:bCs/>
              </w:rPr>
              <w:t>Intervention</w:t>
            </w:r>
            <w:r w:rsidRPr="003108F0">
              <w:rPr>
                <w:rFonts w:ascii="Arial" w:hAnsi="Arial" w:cs="Arial"/>
              </w:rPr>
              <w:t xml:space="preserve">: Harm reduction interventions for drug use </w:t>
            </w:r>
          </w:p>
          <w:p w14:paraId="466057B7" w14:textId="77777777" w:rsidR="00D961D7" w:rsidRPr="003108F0" w:rsidRDefault="00D961D7" w:rsidP="00E4452E">
            <w:pPr>
              <w:jc w:val="both"/>
              <w:rPr>
                <w:rFonts w:ascii="Arial" w:hAnsi="Arial" w:cs="Arial"/>
              </w:rPr>
            </w:pPr>
            <w:r w:rsidRPr="003108F0">
              <w:rPr>
                <w:rFonts w:ascii="Arial" w:hAnsi="Arial" w:cs="Arial"/>
                <w:b/>
                <w:bCs/>
              </w:rPr>
              <w:t>Activities</w:t>
            </w:r>
            <w:r w:rsidRPr="003108F0">
              <w:rPr>
                <w:rFonts w:ascii="Arial" w:hAnsi="Arial" w:cs="Arial"/>
              </w:rPr>
              <w:t xml:space="preserve">: All outreach staff </w:t>
            </w:r>
            <w:r>
              <w:rPr>
                <w:rFonts w:ascii="Arial" w:hAnsi="Arial" w:cs="Arial"/>
              </w:rPr>
              <w:t xml:space="preserve">under </w:t>
            </w:r>
            <w:r w:rsidRPr="00A367B5">
              <w:rPr>
                <w:rFonts w:ascii="Arial" w:hAnsi="Arial" w:cs="Arial"/>
                <w:i/>
                <w:iCs/>
                <w:u w:val="single"/>
              </w:rPr>
              <w:t>PR-SC</w:t>
            </w:r>
            <w:r>
              <w:rPr>
                <w:rFonts w:ascii="Arial" w:hAnsi="Arial" w:cs="Arial"/>
              </w:rPr>
              <w:t xml:space="preserve"> </w:t>
            </w:r>
            <w:r w:rsidRPr="003108F0">
              <w:rPr>
                <w:rFonts w:ascii="Arial" w:hAnsi="Arial" w:cs="Arial"/>
              </w:rPr>
              <w:t xml:space="preserve">intervention will be </w:t>
            </w:r>
            <w:r>
              <w:rPr>
                <w:rFonts w:ascii="Arial" w:hAnsi="Arial" w:cs="Arial"/>
              </w:rPr>
              <w:t>trained</w:t>
            </w:r>
            <w:r w:rsidRPr="003108F0">
              <w:rPr>
                <w:rFonts w:ascii="Arial" w:hAnsi="Arial" w:cs="Arial"/>
              </w:rPr>
              <w:t xml:space="preserve"> on harm reduction interventions to ensure services for </w:t>
            </w:r>
            <w:r>
              <w:rPr>
                <w:rFonts w:ascii="Arial" w:hAnsi="Arial" w:cs="Arial"/>
              </w:rPr>
              <w:t>WWID</w:t>
            </w:r>
            <w:r w:rsidRPr="003108F0">
              <w:rPr>
                <w:rFonts w:ascii="Arial" w:hAnsi="Arial" w:cs="Arial"/>
              </w:rPr>
              <w:t xml:space="preserve"> who are involved in </w:t>
            </w:r>
            <w:r>
              <w:rPr>
                <w:rFonts w:ascii="Arial" w:hAnsi="Arial" w:cs="Arial"/>
              </w:rPr>
              <w:t xml:space="preserve">the </w:t>
            </w:r>
            <w:r w:rsidRPr="003108F0">
              <w:rPr>
                <w:rFonts w:ascii="Arial" w:hAnsi="Arial" w:cs="Arial"/>
              </w:rPr>
              <w:t xml:space="preserve">sex trade. POW </w:t>
            </w:r>
            <w:r>
              <w:rPr>
                <w:rFonts w:ascii="Arial" w:hAnsi="Arial" w:cs="Arial"/>
              </w:rPr>
              <w:t xml:space="preserve">of </w:t>
            </w:r>
            <w:r w:rsidRPr="003108F0">
              <w:rPr>
                <w:rFonts w:ascii="Arial" w:hAnsi="Arial" w:cs="Arial"/>
              </w:rPr>
              <w:t xml:space="preserve">DICs of Dhaka, Narayangonj and Gazipur will facilitate services required for </w:t>
            </w:r>
            <w:r>
              <w:rPr>
                <w:rFonts w:ascii="Arial" w:hAnsi="Arial" w:cs="Arial"/>
              </w:rPr>
              <w:t>W</w:t>
            </w:r>
            <w:r w:rsidRPr="003108F0">
              <w:rPr>
                <w:rFonts w:ascii="Arial" w:hAnsi="Arial" w:cs="Arial"/>
              </w:rPr>
              <w:t xml:space="preserve">WID. These DICs will have provision for </w:t>
            </w:r>
            <w:r>
              <w:rPr>
                <w:rFonts w:ascii="Arial" w:hAnsi="Arial" w:cs="Arial"/>
              </w:rPr>
              <w:t>NSE</w:t>
            </w:r>
            <w:r w:rsidRPr="003108F0">
              <w:rPr>
                <w:rFonts w:ascii="Arial" w:hAnsi="Arial" w:cs="Arial"/>
              </w:rPr>
              <w:t xml:space="preserve"> and linkages with CDIC</w:t>
            </w:r>
            <w:r>
              <w:rPr>
                <w:rFonts w:ascii="Arial" w:hAnsi="Arial" w:cs="Arial"/>
              </w:rPr>
              <w:t>s</w:t>
            </w:r>
            <w:r w:rsidRPr="003108F0">
              <w:rPr>
                <w:rFonts w:ascii="Arial" w:hAnsi="Arial" w:cs="Arial"/>
              </w:rPr>
              <w:t xml:space="preserve"> </w:t>
            </w:r>
            <w:r>
              <w:rPr>
                <w:rFonts w:ascii="Arial" w:hAnsi="Arial" w:cs="Arial"/>
              </w:rPr>
              <w:t>(</w:t>
            </w:r>
            <w:r w:rsidRPr="003108F0">
              <w:rPr>
                <w:rFonts w:ascii="Arial" w:hAnsi="Arial" w:cs="Arial"/>
              </w:rPr>
              <w:t>of PWID intervention</w:t>
            </w:r>
            <w:r>
              <w:rPr>
                <w:rFonts w:ascii="Arial" w:hAnsi="Arial" w:cs="Arial"/>
              </w:rPr>
              <w:t>)</w:t>
            </w:r>
            <w:r w:rsidRPr="003108F0">
              <w:rPr>
                <w:rFonts w:ascii="Arial" w:hAnsi="Arial" w:cs="Arial"/>
              </w:rPr>
              <w:t xml:space="preserve"> for OST and ART. </w:t>
            </w:r>
            <w:r>
              <w:rPr>
                <w:rFonts w:ascii="Arial" w:hAnsi="Arial" w:cs="Arial"/>
              </w:rPr>
              <w:t>W</w:t>
            </w:r>
            <w:r w:rsidRPr="003108F0">
              <w:rPr>
                <w:rFonts w:ascii="Arial" w:hAnsi="Arial" w:cs="Arial"/>
              </w:rPr>
              <w:t>WID will have access to both FSW and PWID DIC/CDIC/Outlet to avail services.</w:t>
            </w:r>
          </w:p>
        </w:tc>
      </w:tr>
      <w:tr w:rsidR="00D961D7" w:rsidRPr="003108F0" w14:paraId="1C4D8796" w14:textId="77777777" w:rsidTr="00263BA7">
        <w:trPr>
          <w:trHeight w:val="288"/>
        </w:trPr>
        <w:tc>
          <w:tcPr>
            <w:tcW w:w="1138" w:type="pct"/>
            <w:shd w:val="clear" w:color="auto" w:fill="F2F2F2"/>
            <w:vAlign w:val="center"/>
          </w:tcPr>
          <w:p w14:paraId="4011A089" w14:textId="77777777" w:rsidR="00D961D7" w:rsidRPr="003108F0" w:rsidRDefault="00D961D7" w:rsidP="00E4452E">
            <w:pPr>
              <w:rPr>
                <w:rFonts w:ascii="Arial" w:hAnsi="Arial" w:cs="Arial"/>
                <w:b/>
              </w:rPr>
            </w:pPr>
            <w:r w:rsidRPr="003108F0">
              <w:rPr>
                <w:rFonts w:ascii="Arial" w:hAnsi="Arial" w:cs="Arial"/>
                <w:b/>
              </w:rPr>
              <w:t>Priority Population(s)</w:t>
            </w:r>
          </w:p>
        </w:tc>
        <w:tc>
          <w:tcPr>
            <w:tcW w:w="3862" w:type="pct"/>
          </w:tcPr>
          <w:p w14:paraId="7F48861A" w14:textId="77777777" w:rsidR="00D961D7" w:rsidRPr="003108F0" w:rsidRDefault="00D961D7" w:rsidP="00E4452E">
            <w:pPr>
              <w:rPr>
                <w:rFonts w:ascii="Arial" w:hAnsi="Arial" w:cs="Arial"/>
              </w:rPr>
            </w:pPr>
            <w:r w:rsidRPr="003108F0">
              <w:rPr>
                <w:rFonts w:ascii="Arial" w:hAnsi="Arial" w:cs="Arial"/>
              </w:rPr>
              <w:t>Female Sex Workers and their clients</w:t>
            </w:r>
          </w:p>
        </w:tc>
      </w:tr>
      <w:tr w:rsidR="00D961D7" w:rsidRPr="003108F0" w14:paraId="426B30FA" w14:textId="77777777" w:rsidTr="00263BA7">
        <w:trPr>
          <w:trHeight w:val="288"/>
        </w:trPr>
        <w:tc>
          <w:tcPr>
            <w:tcW w:w="1138" w:type="pct"/>
            <w:shd w:val="clear" w:color="auto" w:fill="F2F2F2"/>
            <w:vAlign w:val="center"/>
          </w:tcPr>
          <w:p w14:paraId="65574DF2" w14:textId="77777777" w:rsidR="00D961D7" w:rsidRPr="003108F0" w:rsidRDefault="00D961D7" w:rsidP="00E4452E">
            <w:pPr>
              <w:rPr>
                <w:rFonts w:ascii="Arial" w:hAnsi="Arial" w:cs="Arial"/>
                <w:b/>
              </w:rPr>
            </w:pPr>
            <w:r w:rsidRPr="003108F0">
              <w:rPr>
                <w:rFonts w:ascii="Arial" w:hAnsi="Arial" w:cs="Arial"/>
                <w:b/>
              </w:rPr>
              <w:t>Barriers and Inequities</w:t>
            </w:r>
          </w:p>
        </w:tc>
        <w:tc>
          <w:tcPr>
            <w:tcW w:w="3862" w:type="pct"/>
          </w:tcPr>
          <w:p w14:paraId="61562F8D" w14:textId="77777777" w:rsidR="00D961D7" w:rsidRPr="003108F0" w:rsidRDefault="00D961D7" w:rsidP="00E4452E">
            <w:pPr>
              <w:jc w:val="both"/>
              <w:rPr>
                <w:rFonts w:ascii="Arial" w:hAnsi="Arial" w:cs="Arial"/>
              </w:rPr>
            </w:pPr>
            <w:r w:rsidRPr="003108F0">
              <w:rPr>
                <w:rFonts w:ascii="Arial" w:hAnsi="Arial" w:cs="Arial"/>
              </w:rPr>
              <w:t xml:space="preserve">Generally, sex work is considered a delinquent act. FSW are frequently victims of </w:t>
            </w:r>
            <w:r>
              <w:rPr>
                <w:rFonts w:ascii="Arial" w:hAnsi="Arial" w:cs="Arial"/>
              </w:rPr>
              <w:t>GBV. M</w:t>
            </w:r>
            <w:r w:rsidRPr="003108F0">
              <w:rPr>
                <w:rFonts w:ascii="Arial" w:hAnsi="Arial" w:cs="Arial"/>
              </w:rPr>
              <w:t xml:space="preserve">unicipal ordinances against soliciting place them at high risk for police harassment [12, page 2]. There are some punitive laws which trigger legal harassment, though the penal code does not criminalize sex work. Abuse of punitive laws hinders the program implementation for FSWs and </w:t>
            </w:r>
            <w:r>
              <w:rPr>
                <w:rFonts w:ascii="Arial" w:hAnsi="Arial" w:cs="Arial"/>
              </w:rPr>
              <w:t xml:space="preserve">disrupts </w:t>
            </w:r>
            <w:r w:rsidRPr="003108F0">
              <w:rPr>
                <w:rFonts w:ascii="Arial" w:hAnsi="Arial" w:cs="Arial"/>
              </w:rPr>
              <w:t>consistent availability of condom</w:t>
            </w:r>
            <w:r>
              <w:rPr>
                <w:rFonts w:ascii="Arial" w:hAnsi="Arial" w:cs="Arial"/>
              </w:rPr>
              <w:t>s</w:t>
            </w:r>
            <w:r w:rsidRPr="003108F0">
              <w:rPr>
                <w:rFonts w:ascii="Arial" w:hAnsi="Arial" w:cs="Arial"/>
              </w:rPr>
              <w:t xml:space="preserve">. </w:t>
            </w:r>
            <w:r>
              <w:rPr>
                <w:rFonts w:ascii="Arial" w:hAnsi="Arial" w:cs="Arial"/>
              </w:rPr>
              <w:t xml:space="preserve">In addition, </w:t>
            </w:r>
            <w:r w:rsidRPr="003108F0">
              <w:rPr>
                <w:rFonts w:ascii="Arial" w:hAnsi="Arial" w:cs="Arial"/>
              </w:rPr>
              <w:t xml:space="preserve">there are instances, when FSWs are compelled to do sex without condom. FSWs themselves neglect SRH issues including HIV testing due to self-stigma, and discrimination from the service providers. </w:t>
            </w:r>
          </w:p>
        </w:tc>
      </w:tr>
      <w:tr w:rsidR="00D961D7" w:rsidRPr="003108F0" w14:paraId="1D5B0067" w14:textId="77777777" w:rsidTr="00263BA7">
        <w:trPr>
          <w:trHeight w:val="288"/>
        </w:trPr>
        <w:tc>
          <w:tcPr>
            <w:tcW w:w="1138" w:type="pct"/>
            <w:shd w:val="clear" w:color="auto" w:fill="F2F2F2"/>
            <w:vAlign w:val="center"/>
          </w:tcPr>
          <w:p w14:paraId="2542D138" w14:textId="77777777" w:rsidR="00D961D7" w:rsidRPr="003108F0" w:rsidRDefault="00D961D7" w:rsidP="00E4452E">
            <w:pPr>
              <w:rPr>
                <w:rFonts w:ascii="Arial" w:hAnsi="Arial" w:cs="Arial"/>
                <w:b/>
              </w:rPr>
            </w:pPr>
            <w:r w:rsidRPr="003108F0">
              <w:rPr>
                <w:rFonts w:ascii="Arial" w:hAnsi="Arial" w:cs="Arial"/>
                <w:b/>
              </w:rPr>
              <w:t>Rationale</w:t>
            </w:r>
          </w:p>
        </w:tc>
        <w:tc>
          <w:tcPr>
            <w:tcW w:w="3862" w:type="pct"/>
          </w:tcPr>
          <w:p w14:paraId="0F61287D" w14:textId="77777777" w:rsidR="00D961D7" w:rsidRPr="003108F0" w:rsidRDefault="00D961D7" w:rsidP="00E4452E">
            <w:pPr>
              <w:jc w:val="both"/>
              <w:rPr>
                <w:rFonts w:ascii="Arial" w:hAnsi="Arial" w:cs="Arial"/>
              </w:rPr>
            </w:pPr>
            <w:r w:rsidRPr="003108F0">
              <w:rPr>
                <w:rFonts w:ascii="Arial" w:hAnsi="Arial" w:cs="Arial"/>
              </w:rPr>
              <w:t xml:space="preserve">Though condom use rate has increased among the </w:t>
            </w:r>
            <w:r>
              <w:rPr>
                <w:rFonts w:ascii="Arial" w:hAnsi="Arial" w:cs="Arial"/>
              </w:rPr>
              <w:t>FSWs</w:t>
            </w:r>
            <w:r w:rsidRPr="003108F0">
              <w:rPr>
                <w:rFonts w:ascii="Arial" w:hAnsi="Arial" w:cs="Arial"/>
              </w:rPr>
              <w:t xml:space="preserve"> over the period</w:t>
            </w:r>
            <w:r>
              <w:rPr>
                <w:rFonts w:ascii="Arial" w:hAnsi="Arial" w:cs="Arial"/>
              </w:rPr>
              <w:t>;</w:t>
            </w:r>
            <w:r w:rsidRPr="003108F0">
              <w:rPr>
                <w:rFonts w:ascii="Arial" w:hAnsi="Arial" w:cs="Arial"/>
              </w:rPr>
              <w:t xml:space="preserve"> younger </w:t>
            </w:r>
            <w:r>
              <w:rPr>
                <w:rFonts w:ascii="Arial" w:hAnsi="Arial" w:cs="Arial"/>
              </w:rPr>
              <w:t>FSWs</w:t>
            </w:r>
            <w:r w:rsidRPr="003108F0">
              <w:rPr>
                <w:rFonts w:ascii="Arial" w:hAnsi="Arial" w:cs="Arial"/>
              </w:rPr>
              <w:t xml:space="preserve"> have riskier behaviors with a greater number of clients and less access to HIV prevention programmes [7, page 123]. </w:t>
            </w:r>
            <w:r>
              <w:rPr>
                <w:rFonts w:ascii="Arial" w:hAnsi="Arial" w:cs="Arial"/>
              </w:rPr>
              <w:t xml:space="preserve">Also, </w:t>
            </w:r>
            <w:r w:rsidRPr="003108F0">
              <w:rPr>
                <w:rFonts w:ascii="Arial" w:hAnsi="Arial" w:cs="Arial"/>
              </w:rPr>
              <w:t>there are knowledge gaps on HIV</w:t>
            </w:r>
            <w:r>
              <w:rPr>
                <w:rFonts w:ascii="Arial" w:hAnsi="Arial" w:cs="Arial"/>
              </w:rPr>
              <w:t>,</w:t>
            </w:r>
            <w:r w:rsidRPr="003108F0">
              <w:rPr>
                <w:rFonts w:ascii="Arial" w:hAnsi="Arial" w:cs="Arial"/>
              </w:rPr>
              <w:t xml:space="preserve"> STI and safer sex practice with consistent condom use. The investment case 2019 reported, </w:t>
            </w:r>
            <w:r>
              <w:rPr>
                <w:rFonts w:ascii="Arial" w:hAnsi="Arial" w:cs="Arial"/>
              </w:rPr>
              <w:t>i</w:t>
            </w:r>
            <w:r w:rsidRPr="003108F0">
              <w:rPr>
                <w:rFonts w:ascii="Arial" w:hAnsi="Arial" w:cs="Arial"/>
              </w:rPr>
              <w:t xml:space="preserve">f the current prevention programs among KPs discontinued after 2020, the estimated PLHIV in Bangladesh would reach 81,154 by 2030 (Table 13) and </w:t>
            </w:r>
            <w:r>
              <w:rPr>
                <w:rFonts w:ascii="Arial" w:hAnsi="Arial" w:cs="Arial"/>
              </w:rPr>
              <w:t xml:space="preserve">among </w:t>
            </w:r>
            <w:r w:rsidRPr="003108F0">
              <w:rPr>
                <w:rFonts w:ascii="Arial" w:hAnsi="Arial" w:cs="Arial"/>
              </w:rPr>
              <w:t>the most affected group</w:t>
            </w:r>
            <w:r>
              <w:rPr>
                <w:rFonts w:ascii="Arial" w:hAnsi="Arial" w:cs="Arial"/>
              </w:rPr>
              <w:t>s</w:t>
            </w:r>
            <w:r w:rsidRPr="003108F0">
              <w:rPr>
                <w:rFonts w:ascii="Arial" w:hAnsi="Arial" w:cs="Arial"/>
              </w:rPr>
              <w:t xml:space="preserve"> would be the ‘clients’ of sex worker [15, page 39, table 13]</w:t>
            </w:r>
            <w:r>
              <w:rPr>
                <w:rFonts w:ascii="Arial" w:hAnsi="Arial" w:cs="Arial"/>
              </w:rPr>
              <w:t xml:space="preserve">. The clients </w:t>
            </w:r>
            <w:r w:rsidRPr="003108F0">
              <w:rPr>
                <w:rFonts w:ascii="Arial" w:hAnsi="Arial" w:cs="Arial"/>
              </w:rPr>
              <w:t xml:space="preserve">are </w:t>
            </w:r>
            <w:r>
              <w:rPr>
                <w:rFonts w:ascii="Arial" w:hAnsi="Arial" w:cs="Arial"/>
              </w:rPr>
              <w:t xml:space="preserve">a </w:t>
            </w:r>
            <w:r w:rsidRPr="003108F0">
              <w:rPr>
                <w:rFonts w:ascii="Arial" w:hAnsi="Arial" w:cs="Arial"/>
              </w:rPr>
              <w:t xml:space="preserve">bridging </w:t>
            </w:r>
            <w:r>
              <w:rPr>
                <w:rFonts w:ascii="Arial" w:hAnsi="Arial" w:cs="Arial"/>
              </w:rPr>
              <w:t>population</w:t>
            </w:r>
            <w:r w:rsidRPr="003108F0">
              <w:rPr>
                <w:rFonts w:ascii="Arial" w:hAnsi="Arial" w:cs="Arial"/>
              </w:rPr>
              <w:t xml:space="preserve">. The geographical prioritization has </w:t>
            </w:r>
            <w:r>
              <w:rPr>
                <w:rFonts w:ascii="Arial" w:hAnsi="Arial" w:cs="Arial"/>
              </w:rPr>
              <w:t xml:space="preserve">been </w:t>
            </w:r>
            <w:r w:rsidRPr="003108F0">
              <w:rPr>
                <w:rFonts w:ascii="Arial" w:hAnsi="Arial" w:cs="Arial"/>
              </w:rPr>
              <w:t>done based on F</w:t>
            </w:r>
            <w:r>
              <w:rPr>
                <w:rFonts w:ascii="Arial" w:hAnsi="Arial" w:cs="Arial"/>
              </w:rPr>
              <w:t>S</w:t>
            </w:r>
            <w:r w:rsidRPr="003108F0">
              <w:rPr>
                <w:rFonts w:ascii="Arial" w:hAnsi="Arial" w:cs="Arial"/>
              </w:rPr>
              <w:t>W concentration and prevailing sex trade.</w:t>
            </w:r>
          </w:p>
        </w:tc>
      </w:tr>
      <w:tr w:rsidR="00D961D7" w:rsidRPr="003108F0" w14:paraId="3DCA2FC9" w14:textId="77777777" w:rsidTr="00263BA7">
        <w:trPr>
          <w:trHeight w:val="288"/>
        </w:trPr>
        <w:tc>
          <w:tcPr>
            <w:tcW w:w="1138" w:type="pct"/>
            <w:shd w:val="clear" w:color="auto" w:fill="F2F2F2"/>
            <w:vAlign w:val="center"/>
          </w:tcPr>
          <w:p w14:paraId="472B43B6" w14:textId="77777777" w:rsidR="00D961D7" w:rsidRPr="003108F0" w:rsidRDefault="00D961D7" w:rsidP="00E4452E">
            <w:pPr>
              <w:rPr>
                <w:rFonts w:ascii="Arial" w:hAnsi="Arial" w:cs="Arial"/>
                <w:b/>
              </w:rPr>
            </w:pPr>
            <w:r w:rsidRPr="003108F0">
              <w:rPr>
                <w:rFonts w:ascii="Arial" w:hAnsi="Arial" w:cs="Arial"/>
                <w:b/>
              </w:rPr>
              <w:t>Expected Outcome</w:t>
            </w:r>
          </w:p>
        </w:tc>
        <w:tc>
          <w:tcPr>
            <w:tcW w:w="3862" w:type="pct"/>
          </w:tcPr>
          <w:p w14:paraId="61D18437" w14:textId="77777777" w:rsidR="00D961D7" w:rsidRPr="003108F0" w:rsidRDefault="00D961D7" w:rsidP="00E4452E">
            <w:pPr>
              <w:rPr>
                <w:rFonts w:ascii="Arial" w:hAnsi="Arial" w:cs="Arial"/>
              </w:rPr>
            </w:pPr>
            <w:r w:rsidRPr="003108F0">
              <w:rPr>
                <w:rFonts w:ascii="Arial" w:hAnsi="Arial" w:cs="Arial"/>
              </w:rPr>
              <w:t xml:space="preserve">Safer sex behavior </w:t>
            </w:r>
            <w:r>
              <w:rPr>
                <w:rFonts w:ascii="Arial" w:hAnsi="Arial" w:cs="Arial"/>
              </w:rPr>
              <w:t>increased</w:t>
            </w:r>
            <w:r w:rsidRPr="003108F0">
              <w:rPr>
                <w:rFonts w:ascii="Arial" w:hAnsi="Arial" w:cs="Arial"/>
              </w:rPr>
              <w:t xml:space="preserve"> among the FSWs</w:t>
            </w:r>
            <w:r>
              <w:rPr>
                <w:rFonts w:ascii="Arial" w:hAnsi="Arial" w:cs="Arial"/>
              </w:rPr>
              <w:t xml:space="preserve">; </w:t>
            </w:r>
            <w:r w:rsidRPr="003108F0">
              <w:rPr>
                <w:rFonts w:ascii="Arial" w:hAnsi="Arial" w:cs="Arial"/>
              </w:rPr>
              <w:t xml:space="preserve">reduced </w:t>
            </w:r>
            <w:r>
              <w:rPr>
                <w:rFonts w:ascii="Arial" w:hAnsi="Arial" w:cs="Arial"/>
              </w:rPr>
              <w:t xml:space="preserve">number of new </w:t>
            </w:r>
            <w:r w:rsidRPr="003108F0">
              <w:rPr>
                <w:rFonts w:ascii="Arial" w:hAnsi="Arial" w:cs="Arial"/>
              </w:rPr>
              <w:t xml:space="preserve">HIV </w:t>
            </w:r>
            <w:r>
              <w:rPr>
                <w:rFonts w:ascii="Arial" w:hAnsi="Arial" w:cs="Arial"/>
              </w:rPr>
              <w:t xml:space="preserve">infections </w:t>
            </w:r>
            <w:r w:rsidRPr="003108F0">
              <w:rPr>
                <w:rFonts w:ascii="Arial" w:hAnsi="Arial" w:cs="Arial"/>
              </w:rPr>
              <w:t xml:space="preserve">and STIs among targeted FSWs and </w:t>
            </w:r>
            <w:r>
              <w:rPr>
                <w:rFonts w:ascii="Arial" w:hAnsi="Arial" w:cs="Arial"/>
              </w:rPr>
              <w:t>their</w:t>
            </w:r>
            <w:r w:rsidRPr="003108F0">
              <w:rPr>
                <w:rFonts w:ascii="Arial" w:hAnsi="Arial" w:cs="Arial"/>
              </w:rPr>
              <w:t xml:space="preserve"> clients.</w:t>
            </w:r>
          </w:p>
        </w:tc>
      </w:tr>
      <w:tr w:rsidR="00D961D7" w:rsidRPr="003108F0" w14:paraId="2987E808" w14:textId="77777777" w:rsidTr="00263BA7">
        <w:trPr>
          <w:trHeight w:val="288"/>
        </w:trPr>
        <w:tc>
          <w:tcPr>
            <w:tcW w:w="1138" w:type="pct"/>
            <w:shd w:val="clear" w:color="auto" w:fill="F2F2F2"/>
            <w:vAlign w:val="center"/>
          </w:tcPr>
          <w:p w14:paraId="10980AE3" w14:textId="77777777" w:rsidR="00D961D7" w:rsidRPr="003108F0" w:rsidRDefault="00D961D7" w:rsidP="00E4452E">
            <w:pPr>
              <w:rPr>
                <w:rFonts w:ascii="Arial" w:hAnsi="Arial" w:cs="Arial"/>
                <w:b/>
              </w:rPr>
            </w:pPr>
            <w:r w:rsidRPr="003108F0">
              <w:rPr>
                <w:rFonts w:ascii="Arial" w:hAnsi="Arial" w:cs="Arial"/>
                <w:b/>
              </w:rPr>
              <w:t>Expected Investment</w:t>
            </w:r>
          </w:p>
        </w:tc>
        <w:tc>
          <w:tcPr>
            <w:tcW w:w="3862" w:type="pct"/>
          </w:tcPr>
          <w:p w14:paraId="33E66A47" w14:textId="3F25F692" w:rsidR="00D961D7" w:rsidRPr="003108F0" w:rsidRDefault="00D961D7" w:rsidP="00E4452E">
            <w:pPr>
              <w:rPr>
                <w:rFonts w:ascii="Arial" w:hAnsi="Arial" w:cs="Arial"/>
              </w:rPr>
            </w:pPr>
            <w:r w:rsidRPr="00E102C4">
              <w:rPr>
                <w:rFonts w:ascii="Arial" w:hAnsi="Arial" w:cs="Arial"/>
                <w:highlight w:val="yellow"/>
              </w:rPr>
              <w:t>US $ 3,</w:t>
            </w:r>
            <w:r w:rsidR="00E102C4" w:rsidRPr="00E102C4">
              <w:rPr>
                <w:rFonts w:ascii="Arial" w:hAnsi="Arial" w:cs="Arial"/>
                <w:highlight w:val="yellow"/>
              </w:rPr>
              <w:t>513</w:t>
            </w:r>
            <w:r w:rsidRPr="00E102C4">
              <w:rPr>
                <w:rFonts w:ascii="Arial" w:hAnsi="Arial" w:cs="Arial"/>
                <w:highlight w:val="yellow"/>
              </w:rPr>
              <w:t>,690</w:t>
            </w:r>
            <w:r w:rsidR="00E102C4" w:rsidRPr="00E102C4">
              <w:rPr>
                <w:rFonts w:ascii="Arial" w:hAnsi="Arial" w:cs="Arial"/>
                <w:highlight w:val="yellow"/>
              </w:rPr>
              <w:t xml:space="preserve"> SC 3,495,690, ASP – 18,000</w:t>
            </w:r>
            <w:r w:rsidR="00DE2B0D">
              <w:rPr>
                <w:rFonts w:ascii="Arial" w:hAnsi="Arial" w:cs="Arial"/>
              </w:rPr>
              <w:t xml:space="preserve"> </w:t>
            </w:r>
          </w:p>
        </w:tc>
      </w:tr>
    </w:tbl>
    <w:p w14:paraId="65347799" w14:textId="28DD062B" w:rsidR="00D961D7" w:rsidRDefault="00D961D7" w:rsidP="009B6C0D">
      <w:pPr>
        <w:spacing w:after="0"/>
      </w:pPr>
    </w:p>
    <w:tbl>
      <w:tblPr>
        <w:tblStyle w:val="TableGrid30"/>
        <w:tblW w:w="4990" w:type="pct"/>
        <w:tblLook w:val="04A0" w:firstRow="1" w:lastRow="0" w:firstColumn="1" w:lastColumn="0" w:noHBand="0" w:noVBand="1"/>
      </w:tblPr>
      <w:tblGrid>
        <w:gridCol w:w="2335"/>
        <w:gridCol w:w="8100"/>
      </w:tblGrid>
      <w:tr w:rsidR="008B3CEF" w:rsidRPr="003108F0" w14:paraId="0167463B" w14:textId="77777777" w:rsidTr="00263BA7">
        <w:trPr>
          <w:trHeight w:val="288"/>
        </w:trPr>
        <w:tc>
          <w:tcPr>
            <w:tcW w:w="1119" w:type="pct"/>
            <w:shd w:val="clear" w:color="auto" w:fill="F2F2F2"/>
            <w:vAlign w:val="center"/>
          </w:tcPr>
          <w:p w14:paraId="7C9095F2" w14:textId="77777777" w:rsidR="008B3CEF" w:rsidRPr="003108F0" w:rsidRDefault="008B3CEF" w:rsidP="009B0847">
            <w:pPr>
              <w:rPr>
                <w:rFonts w:ascii="Arial" w:hAnsi="Arial" w:cs="Arial"/>
                <w:b/>
              </w:rPr>
            </w:pPr>
            <w:r w:rsidRPr="003108F0">
              <w:rPr>
                <w:rFonts w:ascii="Arial" w:hAnsi="Arial" w:cs="Arial"/>
                <w:b/>
              </w:rPr>
              <w:t>Module # 1</w:t>
            </w:r>
          </w:p>
        </w:tc>
        <w:tc>
          <w:tcPr>
            <w:tcW w:w="3881" w:type="pct"/>
          </w:tcPr>
          <w:p w14:paraId="51D55D40" w14:textId="77777777" w:rsidR="008B3CEF" w:rsidRPr="003108F0" w:rsidRDefault="008B3CEF" w:rsidP="009B0847">
            <w:pPr>
              <w:rPr>
                <w:rFonts w:ascii="Arial" w:hAnsi="Arial" w:cs="Arial"/>
              </w:rPr>
            </w:pPr>
            <w:r w:rsidRPr="003108F0">
              <w:rPr>
                <w:rFonts w:ascii="Arial" w:hAnsi="Arial" w:cs="Arial"/>
                <w:b/>
                <w:bCs/>
              </w:rPr>
              <w:t>Prevention - People who inject drugs</w:t>
            </w:r>
          </w:p>
        </w:tc>
      </w:tr>
      <w:tr w:rsidR="008B3CEF" w:rsidRPr="003108F0" w14:paraId="613222A8" w14:textId="77777777" w:rsidTr="00263BA7">
        <w:trPr>
          <w:trHeight w:val="288"/>
        </w:trPr>
        <w:tc>
          <w:tcPr>
            <w:tcW w:w="1119" w:type="pct"/>
            <w:shd w:val="clear" w:color="auto" w:fill="F2F2F2"/>
            <w:vAlign w:val="center"/>
          </w:tcPr>
          <w:p w14:paraId="71FE0113" w14:textId="77777777" w:rsidR="008B3CEF" w:rsidRPr="003108F0" w:rsidRDefault="008B3CEF" w:rsidP="009B0847">
            <w:pPr>
              <w:rPr>
                <w:rFonts w:ascii="Arial" w:hAnsi="Arial" w:cs="Arial"/>
                <w:b/>
              </w:rPr>
            </w:pPr>
            <w:r w:rsidRPr="003108F0">
              <w:rPr>
                <w:rFonts w:ascii="Arial" w:hAnsi="Arial" w:cs="Arial"/>
                <w:b/>
              </w:rPr>
              <w:t>Intervention(s) &amp; Key Activities</w:t>
            </w:r>
          </w:p>
        </w:tc>
        <w:tc>
          <w:tcPr>
            <w:tcW w:w="3881" w:type="pct"/>
          </w:tcPr>
          <w:p w14:paraId="387C2639" w14:textId="77777777" w:rsidR="008B3CEF" w:rsidRDefault="008B3CEF" w:rsidP="009B0847">
            <w:pPr>
              <w:jc w:val="both"/>
              <w:rPr>
                <w:rFonts w:ascii="Arial" w:hAnsi="Arial" w:cs="Arial"/>
              </w:rPr>
            </w:pPr>
            <w:r w:rsidRPr="00857583">
              <w:rPr>
                <w:rFonts w:ascii="Arial" w:hAnsi="Arial" w:cs="Arial"/>
              </w:rPr>
              <w:t>Interventions will be implemented by PR-SC and PR-ASP. PR-ASP will implement at a small scale using existing government facilities. Thus</w:t>
            </w:r>
            <w:r>
              <w:rPr>
                <w:rFonts w:ascii="Arial" w:hAnsi="Arial" w:cs="Arial"/>
              </w:rPr>
              <w:t>,</w:t>
            </w:r>
            <w:r w:rsidRPr="00857583">
              <w:rPr>
                <w:rFonts w:ascii="Arial" w:hAnsi="Arial" w:cs="Arial"/>
              </w:rPr>
              <w:t xml:space="preserve"> the strategic approaches </w:t>
            </w:r>
            <w:r>
              <w:rPr>
                <w:rFonts w:ascii="Arial" w:hAnsi="Arial" w:cs="Arial"/>
              </w:rPr>
              <w:t>are</w:t>
            </w:r>
            <w:r w:rsidRPr="00857583">
              <w:rPr>
                <w:rFonts w:ascii="Arial" w:hAnsi="Arial" w:cs="Arial"/>
              </w:rPr>
              <w:t xml:space="preserve"> different. </w:t>
            </w:r>
            <w:r w:rsidRPr="0086099C">
              <w:rPr>
                <w:rFonts w:ascii="Arial" w:hAnsi="Arial" w:cs="Arial"/>
              </w:rPr>
              <w:t>A mapping exercise will be conducted to avoid overlapping</w:t>
            </w:r>
            <w:r>
              <w:rPr>
                <w:rFonts w:ascii="Arial" w:hAnsi="Arial" w:cs="Arial"/>
              </w:rPr>
              <w:t xml:space="preserve"> between the intervention areas of the PRs</w:t>
            </w:r>
            <w:r w:rsidRPr="0086099C">
              <w:rPr>
                <w:rFonts w:ascii="Arial" w:hAnsi="Arial" w:cs="Arial"/>
              </w:rPr>
              <w:t xml:space="preserve">. </w:t>
            </w:r>
            <w:r w:rsidRPr="00857583">
              <w:rPr>
                <w:rFonts w:ascii="Arial" w:hAnsi="Arial" w:cs="Arial"/>
              </w:rPr>
              <w:t xml:space="preserve"> </w:t>
            </w:r>
          </w:p>
          <w:p w14:paraId="77DFD234" w14:textId="77777777" w:rsidR="008B3CEF" w:rsidRPr="003108F0" w:rsidRDefault="008B3CEF" w:rsidP="009B0847">
            <w:pPr>
              <w:jc w:val="both"/>
              <w:rPr>
                <w:rFonts w:ascii="Arial" w:hAnsi="Arial" w:cs="Arial"/>
              </w:rPr>
            </w:pPr>
            <w:r w:rsidRPr="003108F0">
              <w:rPr>
                <w:rFonts w:ascii="Arial" w:hAnsi="Arial" w:cs="Arial"/>
                <w:b/>
                <w:bCs/>
              </w:rPr>
              <w:t>Intervention</w:t>
            </w:r>
            <w:r w:rsidRPr="003108F0">
              <w:rPr>
                <w:rFonts w:ascii="Arial" w:hAnsi="Arial" w:cs="Arial"/>
              </w:rPr>
              <w:t>: Needle and syringe programs</w:t>
            </w:r>
          </w:p>
          <w:p w14:paraId="60901431" w14:textId="77777777" w:rsidR="008B3CEF" w:rsidRDefault="008B3CEF" w:rsidP="009B0847">
            <w:pPr>
              <w:jc w:val="both"/>
              <w:rPr>
                <w:rFonts w:ascii="Arial" w:hAnsi="Arial" w:cs="Arial"/>
              </w:rPr>
            </w:pPr>
            <w:r w:rsidRPr="003108F0">
              <w:rPr>
                <w:rFonts w:ascii="Arial" w:hAnsi="Arial" w:cs="Arial"/>
                <w:b/>
                <w:bCs/>
              </w:rPr>
              <w:t>Activities</w:t>
            </w:r>
            <w:r w:rsidRPr="003108F0">
              <w:rPr>
                <w:rFonts w:ascii="Arial" w:hAnsi="Arial" w:cs="Arial"/>
              </w:rPr>
              <w:t xml:space="preserve">: </w:t>
            </w:r>
            <w:r w:rsidRPr="00F04594">
              <w:rPr>
                <w:rFonts w:ascii="Arial" w:hAnsi="Arial" w:cs="Arial"/>
                <w:i/>
                <w:iCs/>
                <w:u w:val="single"/>
              </w:rPr>
              <w:t>PR-SC</w:t>
            </w:r>
            <w:r w:rsidRPr="0084133D">
              <w:rPr>
                <w:rFonts w:ascii="Arial" w:hAnsi="Arial" w:cs="Arial"/>
              </w:rPr>
              <w:t xml:space="preserve"> will distribute free Needle/Syringe from </w:t>
            </w:r>
            <w:r>
              <w:rPr>
                <w:rFonts w:ascii="Arial" w:hAnsi="Arial" w:cs="Arial"/>
              </w:rPr>
              <w:t>facilities</w:t>
            </w:r>
            <w:r w:rsidRPr="0084133D">
              <w:rPr>
                <w:rFonts w:ascii="Arial" w:hAnsi="Arial" w:cs="Arial"/>
              </w:rPr>
              <w:t xml:space="preserve"> (CDIC, DIC) and outreach through POW and mobile van</w:t>
            </w:r>
            <w:r>
              <w:rPr>
                <w:rFonts w:ascii="Arial" w:hAnsi="Arial" w:cs="Arial"/>
              </w:rPr>
              <w:t>s</w:t>
            </w:r>
            <w:r w:rsidRPr="0084133D">
              <w:rPr>
                <w:rFonts w:ascii="Arial" w:hAnsi="Arial" w:cs="Arial"/>
              </w:rPr>
              <w:t xml:space="preserve"> to 11,500 of PWID in eight districts. The program will also encourage PWID over time to use a single-unit needle and syringe, as “attached” units. Pilot will be done to see acceptance of dead space syringe. </w:t>
            </w:r>
            <w:r>
              <w:rPr>
                <w:rFonts w:ascii="Arial" w:hAnsi="Arial" w:cs="Arial"/>
              </w:rPr>
              <w:t>There will be c</w:t>
            </w:r>
            <w:r w:rsidRPr="0084133D">
              <w:rPr>
                <w:rFonts w:ascii="Arial" w:hAnsi="Arial" w:cs="Arial"/>
              </w:rPr>
              <w:t>ollection of used needle</w:t>
            </w:r>
            <w:r>
              <w:rPr>
                <w:rFonts w:ascii="Arial" w:hAnsi="Arial" w:cs="Arial"/>
              </w:rPr>
              <w:t xml:space="preserve">s and </w:t>
            </w:r>
            <w:r w:rsidRPr="0084133D">
              <w:rPr>
                <w:rFonts w:ascii="Arial" w:hAnsi="Arial" w:cs="Arial"/>
              </w:rPr>
              <w:t>syringe</w:t>
            </w:r>
            <w:r>
              <w:rPr>
                <w:rFonts w:ascii="Arial" w:hAnsi="Arial" w:cs="Arial"/>
              </w:rPr>
              <w:t>s</w:t>
            </w:r>
            <w:r w:rsidRPr="0084133D">
              <w:rPr>
                <w:rFonts w:ascii="Arial" w:hAnsi="Arial" w:cs="Arial"/>
              </w:rPr>
              <w:t xml:space="preserve"> through placement of waste-bin</w:t>
            </w:r>
            <w:r>
              <w:rPr>
                <w:rFonts w:ascii="Arial" w:hAnsi="Arial" w:cs="Arial"/>
              </w:rPr>
              <w:t>s</w:t>
            </w:r>
            <w:r w:rsidRPr="0084133D">
              <w:rPr>
                <w:rFonts w:ascii="Arial" w:hAnsi="Arial" w:cs="Arial"/>
              </w:rPr>
              <w:t xml:space="preserve"> at drug spots, </w:t>
            </w:r>
            <w:r>
              <w:rPr>
                <w:rFonts w:ascii="Arial" w:hAnsi="Arial" w:cs="Arial"/>
              </w:rPr>
              <w:t>and</w:t>
            </w:r>
            <w:r w:rsidRPr="0084133D">
              <w:rPr>
                <w:rFonts w:ascii="Arial" w:hAnsi="Arial" w:cs="Arial"/>
              </w:rPr>
              <w:t xml:space="preserve"> </w:t>
            </w:r>
            <w:r>
              <w:rPr>
                <w:rFonts w:ascii="Arial" w:hAnsi="Arial" w:cs="Arial"/>
              </w:rPr>
              <w:t xml:space="preserve">of </w:t>
            </w:r>
            <w:r w:rsidRPr="0084133D">
              <w:rPr>
                <w:rFonts w:ascii="Arial" w:hAnsi="Arial" w:cs="Arial"/>
              </w:rPr>
              <w:t>collection box</w:t>
            </w:r>
            <w:r>
              <w:rPr>
                <w:rFonts w:ascii="Arial" w:hAnsi="Arial" w:cs="Arial"/>
              </w:rPr>
              <w:t>es</w:t>
            </w:r>
            <w:r w:rsidRPr="0084133D">
              <w:rPr>
                <w:rFonts w:ascii="Arial" w:hAnsi="Arial" w:cs="Arial"/>
              </w:rPr>
              <w:t xml:space="preserve"> </w:t>
            </w:r>
            <w:r>
              <w:rPr>
                <w:rFonts w:ascii="Arial" w:hAnsi="Arial" w:cs="Arial"/>
              </w:rPr>
              <w:t>with</w:t>
            </w:r>
            <w:r w:rsidRPr="0084133D">
              <w:rPr>
                <w:rFonts w:ascii="Arial" w:hAnsi="Arial" w:cs="Arial"/>
              </w:rPr>
              <w:t xml:space="preserve"> the people around </w:t>
            </w:r>
            <w:r>
              <w:rPr>
                <w:rFonts w:ascii="Arial" w:hAnsi="Arial" w:cs="Arial"/>
              </w:rPr>
              <w:t xml:space="preserve">the </w:t>
            </w:r>
            <w:r w:rsidRPr="0084133D">
              <w:rPr>
                <w:rFonts w:ascii="Arial" w:hAnsi="Arial" w:cs="Arial"/>
              </w:rPr>
              <w:t>drug trade</w:t>
            </w:r>
            <w:r>
              <w:rPr>
                <w:rFonts w:ascii="Arial" w:hAnsi="Arial" w:cs="Arial"/>
              </w:rPr>
              <w:t xml:space="preserve"> (eg. pushers and peddlers) </w:t>
            </w:r>
            <w:r w:rsidRPr="0084133D">
              <w:rPr>
                <w:rFonts w:ascii="Arial" w:hAnsi="Arial" w:cs="Arial"/>
              </w:rPr>
              <w:t xml:space="preserve">in addition to the primary engagement of POW </w:t>
            </w:r>
            <w:r>
              <w:rPr>
                <w:rFonts w:ascii="Arial" w:hAnsi="Arial" w:cs="Arial"/>
              </w:rPr>
              <w:t>for</w:t>
            </w:r>
            <w:r w:rsidRPr="0084133D">
              <w:rPr>
                <w:rFonts w:ascii="Arial" w:hAnsi="Arial" w:cs="Arial"/>
              </w:rPr>
              <w:t xml:space="preserve"> this exchange program. </w:t>
            </w:r>
            <w:r>
              <w:rPr>
                <w:rFonts w:ascii="Arial" w:hAnsi="Arial" w:cs="Arial"/>
              </w:rPr>
              <w:t>Items for a</w:t>
            </w:r>
            <w:r w:rsidRPr="0084133D">
              <w:rPr>
                <w:rFonts w:ascii="Arial" w:hAnsi="Arial" w:cs="Arial"/>
              </w:rPr>
              <w:t>septic precautions, such as utility gloves, forceps and puncture-proof bags</w:t>
            </w:r>
            <w:r>
              <w:rPr>
                <w:rFonts w:ascii="Arial" w:hAnsi="Arial" w:cs="Arial"/>
              </w:rPr>
              <w:t>,</w:t>
            </w:r>
            <w:r w:rsidRPr="0084133D">
              <w:rPr>
                <w:rFonts w:ascii="Arial" w:hAnsi="Arial" w:cs="Arial"/>
              </w:rPr>
              <w:t xml:space="preserve"> will be supplied. POW </w:t>
            </w:r>
            <w:r>
              <w:rPr>
                <w:rFonts w:ascii="Arial" w:hAnsi="Arial" w:cs="Arial"/>
              </w:rPr>
              <w:t>to</w:t>
            </w:r>
            <w:r w:rsidRPr="0084133D">
              <w:rPr>
                <w:rFonts w:ascii="Arial" w:hAnsi="Arial" w:cs="Arial"/>
              </w:rPr>
              <w:t xml:space="preserve"> PWID ratio will be 1:45 </w:t>
            </w:r>
            <w:r>
              <w:rPr>
                <w:rFonts w:ascii="Arial" w:hAnsi="Arial" w:cs="Arial"/>
              </w:rPr>
              <w:t>in Dhaka. A</w:t>
            </w:r>
            <w:r w:rsidRPr="0084133D">
              <w:rPr>
                <w:rFonts w:ascii="Arial" w:hAnsi="Arial" w:cs="Arial"/>
              </w:rPr>
              <w:t xml:space="preserve">t </w:t>
            </w:r>
            <w:r>
              <w:rPr>
                <w:rFonts w:ascii="Arial" w:hAnsi="Arial" w:cs="Arial"/>
              </w:rPr>
              <w:t xml:space="preserve">the </w:t>
            </w:r>
            <w:r w:rsidRPr="0084133D">
              <w:rPr>
                <w:rFonts w:ascii="Arial" w:hAnsi="Arial" w:cs="Arial"/>
              </w:rPr>
              <w:t xml:space="preserve">most vulnerable locations of Dhaka (A1) </w:t>
            </w:r>
            <w:r>
              <w:rPr>
                <w:rFonts w:ascii="Arial" w:hAnsi="Arial" w:cs="Arial"/>
              </w:rPr>
              <w:t xml:space="preserve">there will be a </w:t>
            </w:r>
            <w:r w:rsidRPr="0084133D">
              <w:rPr>
                <w:rFonts w:ascii="Arial" w:hAnsi="Arial" w:cs="Arial"/>
              </w:rPr>
              <w:t xml:space="preserve">1:1 pairing </w:t>
            </w:r>
            <w:r>
              <w:rPr>
                <w:rFonts w:ascii="Arial" w:hAnsi="Arial" w:cs="Arial"/>
              </w:rPr>
              <w:t>of peer and</w:t>
            </w:r>
            <w:r w:rsidRPr="0084133D">
              <w:rPr>
                <w:rFonts w:ascii="Arial" w:hAnsi="Arial" w:cs="Arial"/>
              </w:rPr>
              <w:t xml:space="preserve"> non-peer outreach worker</w:t>
            </w:r>
            <w:r>
              <w:rPr>
                <w:rFonts w:ascii="Arial" w:hAnsi="Arial" w:cs="Arial"/>
              </w:rPr>
              <w:t xml:space="preserve">s. </w:t>
            </w:r>
            <w:r w:rsidRPr="0084133D">
              <w:rPr>
                <w:rFonts w:ascii="Arial" w:hAnsi="Arial" w:cs="Arial"/>
              </w:rPr>
              <w:t xml:space="preserve">POW </w:t>
            </w:r>
            <w:r>
              <w:rPr>
                <w:rFonts w:ascii="Arial" w:hAnsi="Arial" w:cs="Arial"/>
              </w:rPr>
              <w:t>to</w:t>
            </w:r>
            <w:r w:rsidRPr="0084133D">
              <w:rPr>
                <w:rFonts w:ascii="Arial" w:hAnsi="Arial" w:cs="Arial"/>
              </w:rPr>
              <w:t xml:space="preserve"> PWID ratio will be 1:65 for other districts.</w:t>
            </w:r>
          </w:p>
          <w:p w14:paraId="12638D05" w14:textId="77777777" w:rsidR="008B3CEF" w:rsidRDefault="008B3CEF" w:rsidP="009B0847">
            <w:pPr>
              <w:jc w:val="both"/>
              <w:rPr>
                <w:rFonts w:ascii="Arial" w:hAnsi="Arial" w:cs="Arial"/>
              </w:rPr>
            </w:pPr>
            <w:r w:rsidRPr="00844A0F">
              <w:rPr>
                <w:rFonts w:ascii="Arial" w:hAnsi="Arial" w:cs="Arial"/>
                <w:i/>
                <w:iCs/>
                <w:u w:val="single"/>
              </w:rPr>
              <w:t>PR-ASP</w:t>
            </w:r>
            <w:r w:rsidRPr="00844A0F">
              <w:rPr>
                <w:rFonts w:ascii="Arial" w:hAnsi="Arial" w:cs="Arial"/>
              </w:rPr>
              <w:t xml:space="preserve"> will provide service to 2,100 PWID in four districts (Chattogram, Jessore, Sirajgonj and Barisal). The target will be 80% of NSP targets for PWID of those four districts. NSEP will be conducted from government district hospitals and through outreach. Outreach services will be offered by Peer Educators (PE to PWID ratio 1: 130). Needles and syringes will be procured with funds under the OP. </w:t>
            </w:r>
          </w:p>
          <w:p w14:paraId="12F30C88" w14:textId="388EFB32" w:rsidR="008B3CEF" w:rsidRPr="003108F0" w:rsidRDefault="008B3CEF" w:rsidP="009B0847">
            <w:pPr>
              <w:jc w:val="both"/>
              <w:rPr>
                <w:rFonts w:ascii="Arial" w:hAnsi="Arial" w:cs="Arial"/>
              </w:rPr>
            </w:pPr>
            <w:r w:rsidRPr="003108F0">
              <w:rPr>
                <w:rFonts w:ascii="Arial" w:hAnsi="Arial" w:cs="Arial"/>
              </w:rPr>
              <w:t xml:space="preserve"> </w:t>
            </w:r>
            <w:r w:rsidRPr="003108F0">
              <w:rPr>
                <w:rFonts w:ascii="Arial" w:hAnsi="Arial" w:cs="Arial"/>
                <w:b/>
                <w:bCs/>
              </w:rPr>
              <w:t>Intervention</w:t>
            </w:r>
            <w:r w:rsidRPr="003108F0">
              <w:rPr>
                <w:rFonts w:ascii="Arial" w:hAnsi="Arial" w:cs="Arial"/>
              </w:rPr>
              <w:t>: Opioid substitution therapy (OST) and other medically assisted drug dependence treatment</w:t>
            </w:r>
          </w:p>
          <w:p w14:paraId="11346712" w14:textId="77777777" w:rsidR="008B3CEF" w:rsidRDefault="008B3CEF" w:rsidP="009B0847">
            <w:pPr>
              <w:jc w:val="both"/>
              <w:rPr>
                <w:rFonts w:ascii="Arial" w:hAnsi="Arial" w:cs="Arial"/>
              </w:rPr>
            </w:pPr>
            <w:r w:rsidRPr="003108F0">
              <w:rPr>
                <w:rFonts w:ascii="Arial" w:hAnsi="Arial" w:cs="Arial"/>
                <w:b/>
                <w:bCs/>
              </w:rPr>
              <w:t>Activities</w:t>
            </w:r>
            <w:r w:rsidRPr="003108F0">
              <w:rPr>
                <w:rFonts w:ascii="Arial" w:hAnsi="Arial" w:cs="Arial"/>
              </w:rPr>
              <w:t xml:space="preserve">: </w:t>
            </w:r>
            <w:r w:rsidRPr="00931B6F">
              <w:rPr>
                <w:rFonts w:ascii="Arial" w:hAnsi="Arial" w:cs="Arial"/>
              </w:rPr>
              <w:t xml:space="preserve">A total of 3,200 PWID will receive OST services from NGO-PRs. </w:t>
            </w:r>
            <w:r w:rsidRPr="004033C0">
              <w:rPr>
                <w:rFonts w:ascii="Arial" w:hAnsi="Arial" w:cs="Arial"/>
                <w:i/>
                <w:iCs/>
                <w:u w:val="single"/>
              </w:rPr>
              <w:t>PR-SC</w:t>
            </w:r>
            <w:r w:rsidRPr="00931B6F">
              <w:rPr>
                <w:rFonts w:ascii="Arial" w:hAnsi="Arial" w:cs="Arial"/>
              </w:rPr>
              <w:t xml:space="preserve"> will provide OST services to 2,600 PWID from 8 CDIC</w:t>
            </w:r>
            <w:r>
              <w:rPr>
                <w:rFonts w:ascii="Arial" w:hAnsi="Arial" w:cs="Arial"/>
              </w:rPr>
              <w:t>s</w:t>
            </w:r>
            <w:r w:rsidRPr="00931B6F">
              <w:rPr>
                <w:rFonts w:ascii="Arial" w:hAnsi="Arial" w:cs="Arial"/>
              </w:rPr>
              <w:t xml:space="preserve">, 2 OST centers at community level and 2 OST centers at government facilities [i.e. drug treatment center in Rajshahi, under </w:t>
            </w:r>
            <w:r>
              <w:rPr>
                <w:rFonts w:ascii="Arial" w:hAnsi="Arial" w:cs="Arial"/>
              </w:rPr>
              <w:t>the D</w:t>
            </w:r>
            <w:r w:rsidRPr="00931B6F">
              <w:rPr>
                <w:rFonts w:ascii="Arial" w:hAnsi="Arial" w:cs="Arial"/>
              </w:rPr>
              <w:t xml:space="preserve">epartment of </w:t>
            </w:r>
            <w:r>
              <w:rPr>
                <w:rFonts w:ascii="Arial" w:hAnsi="Arial" w:cs="Arial"/>
              </w:rPr>
              <w:t>N</w:t>
            </w:r>
            <w:r w:rsidRPr="00931B6F">
              <w:rPr>
                <w:rFonts w:ascii="Arial" w:hAnsi="Arial" w:cs="Arial"/>
              </w:rPr>
              <w:t xml:space="preserve">arcotic </w:t>
            </w:r>
            <w:r>
              <w:rPr>
                <w:rFonts w:ascii="Arial" w:hAnsi="Arial" w:cs="Arial"/>
              </w:rPr>
              <w:t>C</w:t>
            </w:r>
            <w:r w:rsidRPr="00931B6F">
              <w:rPr>
                <w:rFonts w:ascii="Arial" w:hAnsi="Arial" w:cs="Arial"/>
              </w:rPr>
              <w:t xml:space="preserve">ontrol (DNC) and Mohanagar General Hospital of Dhaka South </w:t>
            </w:r>
            <w:r>
              <w:rPr>
                <w:rFonts w:ascii="Arial" w:hAnsi="Arial" w:cs="Arial"/>
              </w:rPr>
              <w:t>C</w:t>
            </w:r>
            <w:r w:rsidRPr="00931B6F">
              <w:rPr>
                <w:rFonts w:ascii="Arial" w:hAnsi="Arial" w:cs="Arial"/>
              </w:rPr>
              <w:t>ity Corporation].</w:t>
            </w:r>
            <w:r>
              <w:rPr>
                <w:rFonts w:ascii="Arial" w:hAnsi="Arial" w:cs="Arial"/>
              </w:rPr>
              <w:t xml:space="preserve"> </w:t>
            </w:r>
            <w:r w:rsidRPr="00430BCD">
              <w:rPr>
                <w:rFonts w:ascii="Arial" w:hAnsi="Arial" w:cs="Arial"/>
              </w:rPr>
              <w:t xml:space="preserve">Importance will be given to enroll </w:t>
            </w:r>
            <w:r>
              <w:rPr>
                <w:rFonts w:ascii="Arial" w:hAnsi="Arial" w:cs="Arial"/>
              </w:rPr>
              <w:t>WWID</w:t>
            </w:r>
            <w:r w:rsidRPr="00430BCD">
              <w:rPr>
                <w:rFonts w:ascii="Arial" w:hAnsi="Arial" w:cs="Arial"/>
              </w:rPr>
              <w:t xml:space="preserve"> as well as those who are HIV positive. Appointment of clinical psychologist</w:t>
            </w:r>
            <w:r>
              <w:rPr>
                <w:rFonts w:ascii="Arial" w:hAnsi="Arial" w:cs="Arial"/>
              </w:rPr>
              <w:t>s</w:t>
            </w:r>
            <w:r w:rsidRPr="00430BCD">
              <w:rPr>
                <w:rFonts w:ascii="Arial" w:hAnsi="Arial" w:cs="Arial"/>
              </w:rPr>
              <w:t xml:space="preserve"> as counsellor</w:t>
            </w:r>
            <w:r>
              <w:rPr>
                <w:rFonts w:ascii="Arial" w:hAnsi="Arial" w:cs="Arial"/>
              </w:rPr>
              <w:t>s in addition to required physicians and nurses</w:t>
            </w:r>
            <w:r w:rsidRPr="00430BCD">
              <w:rPr>
                <w:rFonts w:ascii="Arial" w:hAnsi="Arial" w:cs="Arial"/>
              </w:rPr>
              <w:t xml:space="preserve">, </w:t>
            </w:r>
            <w:r>
              <w:rPr>
                <w:rFonts w:ascii="Arial" w:hAnsi="Arial" w:cs="Arial"/>
              </w:rPr>
              <w:t xml:space="preserve">ensuring </w:t>
            </w:r>
            <w:r w:rsidRPr="00430BCD">
              <w:rPr>
                <w:rFonts w:ascii="Arial" w:hAnsi="Arial" w:cs="Arial"/>
              </w:rPr>
              <w:t>take home dos</w:t>
            </w:r>
            <w:r>
              <w:rPr>
                <w:rFonts w:ascii="Arial" w:hAnsi="Arial" w:cs="Arial"/>
              </w:rPr>
              <w:t>age</w:t>
            </w:r>
            <w:r w:rsidRPr="00430BCD">
              <w:rPr>
                <w:rFonts w:ascii="Arial" w:hAnsi="Arial" w:cs="Arial"/>
              </w:rPr>
              <w:t>, set</w:t>
            </w:r>
            <w:r>
              <w:rPr>
                <w:rFonts w:ascii="Arial" w:hAnsi="Arial" w:cs="Arial"/>
              </w:rPr>
              <w:t xml:space="preserve">ting </w:t>
            </w:r>
            <w:r w:rsidRPr="00430BCD">
              <w:rPr>
                <w:rFonts w:ascii="Arial" w:hAnsi="Arial" w:cs="Arial"/>
              </w:rPr>
              <w:t>up satellite OST dispensing corner in other facilities, etc. will be arranged</w:t>
            </w:r>
            <w:r>
              <w:rPr>
                <w:rFonts w:ascii="Arial" w:hAnsi="Arial" w:cs="Arial"/>
              </w:rPr>
              <w:t>. R</w:t>
            </w:r>
            <w:r w:rsidRPr="00430BCD">
              <w:rPr>
                <w:rFonts w:ascii="Arial" w:hAnsi="Arial" w:cs="Arial"/>
              </w:rPr>
              <w:t>egular follow</w:t>
            </w:r>
            <w:r>
              <w:rPr>
                <w:rFonts w:ascii="Arial" w:hAnsi="Arial" w:cs="Arial"/>
              </w:rPr>
              <w:t>-</w:t>
            </w:r>
            <w:r w:rsidRPr="00430BCD">
              <w:rPr>
                <w:rFonts w:ascii="Arial" w:hAnsi="Arial" w:cs="Arial"/>
              </w:rPr>
              <w:t xml:space="preserve">up </w:t>
            </w:r>
            <w:r>
              <w:rPr>
                <w:rFonts w:ascii="Arial" w:hAnsi="Arial" w:cs="Arial"/>
              </w:rPr>
              <w:t>for</w:t>
            </w:r>
            <w:r w:rsidRPr="00430BCD">
              <w:rPr>
                <w:rFonts w:ascii="Arial" w:hAnsi="Arial" w:cs="Arial"/>
              </w:rPr>
              <w:t xml:space="preserve"> </w:t>
            </w:r>
            <w:r>
              <w:rPr>
                <w:rFonts w:ascii="Arial" w:hAnsi="Arial" w:cs="Arial"/>
              </w:rPr>
              <w:t>adherence and retention will be strengthened.</w:t>
            </w:r>
          </w:p>
          <w:p w14:paraId="2262D0B8" w14:textId="77777777" w:rsidR="008B3CEF" w:rsidRDefault="008B3CEF" w:rsidP="009B0847">
            <w:pPr>
              <w:jc w:val="both"/>
              <w:rPr>
                <w:rFonts w:ascii="Arial" w:hAnsi="Arial" w:cs="Arial"/>
              </w:rPr>
            </w:pPr>
            <w:r w:rsidRPr="001F35C6">
              <w:rPr>
                <w:rFonts w:ascii="Arial" w:hAnsi="Arial" w:cs="Arial"/>
                <w:i/>
                <w:iCs/>
                <w:u w:val="single"/>
              </w:rPr>
              <w:t>PR-icddr,b</w:t>
            </w:r>
            <w:r w:rsidRPr="00F01452">
              <w:rPr>
                <w:rFonts w:ascii="Arial" w:hAnsi="Arial" w:cs="Arial"/>
              </w:rPr>
              <w:t xml:space="preserve"> will provide OST services to 600 PWID from</w:t>
            </w:r>
            <w:r>
              <w:rPr>
                <w:rFonts w:ascii="Arial" w:hAnsi="Arial" w:cs="Arial"/>
              </w:rPr>
              <w:t xml:space="preserve"> the three</w:t>
            </w:r>
            <w:r w:rsidRPr="00F01452">
              <w:rPr>
                <w:rFonts w:ascii="Arial" w:hAnsi="Arial" w:cs="Arial"/>
              </w:rPr>
              <w:t xml:space="preserve"> </w:t>
            </w:r>
            <w:r>
              <w:rPr>
                <w:rFonts w:ascii="Arial" w:hAnsi="Arial" w:cs="Arial"/>
              </w:rPr>
              <w:t xml:space="preserve">existing </w:t>
            </w:r>
            <w:r w:rsidRPr="00F01452">
              <w:rPr>
                <w:rFonts w:ascii="Arial" w:hAnsi="Arial" w:cs="Arial"/>
              </w:rPr>
              <w:t>service centers</w:t>
            </w:r>
            <w:r>
              <w:rPr>
                <w:rFonts w:ascii="Arial" w:hAnsi="Arial" w:cs="Arial"/>
              </w:rPr>
              <w:t>;</w:t>
            </w:r>
            <w:r w:rsidRPr="00F01452">
              <w:rPr>
                <w:rFonts w:ascii="Arial" w:hAnsi="Arial" w:cs="Arial"/>
              </w:rPr>
              <w:t xml:space="preserve"> </w:t>
            </w:r>
            <w:r>
              <w:rPr>
                <w:rFonts w:ascii="Arial" w:hAnsi="Arial" w:cs="Arial"/>
              </w:rPr>
              <w:t xml:space="preserve">of which, </w:t>
            </w:r>
            <w:r w:rsidRPr="00F01452">
              <w:rPr>
                <w:rFonts w:ascii="Arial" w:hAnsi="Arial" w:cs="Arial"/>
              </w:rPr>
              <w:t xml:space="preserve">one </w:t>
            </w:r>
            <w:r>
              <w:rPr>
                <w:rFonts w:ascii="Arial" w:hAnsi="Arial" w:cs="Arial"/>
              </w:rPr>
              <w:t xml:space="preserve">is </w:t>
            </w:r>
            <w:r w:rsidRPr="00F01452">
              <w:rPr>
                <w:rFonts w:ascii="Arial" w:hAnsi="Arial" w:cs="Arial"/>
              </w:rPr>
              <w:t xml:space="preserve">located at </w:t>
            </w:r>
            <w:r>
              <w:rPr>
                <w:rFonts w:ascii="Arial" w:hAnsi="Arial" w:cs="Arial"/>
              </w:rPr>
              <w:t>the C</w:t>
            </w:r>
            <w:r w:rsidRPr="00F01452">
              <w:rPr>
                <w:rFonts w:ascii="Arial" w:hAnsi="Arial" w:cs="Arial"/>
              </w:rPr>
              <w:t xml:space="preserve">entral </w:t>
            </w:r>
            <w:r>
              <w:rPr>
                <w:rFonts w:ascii="Arial" w:hAnsi="Arial" w:cs="Arial"/>
              </w:rPr>
              <w:t>T</w:t>
            </w:r>
            <w:r w:rsidRPr="00F01452">
              <w:rPr>
                <w:rFonts w:ascii="Arial" w:hAnsi="Arial" w:cs="Arial"/>
              </w:rPr>
              <w:t xml:space="preserve">reatment </w:t>
            </w:r>
            <w:r>
              <w:rPr>
                <w:rFonts w:ascii="Arial" w:hAnsi="Arial" w:cs="Arial"/>
              </w:rPr>
              <w:t>C</w:t>
            </w:r>
            <w:r w:rsidRPr="00F01452">
              <w:rPr>
                <w:rFonts w:ascii="Arial" w:hAnsi="Arial" w:cs="Arial"/>
              </w:rPr>
              <w:t xml:space="preserve">enter, DNC, </w:t>
            </w:r>
            <w:r>
              <w:rPr>
                <w:rFonts w:ascii="Arial" w:hAnsi="Arial" w:cs="Arial"/>
              </w:rPr>
              <w:t>GoB,</w:t>
            </w:r>
            <w:r w:rsidRPr="00F01452">
              <w:rPr>
                <w:rFonts w:ascii="Arial" w:hAnsi="Arial" w:cs="Arial"/>
              </w:rPr>
              <w:t xml:space="preserve"> which has been rendering OST services since 2010.</w:t>
            </w:r>
            <w:r>
              <w:rPr>
                <w:rFonts w:ascii="Arial" w:hAnsi="Arial" w:cs="Arial"/>
              </w:rPr>
              <w:t xml:space="preserve"> </w:t>
            </w:r>
            <w:r w:rsidRPr="005C754A">
              <w:rPr>
                <w:rFonts w:ascii="Arial" w:hAnsi="Arial" w:cs="Arial"/>
              </w:rPr>
              <w:t xml:space="preserve">PR-icddr,b will provide methadone </w:t>
            </w:r>
            <w:r>
              <w:rPr>
                <w:rFonts w:ascii="Arial" w:hAnsi="Arial" w:cs="Arial"/>
              </w:rPr>
              <w:t xml:space="preserve">under the </w:t>
            </w:r>
            <w:r w:rsidRPr="005C754A">
              <w:rPr>
                <w:rFonts w:ascii="Arial" w:hAnsi="Arial" w:cs="Arial"/>
              </w:rPr>
              <w:t>supervis</w:t>
            </w:r>
            <w:r>
              <w:rPr>
                <w:rFonts w:ascii="Arial" w:hAnsi="Arial" w:cs="Arial"/>
              </w:rPr>
              <w:t xml:space="preserve">ion of </w:t>
            </w:r>
            <w:r w:rsidRPr="005C754A">
              <w:rPr>
                <w:rFonts w:ascii="Arial" w:hAnsi="Arial" w:cs="Arial"/>
              </w:rPr>
              <w:t>a team (a doctor, counselor, nurse) for quality of care in all of its setting</w:t>
            </w:r>
            <w:r>
              <w:rPr>
                <w:rFonts w:ascii="Arial" w:hAnsi="Arial" w:cs="Arial"/>
              </w:rPr>
              <w:t>s</w:t>
            </w:r>
            <w:r w:rsidRPr="005C754A">
              <w:rPr>
                <w:rFonts w:ascii="Arial" w:hAnsi="Arial" w:cs="Arial"/>
              </w:rPr>
              <w:t xml:space="preserve">. </w:t>
            </w:r>
          </w:p>
          <w:p w14:paraId="43EDD8A4" w14:textId="77777777" w:rsidR="008B3CEF" w:rsidRDefault="008B3CEF" w:rsidP="009B0847">
            <w:pPr>
              <w:jc w:val="both"/>
              <w:rPr>
                <w:rFonts w:ascii="Arial" w:hAnsi="Arial" w:cs="Arial"/>
              </w:rPr>
            </w:pPr>
            <w:r w:rsidRPr="005C754A">
              <w:rPr>
                <w:rFonts w:ascii="Arial" w:hAnsi="Arial" w:cs="Arial"/>
              </w:rPr>
              <w:t>Required quantity of methadone hydrochloride, general health drugs, and clinical consumables will be procured by respective PRs.</w:t>
            </w:r>
          </w:p>
          <w:p w14:paraId="1E812FDF" w14:textId="77777777" w:rsidR="008B3CEF" w:rsidRPr="003108F0" w:rsidRDefault="008B3CEF" w:rsidP="009B0847">
            <w:pPr>
              <w:jc w:val="both"/>
              <w:rPr>
                <w:rFonts w:ascii="Arial" w:hAnsi="Arial" w:cs="Arial"/>
              </w:rPr>
            </w:pPr>
            <w:r w:rsidRPr="003108F0">
              <w:rPr>
                <w:rFonts w:ascii="Arial" w:hAnsi="Arial" w:cs="Arial"/>
                <w:b/>
                <w:bCs/>
              </w:rPr>
              <w:t>Intervention</w:t>
            </w:r>
            <w:r w:rsidRPr="003108F0">
              <w:rPr>
                <w:rFonts w:ascii="Arial" w:hAnsi="Arial" w:cs="Arial"/>
              </w:rPr>
              <w:t>: Overdose prevention and management</w:t>
            </w:r>
          </w:p>
          <w:p w14:paraId="5D16317C" w14:textId="77777777" w:rsidR="008B3CEF" w:rsidRPr="001E322E" w:rsidRDefault="008B3CEF" w:rsidP="009B0847">
            <w:pPr>
              <w:jc w:val="both"/>
              <w:rPr>
                <w:rFonts w:ascii="Arial" w:hAnsi="Arial" w:cs="Arial"/>
              </w:rPr>
            </w:pPr>
            <w:r w:rsidRPr="003108F0">
              <w:rPr>
                <w:rFonts w:ascii="Arial" w:hAnsi="Arial" w:cs="Arial"/>
                <w:b/>
                <w:bCs/>
              </w:rPr>
              <w:t>Activities</w:t>
            </w:r>
            <w:r w:rsidRPr="003108F0">
              <w:rPr>
                <w:rFonts w:ascii="Arial" w:hAnsi="Arial" w:cs="Arial"/>
              </w:rPr>
              <w:t xml:space="preserve">: Specific IEC/BCC materials will be produced </w:t>
            </w:r>
            <w:r>
              <w:rPr>
                <w:rFonts w:ascii="Arial" w:hAnsi="Arial" w:cs="Arial"/>
              </w:rPr>
              <w:t xml:space="preserve">by </w:t>
            </w:r>
            <w:r w:rsidRPr="001E322E">
              <w:rPr>
                <w:rFonts w:ascii="Arial" w:hAnsi="Arial" w:cs="Arial"/>
                <w:i/>
                <w:iCs/>
                <w:u w:val="single"/>
              </w:rPr>
              <w:t>PR-SC</w:t>
            </w:r>
            <w:r>
              <w:rPr>
                <w:rFonts w:ascii="Arial" w:hAnsi="Arial" w:cs="Arial"/>
              </w:rPr>
              <w:t xml:space="preserve"> </w:t>
            </w:r>
            <w:r w:rsidRPr="003108F0">
              <w:rPr>
                <w:rFonts w:ascii="Arial" w:hAnsi="Arial" w:cs="Arial"/>
              </w:rPr>
              <w:t xml:space="preserve">to </w:t>
            </w:r>
            <w:r>
              <w:rPr>
                <w:rFonts w:ascii="Arial" w:hAnsi="Arial" w:cs="Arial"/>
              </w:rPr>
              <w:t xml:space="preserve">inform </w:t>
            </w:r>
            <w:r w:rsidRPr="003108F0">
              <w:rPr>
                <w:rFonts w:ascii="Arial" w:hAnsi="Arial" w:cs="Arial"/>
              </w:rPr>
              <w:t xml:space="preserve">the PWID on opioid overdose and its prevention. In addition, outreach staff, partners of sharing networks and their family members will </w:t>
            </w:r>
            <w:r>
              <w:rPr>
                <w:rFonts w:ascii="Arial" w:hAnsi="Arial" w:cs="Arial"/>
              </w:rPr>
              <w:t xml:space="preserve">receive </w:t>
            </w:r>
            <w:r w:rsidRPr="003108F0">
              <w:rPr>
                <w:rFonts w:ascii="Arial" w:hAnsi="Arial" w:cs="Arial"/>
              </w:rPr>
              <w:t>orient</w:t>
            </w:r>
            <w:r>
              <w:rPr>
                <w:rFonts w:ascii="Arial" w:hAnsi="Arial" w:cs="Arial"/>
              </w:rPr>
              <w:t>ation</w:t>
            </w:r>
            <w:r w:rsidRPr="003108F0">
              <w:rPr>
                <w:rFonts w:ascii="Arial" w:hAnsi="Arial" w:cs="Arial"/>
              </w:rPr>
              <w:t xml:space="preserve"> on the cause</w:t>
            </w:r>
            <w:r>
              <w:rPr>
                <w:rFonts w:ascii="Arial" w:hAnsi="Arial" w:cs="Arial"/>
              </w:rPr>
              <w:t>s</w:t>
            </w:r>
            <w:r w:rsidRPr="003108F0">
              <w:rPr>
                <w:rFonts w:ascii="Arial" w:hAnsi="Arial" w:cs="Arial"/>
              </w:rPr>
              <w:t xml:space="preserve"> </w:t>
            </w:r>
            <w:r>
              <w:rPr>
                <w:rFonts w:ascii="Arial" w:hAnsi="Arial" w:cs="Arial"/>
              </w:rPr>
              <w:t>and</w:t>
            </w:r>
            <w:r w:rsidRPr="003108F0">
              <w:rPr>
                <w:rFonts w:ascii="Arial" w:hAnsi="Arial" w:cs="Arial"/>
              </w:rPr>
              <w:t xml:space="preserve"> sign</w:t>
            </w:r>
            <w:r>
              <w:rPr>
                <w:rFonts w:ascii="Arial" w:hAnsi="Arial" w:cs="Arial"/>
              </w:rPr>
              <w:t>s</w:t>
            </w:r>
            <w:r w:rsidRPr="003108F0">
              <w:rPr>
                <w:rFonts w:ascii="Arial" w:hAnsi="Arial" w:cs="Arial"/>
              </w:rPr>
              <w:t xml:space="preserve"> of overdose and how to manage </w:t>
            </w:r>
            <w:r>
              <w:rPr>
                <w:rFonts w:ascii="Arial" w:hAnsi="Arial" w:cs="Arial"/>
              </w:rPr>
              <w:t xml:space="preserve">it </w:t>
            </w:r>
            <w:r w:rsidRPr="003108F0">
              <w:rPr>
                <w:rFonts w:ascii="Arial" w:hAnsi="Arial" w:cs="Arial"/>
              </w:rPr>
              <w:t xml:space="preserve">at community and at home. Referral network with nearby government health facilities will also be strengthened for </w:t>
            </w:r>
            <w:r w:rsidRPr="001E322E">
              <w:rPr>
                <w:rFonts w:ascii="Arial" w:hAnsi="Arial" w:cs="Arial"/>
              </w:rPr>
              <w:t xml:space="preserve">overdose management. </w:t>
            </w:r>
          </w:p>
          <w:p w14:paraId="37755A15" w14:textId="77777777" w:rsidR="008B3CEF" w:rsidRDefault="008B3CEF" w:rsidP="009B0847">
            <w:pPr>
              <w:jc w:val="both"/>
              <w:rPr>
                <w:rFonts w:ascii="Arial" w:hAnsi="Arial" w:cs="Arial"/>
              </w:rPr>
            </w:pPr>
            <w:r w:rsidRPr="001E322E">
              <w:rPr>
                <w:rFonts w:ascii="Arial" w:hAnsi="Arial" w:cs="Arial"/>
                <w:i/>
                <w:iCs/>
                <w:u w:val="single"/>
              </w:rPr>
              <w:t xml:space="preserve">Under PR-ASP </w:t>
            </w:r>
            <w:r w:rsidRPr="001E322E">
              <w:rPr>
                <w:rFonts w:ascii="Arial" w:hAnsi="Arial" w:cs="Arial"/>
              </w:rPr>
              <w:t>hospital-based physicians and counselors will be trained on overdose management to provide services to the PWID.</w:t>
            </w:r>
          </w:p>
          <w:p w14:paraId="244CDB0B" w14:textId="77777777" w:rsidR="008B3CEF" w:rsidRPr="003108F0" w:rsidRDefault="008B3CEF" w:rsidP="009B0847">
            <w:pPr>
              <w:jc w:val="both"/>
              <w:rPr>
                <w:rFonts w:ascii="Arial" w:hAnsi="Arial" w:cs="Arial"/>
              </w:rPr>
            </w:pPr>
            <w:r w:rsidRPr="003108F0">
              <w:rPr>
                <w:rFonts w:ascii="Arial" w:hAnsi="Arial" w:cs="Arial"/>
                <w:b/>
                <w:bCs/>
              </w:rPr>
              <w:t>Intervention</w:t>
            </w:r>
            <w:r w:rsidRPr="003108F0">
              <w:rPr>
                <w:rFonts w:ascii="Arial" w:hAnsi="Arial" w:cs="Arial"/>
              </w:rPr>
              <w:t>: Condom and lubricant programing</w:t>
            </w:r>
          </w:p>
          <w:p w14:paraId="337C00C0" w14:textId="77777777" w:rsidR="008B3CEF" w:rsidRPr="003108F0" w:rsidRDefault="008B3CEF" w:rsidP="009B0847">
            <w:pPr>
              <w:jc w:val="both"/>
              <w:rPr>
                <w:rFonts w:ascii="Arial" w:hAnsi="Arial" w:cs="Arial"/>
              </w:rPr>
            </w:pPr>
            <w:r w:rsidRPr="003108F0">
              <w:rPr>
                <w:rFonts w:ascii="Arial" w:hAnsi="Arial" w:cs="Arial"/>
                <w:b/>
                <w:bCs/>
              </w:rPr>
              <w:t>Activities</w:t>
            </w:r>
            <w:r w:rsidRPr="003108F0">
              <w:rPr>
                <w:rFonts w:ascii="Arial" w:hAnsi="Arial" w:cs="Arial"/>
              </w:rPr>
              <w:t xml:space="preserve">: </w:t>
            </w:r>
            <w:r>
              <w:rPr>
                <w:rFonts w:ascii="Arial" w:hAnsi="Arial" w:cs="Arial"/>
              </w:rPr>
              <w:t>Free distribution of condoms will</w:t>
            </w:r>
            <w:r w:rsidRPr="003108F0">
              <w:rPr>
                <w:rFonts w:ascii="Arial" w:hAnsi="Arial" w:cs="Arial"/>
              </w:rPr>
              <w:t xml:space="preserve"> </w:t>
            </w:r>
            <w:r>
              <w:rPr>
                <w:rFonts w:ascii="Arial" w:hAnsi="Arial" w:cs="Arial"/>
              </w:rPr>
              <w:t xml:space="preserve">be strengthened as per </w:t>
            </w:r>
            <w:r w:rsidRPr="003108F0">
              <w:rPr>
                <w:rFonts w:ascii="Arial" w:hAnsi="Arial" w:cs="Arial"/>
              </w:rPr>
              <w:t>the needs of PWID through peer outreach workers</w:t>
            </w:r>
            <w:r>
              <w:rPr>
                <w:rFonts w:ascii="Arial" w:hAnsi="Arial" w:cs="Arial"/>
              </w:rPr>
              <w:t xml:space="preserve">, </w:t>
            </w:r>
            <w:r w:rsidRPr="003108F0">
              <w:rPr>
                <w:rFonts w:ascii="Arial" w:hAnsi="Arial" w:cs="Arial"/>
              </w:rPr>
              <w:t>mobile van</w:t>
            </w:r>
            <w:r>
              <w:rPr>
                <w:rFonts w:ascii="Arial" w:hAnsi="Arial" w:cs="Arial"/>
              </w:rPr>
              <w:t>s</w:t>
            </w:r>
            <w:r w:rsidRPr="003108F0">
              <w:rPr>
                <w:rFonts w:ascii="Arial" w:hAnsi="Arial" w:cs="Arial"/>
              </w:rPr>
              <w:t xml:space="preserve"> and from DIC/CDIC and outlet</w:t>
            </w:r>
            <w:r>
              <w:rPr>
                <w:rFonts w:ascii="Arial" w:hAnsi="Arial" w:cs="Arial"/>
              </w:rPr>
              <w:t xml:space="preserve"> by </w:t>
            </w:r>
            <w:r w:rsidRPr="00EE491C">
              <w:rPr>
                <w:rFonts w:ascii="Arial" w:hAnsi="Arial" w:cs="Arial"/>
                <w:i/>
                <w:iCs/>
                <w:u w:val="single"/>
              </w:rPr>
              <w:t>PR-SC</w:t>
            </w:r>
            <w:r w:rsidRPr="003108F0">
              <w:rPr>
                <w:rFonts w:ascii="Arial" w:hAnsi="Arial" w:cs="Arial"/>
              </w:rPr>
              <w:t>.</w:t>
            </w:r>
          </w:p>
          <w:p w14:paraId="373591BA" w14:textId="77777777" w:rsidR="008B3CEF" w:rsidRPr="00EE491C" w:rsidRDefault="008B3CEF" w:rsidP="009B0847">
            <w:pPr>
              <w:jc w:val="both"/>
              <w:rPr>
                <w:rFonts w:ascii="Arial" w:hAnsi="Arial" w:cs="Arial"/>
              </w:rPr>
            </w:pPr>
            <w:r w:rsidRPr="001E322E">
              <w:rPr>
                <w:rFonts w:ascii="Arial" w:hAnsi="Arial" w:cs="Arial"/>
                <w:i/>
                <w:iCs/>
                <w:u w:val="single"/>
              </w:rPr>
              <w:t xml:space="preserve">Under PR-ASP </w:t>
            </w:r>
            <w:r w:rsidRPr="00EE491C">
              <w:rPr>
                <w:rFonts w:ascii="Arial" w:hAnsi="Arial" w:cs="Arial"/>
              </w:rPr>
              <w:t xml:space="preserve">free condoms will be available at the hospitals and, through peer educators, at outreach sites for PWID. Procurement will be under OP funds. Promotional activities using IEC/ BCC tools will also be conducted to promote condom use.   </w:t>
            </w:r>
          </w:p>
          <w:p w14:paraId="1987CFAA" w14:textId="77777777" w:rsidR="008B3CEF" w:rsidRPr="003108F0" w:rsidRDefault="008B3CEF" w:rsidP="009B0847">
            <w:pPr>
              <w:jc w:val="both"/>
              <w:rPr>
                <w:rFonts w:ascii="Arial" w:hAnsi="Arial" w:cs="Arial"/>
              </w:rPr>
            </w:pPr>
            <w:r w:rsidRPr="003108F0">
              <w:rPr>
                <w:rFonts w:ascii="Arial" w:hAnsi="Arial" w:cs="Arial"/>
                <w:b/>
                <w:bCs/>
              </w:rPr>
              <w:t>Intervention</w:t>
            </w:r>
            <w:r w:rsidRPr="003108F0">
              <w:rPr>
                <w:rFonts w:ascii="Arial" w:hAnsi="Arial" w:cs="Arial"/>
              </w:rPr>
              <w:t>: Behavior change interventions</w:t>
            </w:r>
          </w:p>
          <w:p w14:paraId="0A365C0B" w14:textId="77777777" w:rsidR="008B3CEF" w:rsidRPr="00134D09" w:rsidRDefault="008B3CEF" w:rsidP="009B0847">
            <w:pPr>
              <w:jc w:val="both"/>
              <w:rPr>
                <w:rFonts w:ascii="Arial" w:hAnsi="Arial" w:cs="Arial"/>
              </w:rPr>
            </w:pPr>
            <w:r w:rsidRPr="003108F0">
              <w:rPr>
                <w:rFonts w:ascii="Arial" w:hAnsi="Arial" w:cs="Arial"/>
                <w:b/>
                <w:bCs/>
              </w:rPr>
              <w:t>Activities</w:t>
            </w:r>
            <w:r w:rsidRPr="003108F0">
              <w:rPr>
                <w:rFonts w:ascii="Arial" w:hAnsi="Arial" w:cs="Arial"/>
              </w:rPr>
              <w:t xml:space="preserve">: </w:t>
            </w:r>
            <w:r w:rsidRPr="00EE491C">
              <w:rPr>
                <w:rFonts w:ascii="Arial" w:hAnsi="Arial" w:cs="Arial"/>
                <w:i/>
                <w:iCs/>
                <w:u w:val="single"/>
              </w:rPr>
              <w:t>PR-SC</w:t>
            </w:r>
            <w:r>
              <w:rPr>
                <w:rFonts w:ascii="Arial" w:hAnsi="Arial" w:cs="Arial"/>
              </w:rPr>
              <w:t xml:space="preserve"> will apply the following t</w:t>
            </w:r>
            <w:r w:rsidRPr="00FB0A6B">
              <w:rPr>
                <w:rFonts w:ascii="Arial" w:hAnsi="Arial" w:cs="Arial"/>
              </w:rPr>
              <w:t xml:space="preserve">hree approaches </w:t>
            </w:r>
            <w:r w:rsidRPr="00B13F8F">
              <w:rPr>
                <w:rFonts w:ascii="Arial" w:hAnsi="Arial" w:cs="Arial"/>
              </w:rPr>
              <w:t xml:space="preserve">for behavioral change of PWID </w:t>
            </w:r>
            <w:r>
              <w:rPr>
                <w:rFonts w:ascii="Arial" w:hAnsi="Arial" w:cs="Arial"/>
              </w:rPr>
              <w:t xml:space="preserve">around using of </w:t>
            </w:r>
            <w:r w:rsidRPr="00B13F8F">
              <w:rPr>
                <w:rFonts w:ascii="Arial" w:hAnsi="Arial" w:cs="Arial"/>
              </w:rPr>
              <w:t>sterile needle</w:t>
            </w:r>
            <w:r>
              <w:rPr>
                <w:rFonts w:ascii="Arial" w:hAnsi="Arial" w:cs="Arial"/>
              </w:rPr>
              <w:t>s</w:t>
            </w:r>
            <w:r w:rsidRPr="00B13F8F">
              <w:rPr>
                <w:rFonts w:ascii="Arial" w:hAnsi="Arial" w:cs="Arial"/>
              </w:rPr>
              <w:t>-syringe</w:t>
            </w:r>
            <w:r>
              <w:rPr>
                <w:rFonts w:ascii="Arial" w:hAnsi="Arial" w:cs="Arial"/>
              </w:rPr>
              <w:t xml:space="preserve">s; </w:t>
            </w:r>
            <w:r w:rsidRPr="00B13F8F">
              <w:rPr>
                <w:rFonts w:ascii="Arial" w:hAnsi="Arial" w:cs="Arial"/>
              </w:rPr>
              <w:t>reduc</w:t>
            </w:r>
            <w:r>
              <w:rPr>
                <w:rFonts w:ascii="Arial" w:hAnsi="Arial" w:cs="Arial"/>
              </w:rPr>
              <w:t>ing</w:t>
            </w:r>
            <w:r w:rsidRPr="00B13F8F">
              <w:rPr>
                <w:rFonts w:ascii="Arial" w:hAnsi="Arial" w:cs="Arial"/>
              </w:rPr>
              <w:t xml:space="preserve"> sharing</w:t>
            </w:r>
            <w:r>
              <w:rPr>
                <w:rFonts w:ascii="Arial" w:hAnsi="Arial" w:cs="Arial"/>
              </w:rPr>
              <w:t>;</w:t>
            </w:r>
            <w:r w:rsidRPr="00B13F8F">
              <w:rPr>
                <w:rFonts w:ascii="Arial" w:hAnsi="Arial" w:cs="Arial"/>
              </w:rPr>
              <w:t xml:space="preserve"> </w:t>
            </w:r>
            <w:r>
              <w:rPr>
                <w:rFonts w:ascii="Arial" w:hAnsi="Arial" w:cs="Arial"/>
              </w:rPr>
              <w:t xml:space="preserve">exchanging used needles-syringes; using condoms; and availing </w:t>
            </w:r>
            <w:r w:rsidRPr="00B13F8F">
              <w:rPr>
                <w:rFonts w:ascii="Arial" w:hAnsi="Arial" w:cs="Arial"/>
              </w:rPr>
              <w:t xml:space="preserve">OST, HTS, ART, </w:t>
            </w:r>
            <w:r>
              <w:rPr>
                <w:rFonts w:ascii="Arial" w:hAnsi="Arial" w:cs="Arial"/>
              </w:rPr>
              <w:t>c</w:t>
            </w:r>
            <w:r w:rsidRPr="00B13F8F">
              <w:rPr>
                <w:rFonts w:ascii="Arial" w:hAnsi="Arial" w:cs="Arial"/>
              </w:rPr>
              <w:t>o-infection</w:t>
            </w:r>
            <w:r>
              <w:rPr>
                <w:rFonts w:ascii="Arial" w:hAnsi="Arial" w:cs="Arial"/>
              </w:rPr>
              <w:t xml:space="preserve"> management</w:t>
            </w:r>
            <w:r w:rsidRPr="00B13F8F">
              <w:rPr>
                <w:rFonts w:ascii="Arial" w:hAnsi="Arial" w:cs="Arial"/>
              </w:rPr>
              <w:t>, overdose</w:t>
            </w:r>
            <w:r>
              <w:rPr>
                <w:rFonts w:ascii="Arial" w:hAnsi="Arial" w:cs="Arial"/>
              </w:rPr>
              <w:t xml:space="preserve"> management</w:t>
            </w:r>
            <w:r w:rsidRPr="00B13F8F">
              <w:rPr>
                <w:rFonts w:ascii="Arial" w:hAnsi="Arial" w:cs="Arial"/>
              </w:rPr>
              <w:t>, and SRH</w:t>
            </w:r>
            <w:r>
              <w:rPr>
                <w:rFonts w:ascii="Arial" w:hAnsi="Arial" w:cs="Arial"/>
              </w:rPr>
              <w:t xml:space="preserve"> services </w:t>
            </w:r>
            <w:r w:rsidRPr="00FB0A6B">
              <w:rPr>
                <w:rFonts w:ascii="Arial" w:hAnsi="Arial" w:cs="Arial"/>
              </w:rPr>
              <w:t xml:space="preserve">– </w:t>
            </w:r>
            <w:r w:rsidRPr="00BC1449">
              <w:rPr>
                <w:rFonts w:ascii="Arial" w:hAnsi="Arial" w:cs="Arial"/>
              </w:rPr>
              <w:t>1) One to one and group sessions using appropriate IEC materials; 2) Social interaction with friends, family and the community through games, theater, creative works</w:t>
            </w:r>
            <w:r>
              <w:rPr>
                <w:rFonts w:ascii="Arial" w:hAnsi="Arial" w:cs="Arial"/>
              </w:rPr>
              <w:t xml:space="preserve"> (eg. </w:t>
            </w:r>
            <w:r w:rsidRPr="00BC1449">
              <w:rPr>
                <w:rFonts w:ascii="Arial" w:hAnsi="Arial" w:cs="Arial"/>
              </w:rPr>
              <w:t>developing products</w:t>
            </w:r>
            <w:r>
              <w:rPr>
                <w:rFonts w:ascii="Arial" w:hAnsi="Arial" w:cs="Arial"/>
              </w:rPr>
              <w:t>)</w:t>
            </w:r>
            <w:r w:rsidRPr="00BC1449">
              <w:rPr>
                <w:rFonts w:ascii="Arial" w:hAnsi="Arial" w:cs="Arial"/>
              </w:rPr>
              <w:t>, social networks (offline and online)</w:t>
            </w:r>
            <w:r>
              <w:rPr>
                <w:rFonts w:ascii="Arial" w:hAnsi="Arial" w:cs="Arial"/>
              </w:rPr>
              <w:t xml:space="preserve">, </w:t>
            </w:r>
            <w:r w:rsidRPr="00BC1449">
              <w:rPr>
                <w:rFonts w:ascii="Arial" w:hAnsi="Arial" w:cs="Arial"/>
              </w:rPr>
              <w:t>local level sensitization and advocacy</w:t>
            </w:r>
            <w:r>
              <w:rPr>
                <w:rFonts w:ascii="Arial" w:hAnsi="Arial" w:cs="Arial"/>
              </w:rPr>
              <w:t>;</w:t>
            </w:r>
            <w:r w:rsidRPr="00BC1449">
              <w:rPr>
                <w:rFonts w:ascii="Arial" w:hAnsi="Arial" w:cs="Arial"/>
              </w:rPr>
              <w:t xml:space="preserve"> 3) </w:t>
            </w:r>
            <w:r>
              <w:rPr>
                <w:rFonts w:ascii="Arial" w:hAnsi="Arial" w:cs="Arial"/>
              </w:rPr>
              <w:t>L</w:t>
            </w:r>
            <w:r w:rsidRPr="00B13F8F">
              <w:rPr>
                <w:rFonts w:ascii="Arial" w:hAnsi="Arial" w:cs="Arial"/>
              </w:rPr>
              <w:t xml:space="preserve">ife skill development </w:t>
            </w:r>
            <w:r>
              <w:rPr>
                <w:rFonts w:ascii="Arial" w:hAnsi="Arial" w:cs="Arial"/>
              </w:rPr>
              <w:t xml:space="preserve">for </w:t>
            </w:r>
            <w:r w:rsidRPr="00B13F8F">
              <w:rPr>
                <w:rFonts w:ascii="Arial" w:hAnsi="Arial" w:cs="Arial"/>
              </w:rPr>
              <w:t xml:space="preserve">better quality and </w:t>
            </w:r>
            <w:r w:rsidRPr="00134D09">
              <w:rPr>
                <w:rFonts w:ascii="Arial" w:hAnsi="Arial" w:cs="Arial"/>
              </w:rPr>
              <w:t xml:space="preserve">healthy living. Capacity will be development for accessing social justice and public facilities especially for health care. </w:t>
            </w:r>
          </w:p>
          <w:p w14:paraId="6275B6B6" w14:textId="77777777" w:rsidR="008B3CEF" w:rsidRDefault="008B3CEF" w:rsidP="009B0847">
            <w:pPr>
              <w:jc w:val="both"/>
            </w:pPr>
            <w:r w:rsidRPr="00134D09">
              <w:rPr>
                <w:rFonts w:ascii="Arial" w:hAnsi="Arial" w:cs="Arial"/>
                <w:i/>
                <w:iCs/>
                <w:u w:val="single"/>
              </w:rPr>
              <w:t>Under PR-ASP</w:t>
            </w:r>
            <w:r w:rsidRPr="00134D09">
              <w:rPr>
                <w:rFonts w:ascii="Arial" w:hAnsi="Arial" w:cs="Arial"/>
              </w:rPr>
              <w:t xml:space="preserve"> hospital-based counselors will counsel PWID to change their risk behavior. Peer Educators will conduct one to one and group sessions at the field level using IEC/ BCC materials</w:t>
            </w:r>
            <w:r w:rsidRPr="00134D09">
              <w:t>.</w:t>
            </w:r>
            <w:r>
              <w:t xml:space="preserve">   </w:t>
            </w:r>
          </w:p>
          <w:p w14:paraId="6D2E716A" w14:textId="77777777" w:rsidR="008B3CEF" w:rsidRPr="003108F0" w:rsidRDefault="008B3CEF" w:rsidP="009B0847">
            <w:pPr>
              <w:jc w:val="both"/>
              <w:rPr>
                <w:rFonts w:ascii="Arial" w:hAnsi="Arial" w:cs="Arial"/>
              </w:rPr>
            </w:pPr>
            <w:r w:rsidRPr="003108F0">
              <w:rPr>
                <w:rFonts w:ascii="Arial" w:hAnsi="Arial" w:cs="Arial"/>
                <w:b/>
                <w:bCs/>
              </w:rPr>
              <w:t>Intervention</w:t>
            </w:r>
            <w:r w:rsidRPr="003108F0">
              <w:rPr>
                <w:rFonts w:ascii="Arial" w:hAnsi="Arial" w:cs="Arial"/>
              </w:rPr>
              <w:t>: Addressing stigma, discrimination and violence</w:t>
            </w:r>
          </w:p>
          <w:p w14:paraId="29C1E705" w14:textId="77777777" w:rsidR="008B3CEF" w:rsidRPr="00D4005C" w:rsidRDefault="008B3CEF" w:rsidP="009B0847">
            <w:pPr>
              <w:jc w:val="both"/>
              <w:rPr>
                <w:rFonts w:ascii="Arial" w:hAnsi="Arial" w:cs="Arial"/>
              </w:rPr>
            </w:pPr>
            <w:r w:rsidRPr="003108F0">
              <w:rPr>
                <w:rFonts w:ascii="Arial" w:hAnsi="Arial" w:cs="Arial"/>
                <w:b/>
                <w:bCs/>
              </w:rPr>
              <w:t>Activities</w:t>
            </w:r>
            <w:r w:rsidRPr="003108F0">
              <w:rPr>
                <w:rFonts w:ascii="Arial" w:hAnsi="Arial" w:cs="Arial"/>
              </w:rPr>
              <w:t xml:space="preserve">: </w:t>
            </w:r>
            <w:r w:rsidRPr="00134D09">
              <w:rPr>
                <w:rFonts w:ascii="Arial" w:hAnsi="Arial" w:cs="Arial"/>
                <w:i/>
                <w:iCs/>
                <w:u w:val="single"/>
              </w:rPr>
              <w:t>PR-SC</w:t>
            </w:r>
            <w:r>
              <w:rPr>
                <w:rFonts w:ascii="Arial" w:hAnsi="Arial" w:cs="Arial"/>
              </w:rPr>
              <w:t xml:space="preserve"> will engage the c</w:t>
            </w:r>
            <w:r w:rsidRPr="003108F0">
              <w:rPr>
                <w:rFonts w:ascii="Arial" w:hAnsi="Arial" w:cs="Arial"/>
              </w:rPr>
              <w:t xml:space="preserve">ommunity and its network </w:t>
            </w:r>
            <w:r>
              <w:rPr>
                <w:rFonts w:ascii="Arial" w:hAnsi="Arial" w:cs="Arial"/>
              </w:rPr>
              <w:t xml:space="preserve">in </w:t>
            </w:r>
            <w:r w:rsidRPr="003108F0">
              <w:rPr>
                <w:rFonts w:ascii="Arial" w:hAnsi="Arial" w:cs="Arial"/>
              </w:rPr>
              <w:t>advoca</w:t>
            </w:r>
            <w:r>
              <w:rPr>
                <w:rFonts w:ascii="Arial" w:hAnsi="Arial" w:cs="Arial"/>
              </w:rPr>
              <w:t>cy</w:t>
            </w:r>
            <w:r w:rsidRPr="003108F0">
              <w:rPr>
                <w:rFonts w:ascii="Arial" w:hAnsi="Arial" w:cs="Arial"/>
              </w:rPr>
              <w:t xml:space="preserve"> </w:t>
            </w:r>
            <w:r>
              <w:rPr>
                <w:rFonts w:ascii="Arial" w:hAnsi="Arial" w:cs="Arial"/>
              </w:rPr>
              <w:t xml:space="preserve">with </w:t>
            </w:r>
            <w:r w:rsidRPr="003108F0">
              <w:rPr>
                <w:rFonts w:ascii="Arial" w:hAnsi="Arial" w:cs="Arial"/>
              </w:rPr>
              <w:t xml:space="preserve">local </w:t>
            </w:r>
            <w:r w:rsidRPr="00D4005C">
              <w:rPr>
                <w:rFonts w:ascii="Arial" w:hAnsi="Arial" w:cs="Arial"/>
              </w:rPr>
              <w:t xml:space="preserve">leaders and law enforcers for reduction of violence. To support the victim, functional linkage will be established with human rights organizations both at central and district level. Strategy document, manual/guidelines, training modules, BCC materials, etc. will be developed to build staff capacity. Systematic recording, reporting and response mechanism will be built. </w:t>
            </w:r>
          </w:p>
          <w:p w14:paraId="0EC879DE" w14:textId="77777777" w:rsidR="008B3CEF" w:rsidRDefault="008B3CEF" w:rsidP="009B0847">
            <w:pPr>
              <w:jc w:val="both"/>
              <w:rPr>
                <w:rFonts w:ascii="Arial" w:hAnsi="Arial" w:cs="Arial"/>
              </w:rPr>
            </w:pPr>
            <w:r w:rsidRPr="00D4005C">
              <w:rPr>
                <w:rFonts w:ascii="Arial" w:hAnsi="Arial" w:cs="Arial"/>
                <w:i/>
                <w:iCs/>
                <w:u w:val="single"/>
              </w:rPr>
              <w:t>PR-ASP</w:t>
            </w:r>
            <w:r w:rsidRPr="00D4005C">
              <w:rPr>
                <w:rFonts w:ascii="Arial" w:hAnsi="Arial" w:cs="Arial"/>
              </w:rPr>
              <w:t xml:space="preserve"> will arrange workshops, orientations and meetings at the hospital premises with hospital-based service providers and officials from other relevant entities including social welfare, law enforcement, DNC, rehab centers, district administration etc. under the leadership of Hospital Superintendent/Civil Surgeon to reduce the stigma and discrimination. Violence and discrimination reports (as recorded by NGOs or CBOs) will be shared in the meetings for way forward.</w:t>
            </w:r>
          </w:p>
          <w:p w14:paraId="34F12C87" w14:textId="77777777" w:rsidR="008B3CEF" w:rsidRPr="003108F0" w:rsidRDefault="008B3CEF" w:rsidP="009B0847">
            <w:pPr>
              <w:jc w:val="both"/>
              <w:rPr>
                <w:rFonts w:ascii="Arial" w:hAnsi="Arial" w:cs="Arial"/>
              </w:rPr>
            </w:pPr>
            <w:r w:rsidRPr="003108F0">
              <w:rPr>
                <w:rFonts w:ascii="Arial" w:hAnsi="Arial" w:cs="Arial"/>
                <w:b/>
                <w:bCs/>
              </w:rPr>
              <w:t>Intervention</w:t>
            </w:r>
            <w:r w:rsidRPr="003108F0">
              <w:rPr>
                <w:rFonts w:ascii="Arial" w:hAnsi="Arial" w:cs="Arial"/>
              </w:rPr>
              <w:t>: Community Empowerment</w:t>
            </w:r>
          </w:p>
          <w:p w14:paraId="2345F5AF" w14:textId="77777777" w:rsidR="008B3CEF" w:rsidRDefault="008B3CEF" w:rsidP="009B0847">
            <w:pPr>
              <w:jc w:val="both"/>
              <w:rPr>
                <w:rFonts w:ascii="Arial" w:hAnsi="Arial" w:cs="Arial"/>
              </w:rPr>
            </w:pPr>
            <w:r w:rsidRPr="003108F0">
              <w:rPr>
                <w:rFonts w:ascii="Arial" w:hAnsi="Arial" w:cs="Arial"/>
                <w:b/>
                <w:bCs/>
              </w:rPr>
              <w:t>Activities</w:t>
            </w:r>
            <w:r w:rsidRPr="003108F0">
              <w:rPr>
                <w:rFonts w:ascii="Arial" w:hAnsi="Arial" w:cs="Arial"/>
              </w:rPr>
              <w:t xml:space="preserve">: PWID and their community will </w:t>
            </w:r>
            <w:r>
              <w:rPr>
                <w:rFonts w:ascii="Arial" w:hAnsi="Arial" w:cs="Arial"/>
              </w:rPr>
              <w:t xml:space="preserve">have better access to </w:t>
            </w:r>
            <w:r w:rsidRPr="003108F0">
              <w:rPr>
                <w:rFonts w:ascii="Arial" w:hAnsi="Arial" w:cs="Arial"/>
              </w:rPr>
              <w:t>basic rights, such as, shelter, health and livelihood. Job opportunity for OST receivers will be created through linkage with corporate agencies under its</w:t>
            </w:r>
            <w:r>
              <w:rPr>
                <w:rFonts w:ascii="Arial" w:hAnsi="Arial" w:cs="Arial"/>
              </w:rPr>
              <w:t>’</w:t>
            </w:r>
            <w:r w:rsidRPr="003108F0">
              <w:rPr>
                <w:rFonts w:ascii="Arial" w:hAnsi="Arial" w:cs="Arial"/>
              </w:rPr>
              <w:t xml:space="preserve"> corporate social responsibility or government social safety-net scheme</w:t>
            </w:r>
            <w:r>
              <w:rPr>
                <w:rFonts w:ascii="Arial" w:hAnsi="Arial" w:cs="Arial"/>
              </w:rPr>
              <w:t>s</w:t>
            </w:r>
            <w:r w:rsidRPr="003108F0">
              <w:rPr>
                <w:rFonts w:ascii="Arial" w:hAnsi="Arial" w:cs="Arial"/>
              </w:rPr>
              <w:t xml:space="preserve">. Community network and </w:t>
            </w:r>
            <w:r>
              <w:rPr>
                <w:rFonts w:ascii="Arial" w:hAnsi="Arial" w:cs="Arial"/>
              </w:rPr>
              <w:t>its</w:t>
            </w:r>
            <w:r w:rsidRPr="003108F0">
              <w:rPr>
                <w:rFonts w:ascii="Arial" w:hAnsi="Arial" w:cs="Arial"/>
              </w:rPr>
              <w:t xml:space="preserve"> member organization</w:t>
            </w:r>
            <w:r>
              <w:rPr>
                <w:rFonts w:ascii="Arial" w:hAnsi="Arial" w:cs="Arial"/>
              </w:rPr>
              <w:t>s</w:t>
            </w:r>
            <w:r w:rsidRPr="003108F0">
              <w:rPr>
                <w:rFonts w:ascii="Arial" w:hAnsi="Arial" w:cs="Arial"/>
              </w:rPr>
              <w:t xml:space="preserve"> will be engaged </w:t>
            </w:r>
            <w:r>
              <w:rPr>
                <w:rFonts w:ascii="Arial" w:hAnsi="Arial" w:cs="Arial"/>
              </w:rPr>
              <w:t xml:space="preserve">in </w:t>
            </w:r>
            <w:r w:rsidRPr="003108F0">
              <w:rPr>
                <w:rFonts w:ascii="Arial" w:hAnsi="Arial" w:cs="Arial"/>
              </w:rPr>
              <w:t>issue-based advocacy to reduce stigma</w:t>
            </w:r>
            <w:r>
              <w:rPr>
                <w:rFonts w:ascii="Arial" w:hAnsi="Arial" w:cs="Arial"/>
              </w:rPr>
              <w:t xml:space="preserve"> and</w:t>
            </w:r>
            <w:r w:rsidRPr="003108F0">
              <w:rPr>
                <w:rFonts w:ascii="Arial" w:hAnsi="Arial" w:cs="Arial"/>
              </w:rPr>
              <w:t xml:space="preserve"> discrimination and to address human rights issues with regional and national policymakers. </w:t>
            </w:r>
            <w:r>
              <w:rPr>
                <w:rFonts w:ascii="Arial" w:hAnsi="Arial" w:cs="Arial"/>
              </w:rPr>
              <w:t>A</w:t>
            </w:r>
            <w:r w:rsidRPr="003108F0">
              <w:rPr>
                <w:rFonts w:ascii="Arial" w:hAnsi="Arial" w:cs="Arial"/>
              </w:rPr>
              <w:t xml:space="preserve"> taskforce at local level will be formed</w:t>
            </w:r>
            <w:r>
              <w:rPr>
                <w:rFonts w:ascii="Arial" w:hAnsi="Arial" w:cs="Arial"/>
              </w:rPr>
              <w:t>,</w:t>
            </w:r>
            <w:r w:rsidRPr="003108F0">
              <w:rPr>
                <w:rFonts w:ascii="Arial" w:hAnsi="Arial" w:cs="Arial"/>
              </w:rPr>
              <w:t xml:space="preserve"> headed by law enforcers</w:t>
            </w:r>
            <w:r>
              <w:rPr>
                <w:rFonts w:ascii="Arial" w:hAnsi="Arial" w:cs="Arial"/>
              </w:rPr>
              <w:t>,</w:t>
            </w:r>
            <w:r w:rsidRPr="003108F0">
              <w:rPr>
                <w:rFonts w:ascii="Arial" w:hAnsi="Arial" w:cs="Arial"/>
              </w:rPr>
              <w:t xml:space="preserve"> to support harm reduction interventions.</w:t>
            </w:r>
          </w:p>
          <w:p w14:paraId="67148202" w14:textId="77777777" w:rsidR="008B3CEF" w:rsidRPr="003108F0" w:rsidRDefault="008B3CEF" w:rsidP="009B0847">
            <w:pPr>
              <w:jc w:val="both"/>
              <w:rPr>
                <w:rFonts w:ascii="Arial" w:hAnsi="Arial" w:cs="Arial"/>
              </w:rPr>
            </w:pPr>
            <w:r w:rsidRPr="003108F0">
              <w:rPr>
                <w:rFonts w:ascii="Arial" w:hAnsi="Arial" w:cs="Arial"/>
                <w:b/>
                <w:bCs/>
              </w:rPr>
              <w:t>Intervention</w:t>
            </w:r>
            <w:r w:rsidRPr="003108F0">
              <w:rPr>
                <w:rFonts w:ascii="Arial" w:hAnsi="Arial" w:cs="Arial"/>
              </w:rPr>
              <w:t>: Prevention and management of co-infections and co-morbidities</w:t>
            </w:r>
          </w:p>
          <w:p w14:paraId="18CC666A" w14:textId="77777777" w:rsidR="008B3CEF" w:rsidRPr="00267690" w:rsidRDefault="008B3CEF" w:rsidP="009B0847">
            <w:pPr>
              <w:jc w:val="both"/>
              <w:rPr>
                <w:rFonts w:ascii="Arial" w:hAnsi="Arial" w:cs="Arial"/>
              </w:rPr>
            </w:pPr>
            <w:r w:rsidRPr="003108F0">
              <w:rPr>
                <w:rFonts w:ascii="Arial" w:hAnsi="Arial" w:cs="Arial"/>
                <w:b/>
                <w:bCs/>
              </w:rPr>
              <w:t>Activities</w:t>
            </w:r>
            <w:r w:rsidRPr="003108F0">
              <w:rPr>
                <w:rFonts w:ascii="Arial" w:hAnsi="Arial" w:cs="Arial"/>
              </w:rPr>
              <w:t xml:space="preserve">: </w:t>
            </w:r>
            <w:r>
              <w:rPr>
                <w:rFonts w:ascii="Arial" w:hAnsi="Arial" w:cs="Arial"/>
              </w:rPr>
              <w:t>E</w:t>
            </w:r>
            <w:r w:rsidRPr="003108F0">
              <w:rPr>
                <w:rFonts w:ascii="Arial" w:hAnsi="Arial" w:cs="Arial"/>
              </w:rPr>
              <w:t>mphasis will be given for screening, diagnosis and treatment of TB</w:t>
            </w:r>
            <w:r>
              <w:rPr>
                <w:rFonts w:ascii="Arial" w:hAnsi="Arial" w:cs="Arial"/>
              </w:rPr>
              <w:t xml:space="preserve"> by </w:t>
            </w:r>
            <w:r w:rsidRPr="00AA1960">
              <w:rPr>
                <w:rFonts w:ascii="Arial" w:hAnsi="Arial" w:cs="Arial"/>
                <w:i/>
                <w:iCs/>
                <w:u w:val="single"/>
              </w:rPr>
              <w:t>PR-SC</w:t>
            </w:r>
            <w:r w:rsidRPr="003108F0">
              <w:rPr>
                <w:rFonts w:ascii="Arial" w:hAnsi="Arial" w:cs="Arial"/>
              </w:rPr>
              <w:t xml:space="preserve">. Initial verbal screening for TB will be done </w:t>
            </w:r>
            <w:r w:rsidRPr="00267690">
              <w:rPr>
                <w:rFonts w:ascii="Arial" w:hAnsi="Arial" w:cs="Arial"/>
              </w:rPr>
              <w:t>at CDIC/DIC/Outlet and suspected cases will be referred to Govt./NGO facilities for further investigation and management. IEC/BCC materials specific to TB will be used.</w:t>
            </w:r>
          </w:p>
          <w:p w14:paraId="7481A242" w14:textId="512D7449" w:rsidR="008B3CEF" w:rsidRPr="00267690" w:rsidRDefault="008B3CEF" w:rsidP="009B0847">
            <w:pPr>
              <w:jc w:val="both"/>
              <w:rPr>
                <w:rFonts w:ascii="Arial" w:hAnsi="Arial" w:cs="Arial"/>
              </w:rPr>
            </w:pPr>
            <w:r w:rsidRPr="00267690">
              <w:rPr>
                <w:rFonts w:ascii="Arial" w:hAnsi="Arial" w:cs="Arial"/>
                <w:i/>
                <w:iCs/>
                <w:u w:val="single"/>
              </w:rPr>
              <w:t>PR-ASP</w:t>
            </w:r>
            <w:r w:rsidRPr="00267690">
              <w:rPr>
                <w:rFonts w:ascii="Arial" w:hAnsi="Arial" w:cs="Arial"/>
              </w:rPr>
              <w:t xml:space="preserve"> will be screening the co-morbidities including TB and HCV among the PWID and refer the cases to respective departments for treatment. The hospital-based MO will ensure follow up services for the referred cases. </w:t>
            </w:r>
          </w:p>
          <w:p w14:paraId="625FD652" w14:textId="77777777" w:rsidR="008B3CEF" w:rsidRPr="003108F0" w:rsidRDefault="008B3CEF" w:rsidP="009B0847">
            <w:pPr>
              <w:jc w:val="both"/>
              <w:rPr>
                <w:rFonts w:ascii="Arial" w:hAnsi="Arial" w:cs="Arial"/>
              </w:rPr>
            </w:pPr>
            <w:r w:rsidRPr="003108F0">
              <w:rPr>
                <w:rFonts w:ascii="Arial" w:hAnsi="Arial" w:cs="Arial"/>
                <w:b/>
                <w:bCs/>
              </w:rPr>
              <w:t>Interventions</w:t>
            </w:r>
            <w:r w:rsidRPr="003108F0">
              <w:rPr>
                <w:rFonts w:ascii="Arial" w:hAnsi="Arial" w:cs="Arial"/>
              </w:rPr>
              <w:t xml:space="preserve">: Sexual and reproductive health </w:t>
            </w:r>
            <w:r>
              <w:rPr>
                <w:rFonts w:ascii="Arial" w:hAnsi="Arial" w:cs="Arial"/>
              </w:rPr>
              <w:t xml:space="preserve">(SRH) </w:t>
            </w:r>
            <w:r w:rsidRPr="003108F0">
              <w:rPr>
                <w:rFonts w:ascii="Arial" w:hAnsi="Arial" w:cs="Arial"/>
              </w:rPr>
              <w:t>services, including STIs</w:t>
            </w:r>
          </w:p>
          <w:p w14:paraId="11ADFABB" w14:textId="77777777" w:rsidR="008B3CEF" w:rsidRPr="00672F3C" w:rsidRDefault="008B3CEF" w:rsidP="009B0847">
            <w:pPr>
              <w:jc w:val="both"/>
              <w:rPr>
                <w:rFonts w:ascii="Arial" w:hAnsi="Arial" w:cs="Arial"/>
                <w:b/>
                <w:bCs/>
              </w:rPr>
            </w:pPr>
            <w:r w:rsidRPr="003108F0">
              <w:rPr>
                <w:rFonts w:ascii="Arial" w:hAnsi="Arial" w:cs="Arial"/>
                <w:b/>
                <w:bCs/>
              </w:rPr>
              <w:t>Activities</w:t>
            </w:r>
            <w:r w:rsidRPr="003108F0">
              <w:rPr>
                <w:rFonts w:ascii="Arial" w:hAnsi="Arial" w:cs="Arial"/>
              </w:rPr>
              <w:t xml:space="preserve">: Comprehensive SRH services will be provided to PWID, specially to </w:t>
            </w:r>
            <w:r>
              <w:rPr>
                <w:rFonts w:ascii="Arial" w:hAnsi="Arial" w:cs="Arial"/>
              </w:rPr>
              <w:t>W</w:t>
            </w:r>
            <w:r w:rsidRPr="003108F0">
              <w:rPr>
                <w:rFonts w:ascii="Arial" w:hAnsi="Arial" w:cs="Arial"/>
              </w:rPr>
              <w:t>WID</w:t>
            </w:r>
            <w:r>
              <w:rPr>
                <w:rFonts w:ascii="Arial" w:hAnsi="Arial" w:cs="Arial"/>
              </w:rPr>
              <w:t xml:space="preserve"> by </w:t>
            </w:r>
            <w:r w:rsidRPr="00DC5C7E">
              <w:rPr>
                <w:rFonts w:ascii="Arial" w:hAnsi="Arial" w:cs="Arial"/>
                <w:i/>
                <w:iCs/>
                <w:u w:val="single"/>
              </w:rPr>
              <w:t>PR-SC</w:t>
            </w:r>
            <w:r w:rsidRPr="003108F0">
              <w:rPr>
                <w:rFonts w:ascii="Arial" w:hAnsi="Arial" w:cs="Arial"/>
              </w:rPr>
              <w:t xml:space="preserve">. Syndromic management of STIs will be provided by </w:t>
            </w:r>
            <w:r>
              <w:rPr>
                <w:rFonts w:ascii="Arial" w:hAnsi="Arial" w:cs="Arial"/>
              </w:rPr>
              <w:t xml:space="preserve">a </w:t>
            </w:r>
            <w:r w:rsidRPr="003108F0">
              <w:rPr>
                <w:rFonts w:ascii="Arial" w:hAnsi="Arial" w:cs="Arial"/>
              </w:rPr>
              <w:t xml:space="preserve">medical team. Etiological management of STIs will be linked at government/semi-government/NGO health facilities. PWID with psycho-sexual disorders will be counselled and referred to government facilities. Continuous capacity building and supportive supervision of the service providers on SRH will be ensured through formal and on-the-job </w:t>
            </w:r>
            <w:r w:rsidRPr="00672F3C">
              <w:rPr>
                <w:rFonts w:ascii="Arial" w:hAnsi="Arial" w:cs="Arial"/>
              </w:rPr>
              <w:t xml:space="preserve">training. </w:t>
            </w:r>
          </w:p>
          <w:p w14:paraId="5A78A3D6" w14:textId="77777777" w:rsidR="008B3CEF" w:rsidRPr="003108F0" w:rsidRDefault="008B3CEF" w:rsidP="009B0847">
            <w:pPr>
              <w:jc w:val="both"/>
              <w:rPr>
                <w:rFonts w:ascii="Arial" w:hAnsi="Arial" w:cs="Arial"/>
              </w:rPr>
            </w:pPr>
            <w:r w:rsidRPr="00672F3C">
              <w:rPr>
                <w:rFonts w:ascii="Arial" w:hAnsi="Arial" w:cs="Arial"/>
                <w:i/>
                <w:iCs/>
                <w:u w:val="single"/>
              </w:rPr>
              <w:t>Under PR-ASP</w:t>
            </w:r>
            <w:r w:rsidRPr="00672F3C">
              <w:rPr>
                <w:rFonts w:ascii="Arial" w:hAnsi="Arial" w:cs="Arial"/>
              </w:rPr>
              <w:t xml:space="preserve"> hospital-based centers will provide SRH services for PWID. At least once in the year health checkup will be conducted. Medical officer, counselor and officials of other departments (if required) will ensure the health services for the PWID. Enabling environment will be ensured for the KPs in hospitals. Required drugs will be available with the OP fund.</w:t>
            </w:r>
          </w:p>
        </w:tc>
      </w:tr>
      <w:tr w:rsidR="008B3CEF" w:rsidRPr="003108F0" w14:paraId="6747A0B6" w14:textId="77777777" w:rsidTr="00263BA7">
        <w:trPr>
          <w:trHeight w:val="288"/>
        </w:trPr>
        <w:tc>
          <w:tcPr>
            <w:tcW w:w="1119" w:type="pct"/>
            <w:shd w:val="clear" w:color="auto" w:fill="F2F2F2"/>
            <w:vAlign w:val="center"/>
          </w:tcPr>
          <w:p w14:paraId="5B685FAC" w14:textId="77777777" w:rsidR="008B3CEF" w:rsidRPr="003108F0" w:rsidRDefault="008B3CEF" w:rsidP="009B0847">
            <w:pPr>
              <w:rPr>
                <w:rFonts w:ascii="Arial" w:hAnsi="Arial" w:cs="Arial"/>
                <w:b/>
              </w:rPr>
            </w:pPr>
            <w:r w:rsidRPr="003108F0">
              <w:rPr>
                <w:rFonts w:ascii="Arial" w:hAnsi="Arial" w:cs="Arial"/>
                <w:b/>
              </w:rPr>
              <w:t>Priority Population(s)</w:t>
            </w:r>
          </w:p>
        </w:tc>
        <w:tc>
          <w:tcPr>
            <w:tcW w:w="3881" w:type="pct"/>
          </w:tcPr>
          <w:p w14:paraId="4E2B1EC1" w14:textId="77777777" w:rsidR="008B3CEF" w:rsidRPr="003108F0" w:rsidRDefault="008B3CEF" w:rsidP="009B0847">
            <w:pPr>
              <w:rPr>
                <w:rFonts w:ascii="Arial" w:hAnsi="Arial" w:cs="Arial"/>
              </w:rPr>
            </w:pPr>
            <w:r w:rsidRPr="003108F0">
              <w:rPr>
                <w:rFonts w:ascii="Arial" w:hAnsi="Arial" w:cs="Arial"/>
              </w:rPr>
              <w:t>People who inject drugs and their partners</w:t>
            </w:r>
          </w:p>
        </w:tc>
      </w:tr>
      <w:tr w:rsidR="008B3CEF" w:rsidRPr="003108F0" w14:paraId="144F38F4" w14:textId="77777777" w:rsidTr="00263BA7">
        <w:trPr>
          <w:trHeight w:val="288"/>
        </w:trPr>
        <w:tc>
          <w:tcPr>
            <w:tcW w:w="1119" w:type="pct"/>
            <w:shd w:val="clear" w:color="auto" w:fill="F2F2F2"/>
            <w:vAlign w:val="center"/>
          </w:tcPr>
          <w:p w14:paraId="41ED54B6" w14:textId="77777777" w:rsidR="008B3CEF" w:rsidRPr="003108F0" w:rsidRDefault="008B3CEF" w:rsidP="009B0847">
            <w:pPr>
              <w:rPr>
                <w:rFonts w:ascii="Arial" w:hAnsi="Arial" w:cs="Arial"/>
                <w:b/>
              </w:rPr>
            </w:pPr>
            <w:r w:rsidRPr="003108F0">
              <w:rPr>
                <w:rFonts w:ascii="Arial" w:hAnsi="Arial" w:cs="Arial"/>
                <w:b/>
              </w:rPr>
              <w:t>Barriers and Inequities</w:t>
            </w:r>
          </w:p>
        </w:tc>
        <w:tc>
          <w:tcPr>
            <w:tcW w:w="3881" w:type="pct"/>
          </w:tcPr>
          <w:p w14:paraId="48D7A7DA" w14:textId="77777777" w:rsidR="008B3CEF" w:rsidRPr="003108F0" w:rsidRDefault="008B3CEF" w:rsidP="009B0847">
            <w:pPr>
              <w:jc w:val="both"/>
              <w:rPr>
                <w:rFonts w:ascii="Arial" w:hAnsi="Arial" w:cs="Arial"/>
              </w:rPr>
            </w:pPr>
            <w:r w:rsidRPr="003108F0">
              <w:rPr>
                <w:rFonts w:ascii="Arial" w:hAnsi="Arial" w:cs="Arial"/>
              </w:rPr>
              <w:t xml:space="preserve">Injecting drug-use is considered a socially-deviant behaviour in Bangladesh. Stigma associated with </w:t>
            </w:r>
            <w:r>
              <w:rPr>
                <w:rFonts w:ascii="Arial" w:hAnsi="Arial" w:cs="Arial"/>
              </w:rPr>
              <w:t xml:space="preserve">this practice </w:t>
            </w:r>
            <w:r w:rsidRPr="003108F0">
              <w:rPr>
                <w:rFonts w:ascii="Arial" w:hAnsi="Arial" w:cs="Arial"/>
              </w:rPr>
              <w:t xml:space="preserve">has a negative impact on the social acceptance and job opportunities </w:t>
            </w:r>
            <w:r>
              <w:rPr>
                <w:rFonts w:ascii="Arial" w:hAnsi="Arial" w:cs="Arial"/>
              </w:rPr>
              <w:t xml:space="preserve">for PWID; </w:t>
            </w:r>
            <w:r w:rsidRPr="003108F0">
              <w:rPr>
                <w:rFonts w:ascii="Arial" w:hAnsi="Arial" w:cs="Arial"/>
              </w:rPr>
              <w:t xml:space="preserve">hindering their rehabilitation </w:t>
            </w:r>
            <w:r>
              <w:rPr>
                <w:rFonts w:ascii="Arial" w:hAnsi="Arial" w:cs="Arial"/>
              </w:rPr>
              <w:t xml:space="preserve">and reintegration </w:t>
            </w:r>
            <w:r w:rsidRPr="003108F0">
              <w:rPr>
                <w:rFonts w:ascii="Arial" w:hAnsi="Arial" w:cs="Arial"/>
              </w:rPr>
              <w:t>into the community</w:t>
            </w:r>
            <w:r>
              <w:rPr>
                <w:rFonts w:ascii="Arial" w:hAnsi="Arial" w:cs="Arial"/>
              </w:rPr>
              <w:t>.</w:t>
            </w:r>
            <w:r w:rsidRPr="003108F0">
              <w:rPr>
                <w:rFonts w:ascii="Arial" w:hAnsi="Arial" w:cs="Arial"/>
              </w:rPr>
              <w:t xml:space="preserve"> [11, page 591]. According to the Narcotics Control Act </w:t>
            </w:r>
            <w:r>
              <w:rPr>
                <w:rFonts w:ascii="Arial" w:hAnsi="Arial" w:cs="Arial"/>
              </w:rPr>
              <w:t xml:space="preserve">(NCA) </w:t>
            </w:r>
            <w:r w:rsidRPr="003108F0">
              <w:rPr>
                <w:rFonts w:ascii="Arial" w:hAnsi="Arial" w:cs="Arial"/>
              </w:rPr>
              <w:t xml:space="preserve">1990, possession of tools used for taking drugs </w:t>
            </w:r>
            <w:r>
              <w:rPr>
                <w:rFonts w:ascii="Arial" w:hAnsi="Arial" w:cs="Arial"/>
              </w:rPr>
              <w:t xml:space="preserve">is </w:t>
            </w:r>
            <w:r w:rsidRPr="003108F0">
              <w:rPr>
                <w:rFonts w:ascii="Arial" w:hAnsi="Arial" w:cs="Arial"/>
              </w:rPr>
              <w:t>punishable with a minimum imprisonment for six months. The newly amended law in the NCA 2018 imposes the death penalty or life-term imprisonment on drug traders, restricting their release from punishment for such crimes.</w:t>
            </w:r>
          </w:p>
        </w:tc>
      </w:tr>
      <w:tr w:rsidR="008B3CEF" w:rsidRPr="003108F0" w14:paraId="25247BE8" w14:textId="77777777" w:rsidTr="00263BA7">
        <w:trPr>
          <w:trHeight w:val="288"/>
        </w:trPr>
        <w:tc>
          <w:tcPr>
            <w:tcW w:w="1119" w:type="pct"/>
            <w:shd w:val="clear" w:color="auto" w:fill="F2F2F2"/>
            <w:vAlign w:val="center"/>
          </w:tcPr>
          <w:p w14:paraId="3E48AB8D" w14:textId="77777777" w:rsidR="008B3CEF" w:rsidRPr="003108F0" w:rsidRDefault="008B3CEF" w:rsidP="009B0847">
            <w:pPr>
              <w:rPr>
                <w:rFonts w:ascii="Arial" w:hAnsi="Arial" w:cs="Arial"/>
                <w:b/>
              </w:rPr>
            </w:pPr>
            <w:r w:rsidRPr="003108F0">
              <w:rPr>
                <w:rFonts w:ascii="Arial" w:hAnsi="Arial" w:cs="Arial"/>
                <w:b/>
              </w:rPr>
              <w:t>Rationale</w:t>
            </w:r>
          </w:p>
        </w:tc>
        <w:tc>
          <w:tcPr>
            <w:tcW w:w="3881" w:type="pct"/>
          </w:tcPr>
          <w:p w14:paraId="04EA21EF" w14:textId="77777777" w:rsidR="008B3CEF" w:rsidRPr="003108F0" w:rsidRDefault="008B3CEF" w:rsidP="009B0847">
            <w:pPr>
              <w:jc w:val="both"/>
              <w:rPr>
                <w:rFonts w:ascii="Arial" w:hAnsi="Arial" w:cs="Arial"/>
              </w:rPr>
            </w:pPr>
            <w:r w:rsidRPr="003108F0">
              <w:rPr>
                <w:rFonts w:ascii="Arial" w:hAnsi="Arial" w:cs="Arial"/>
              </w:rPr>
              <w:t>The programmatic data of 2019 shows</w:t>
            </w:r>
            <w:r>
              <w:rPr>
                <w:rFonts w:ascii="Arial" w:hAnsi="Arial" w:cs="Arial"/>
              </w:rPr>
              <w:t xml:space="preserve"> that, </w:t>
            </w:r>
            <w:r w:rsidRPr="003108F0">
              <w:rPr>
                <w:rFonts w:ascii="Arial" w:hAnsi="Arial" w:cs="Arial"/>
              </w:rPr>
              <w:t>among the KPs</w:t>
            </w:r>
            <w:r>
              <w:rPr>
                <w:rFonts w:ascii="Arial" w:hAnsi="Arial" w:cs="Arial"/>
              </w:rPr>
              <w:t>,</w:t>
            </w:r>
            <w:r w:rsidRPr="003108F0">
              <w:rPr>
                <w:rFonts w:ascii="Arial" w:hAnsi="Arial" w:cs="Arial"/>
              </w:rPr>
              <w:t xml:space="preserve"> PWID </w:t>
            </w:r>
            <w:r>
              <w:rPr>
                <w:rFonts w:ascii="Arial" w:hAnsi="Arial" w:cs="Arial"/>
              </w:rPr>
              <w:t xml:space="preserve">share the major proportion of newly detected </w:t>
            </w:r>
            <w:r w:rsidRPr="003108F0">
              <w:rPr>
                <w:rFonts w:ascii="Arial" w:hAnsi="Arial" w:cs="Arial"/>
              </w:rPr>
              <w:t>HIV infection</w:t>
            </w:r>
            <w:r>
              <w:rPr>
                <w:rFonts w:ascii="Arial" w:hAnsi="Arial" w:cs="Arial"/>
              </w:rPr>
              <w:t>s,</w:t>
            </w:r>
            <w:r w:rsidRPr="003108F0">
              <w:rPr>
                <w:rFonts w:ascii="Arial" w:hAnsi="Arial" w:cs="Arial"/>
              </w:rPr>
              <w:t xml:space="preserve"> </w:t>
            </w:r>
            <w:r>
              <w:rPr>
                <w:rFonts w:ascii="Arial" w:hAnsi="Arial" w:cs="Arial"/>
              </w:rPr>
              <w:t>ie.</w:t>
            </w:r>
            <w:r w:rsidRPr="003108F0">
              <w:rPr>
                <w:rFonts w:ascii="Arial" w:hAnsi="Arial" w:cs="Arial"/>
              </w:rPr>
              <w:t xml:space="preserve"> 24% of </w:t>
            </w:r>
            <w:r>
              <w:rPr>
                <w:rFonts w:ascii="Arial" w:hAnsi="Arial" w:cs="Arial"/>
              </w:rPr>
              <w:t xml:space="preserve">the </w:t>
            </w:r>
            <w:r w:rsidRPr="003108F0">
              <w:rPr>
                <w:rFonts w:ascii="Arial" w:hAnsi="Arial" w:cs="Arial"/>
              </w:rPr>
              <w:t xml:space="preserve">newly detected 919 cases in 2019 [14, slide 10]. HIV is now no longer restricted to </w:t>
            </w:r>
            <w:r>
              <w:rPr>
                <w:rFonts w:ascii="Arial" w:hAnsi="Arial" w:cs="Arial"/>
              </w:rPr>
              <w:t>M</w:t>
            </w:r>
            <w:r w:rsidRPr="003108F0">
              <w:rPr>
                <w:rFonts w:ascii="Arial" w:hAnsi="Arial" w:cs="Arial"/>
              </w:rPr>
              <w:t xml:space="preserve">WID within </w:t>
            </w:r>
            <w:r>
              <w:rPr>
                <w:rFonts w:ascii="Arial" w:hAnsi="Arial" w:cs="Arial"/>
              </w:rPr>
              <w:t xml:space="preserve">a pocket in Dhaka (A1) but </w:t>
            </w:r>
            <w:r w:rsidRPr="003108F0">
              <w:rPr>
                <w:rFonts w:ascii="Arial" w:hAnsi="Arial" w:cs="Arial"/>
              </w:rPr>
              <w:t xml:space="preserve">has spread to </w:t>
            </w:r>
            <w:r>
              <w:rPr>
                <w:rFonts w:ascii="Arial" w:hAnsi="Arial" w:cs="Arial"/>
              </w:rPr>
              <w:t>M</w:t>
            </w:r>
            <w:r w:rsidRPr="003108F0">
              <w:rPr>
                <w:rFonts w:ascii="Arial" w:hAnsi="Arial" w:cs="Arial"/>
              </w:rPr>
              <w:t xml:space="preserve">WID in </w:t>
            </w:r>
            <w:r>
              <w:rPr>
                <w:rFonts w:ascii="Arial" w:hAnsi="Arial" w:cs="Arial"/>
              </w:rPr>
              <w:t xml:space="preserve">other areas of Dhaka (A2) </w:t>
            </w:r>
            <w:r w:rsidRPr="003108F0">
              <w:rPr>
                <w:rFonts w:ascii="Arial" w:hAnsi="Arial" w:cs="Arial"/>
              </w:rPr>
              <w:t xml:space="preserve">and to </w:t>
            </w:r>
            <w:r>
              <w:rPr>
                <w:rFonts w:ascii="Arial" w:hAnsi="Arial" w:cs="Arial"/>
              </w:rPr>
              <w:t>W</w:t>
            </w:r>
            <w:r w:rsidRPr="003108F0">
              <w:rPr>
                <w:rFonts w:ascii="Arial" w:hAnsi="Arial" w:cs="Arial"/>
              </w:rPr>
              <w:t>WID</w:t>
            </w:r>
            <w:r>
              <w:rPr>
                <w:rFonts w:ascii="Arial" w:hAnsi="Arial" w:cs="Arial"/>
              </w:rPr>
              <w:t xml:space="preserve"> as well</w:t>
            </w:r>
            <w:r w:rsidRPr="003108F0">
              <w:rPr>
                <w:rFonts w:ascii="Arial" w:hAnsi="Arial" w:cs="Arial"/>
              </w:rPr>
              <w:t xml:space="preserve">. MWID in A2 </w:t>
            </w:r>
            <w:r>
              <w:rPr>
                <w:rFonts w:ascii="Arial" w:hAnsi="Arial" w:cs="Arial"/>
              </w:rPr>
              <w:t>have</w:t>
            </w:r>
            <w:r w:rsidRPr="003108F0">
              <w:rPr>
                <w:rFonts w:ascii="Arial" w:hAnsi="Arial" w:cs="Arial"/>
              </w:rPr>
              <w:t xml:space="preserve"> risky behaviors </w:t>
            </w:r>
            <w:r>
              <w:rPr>
                <w:rFonts w:ascii="Arial" w:hAnsi="Arial" w:cs="Arial"/>
              </w:rPr>
              <w:t>and there may be</w:t>
            </w:r>
            <w:r w:rsidRPr="003108F0">
              <w:rPr>
                <w:rFonts w:ascii="Arial" w:hAnsi="Arial" w:cs="Arial"/>
              </w:rPr>
              <w:t xml:space="preserve"> further spread in the immediate future [7, page 119]. Therefore, to provide prevention service</w:t>
            </w:r>
            <w:r>
              <w:rPr>
                <w:rFonts w:ascii="Arial" w:hAnsi="Arial" w:cs="Arial"/>
              </w:rPr>
              <w:t>s</w:t>
            </w:r>
            <w:r w:rsidRPr="003108F0">
              <w:rPr>
                <w:rFonts w:ascii="Arial" w:hAnsi="Arial" w:cs="Arial"/>
              </w:rPr>
              <w:t xml:space="preserve"> to PWID is crucial.</w:t>
            </w:r>
          </w:p>
        </w:tc>
      </w:tr>
      <w:tr w:rsidR="008B3CEF" w:rsidRPr="003108F0" w14:paraId="55E85B81" w14:textId="77777777" w:rsidTr="00263BA7">
        <w:trPr>
          <w:trHeight w:val="288"/>
        </w:trPr>
        <w:tc>
          <w:tcPr>
            <w:tcW w:w="1119" w:type="pct"/>
            <w:shd w:val="clear" w:color="auto" w:fill="F2F2F2"/>
            <w:vAlign w:val="center"/>
          </w:tcPr>
          <w:p w14:paraId="03B241F6" w14:textId="77777777" w:rsidR="008B3CEF" w:rsidRPr="003108F0" w:rsidRDefault="008B3CEF" w:rsidP="009B0847">
            <w:pPr>
              <w:rPr>
                <w:rFonts w:ascii="Arial" w:hAnsi="Arial" w:cs="Arial"/>
                <w:b/>
              </w:rPr>
            </w:pPr>
            <w:r w:rsidRPr="003108F0">
              <w:rPr>
                <w:rFonts w:ascii="Arial" w:hAnsi="Arial" w:cs="Arial"/>
                <w:b/>
              </w:rPr>
              <w:t>Expected Outcome</w:t>
            </w:r>
          </w:p>
        </w:tc>
        <w:tc>
          <w:tcPr>
            <w:tcW w:w="3881" w:type="pct"/>
          </w:tcPr>
          <w:p w14:paraId="68992333" w14:textId="77777777" w:rsidR="008B3CEF" w:rsidRPr="003108F0" w:rsidRDefault="008B3CEF" w:rsidP="009B0847">
            <w:pPr>
              <w:rPr>
                <w:rFonts w:ascii="Arial" w:hAnsi="Arial" w:cs="Arial"/>
              </w:rPr>
            </w:pPr>
            <w:r w:rsidRPr="003108F0">
              <w:rPr>
                <w:rFonts w:ascii="Arial" w:hAnsi="Arial" w:cs="Arial"/>
              </w:rPr>
              <w:t>All types of risk behaviors of PWID including sharing of needle</w:t>
            </w:r>
            <w:r>
              <w:rPr>
                <w:rFonts w:ascii="Arial" w:hAnsi="Arial" w:cs="Arial"/>
              </w:rPr>
              <w:t>s-</w:t>
            </w:r>
            <w:r w:rsidRPr="003108F0">
              <w:rPr>
                <w:rFonts w:ascii="Arial" w:hAnsi="Arial" w:cs="Arial"/>
              </w:rPr>
              <w:t>syringe</w:t>
            </w:r>
            <w:r>
              <w:rPr>
                <w:rFonts w:ascii="Arial" w:hAnsi="Arial" w:cs="Arial"/>
              </w:rPr>
              <w:t>s</w:t>
            </w:r>
            <w:r w:rsidRPr="003108F0">
              <w:rPr>
                <w:rFonts w:ascii="Arial" w:hAnsi="Arial" w:cs="Arial"/>
              </w:rPr>
              <w:t xml:space="preserve"> and paraphernalia reduced </w:t>
            </w:r>
            <w:r>
              <w:rPr>
                <w:rFonts w:ascii="Arial" w:hAnsi="Arial" w:cs="Arial"/>
              </w:rPr>
              <w:t xml:space="preserve">and </w:t>
            </w:r>
            <w:r w:rsidRPr="003108F0">
              <w:rPr>
                <w:rFonts w:ascii="Arial" w:hAnsi="Arial" w:cs="Arial"/>
              </w:rPr>
              <w:t>quality of life improved among PWID</w:t>
            </w:r>
          </w:p>
        </w:tc>
      </w:tr>
      <w:tr w:rsidR="008B3CEF" w:rsidRPr="003108F0" w14:paraId="609D2DA4" w14:textId="77777777" w:rsidTr="00263BA7">
        <w:trPr>
          <w:trHeight w:val="288"/>
        </w:trPr>
        <w:tc>
          <w:tcPr>
            <w:tcW w:w="1119" w:type="pct"/>
            <w:shd w:val="clear" w:color="auto" w:fill="F2F2F2"/>
            <w:vAlign w:val="center"/>
          </w:tcPr>
          <w:p w14:paraId="4E0B46FE" w14:textId="77777777" w:rsidR="008B3CEF" w:rsidRPr="003108F0" w:rsidRDefault="008B3CEF" w:rsidP="009B0847">
            <w:pPr>
              <w:rPr>
                <w:rFonts w:ascii="Arial" w:hAnsi="Arial" w:cs="Arial"/>
                <w:b/>
              </w:rPr>
            </w:pPr>
            <w:r w:rsidRPr="003108F0">
              <w:rPr>
                <w:rFonts w:ascii="Arial" w:hAnsi="Arial" w:cs="Arial"/>
                <w:b/>
              </w:rPr>
              <w:t>Expected Investment</w:t>
            </w:r>
          </w:p>
        </w:tc>
        <w:tc>
          <w:tcPr>
            <w:tcW w:w="3881" w:type="pct"/>
          </w:tcPr>
          <w:p w14:paraId="21AF6407" w14:textId="4FC56CE1" w:rsidR="008B3CEF" w:rsidRPr="003108F0" w:rsidRDefault="008B3CEF" w:rsidP="009B0847">
            <w:pPr>
              <w:rPr>
                <w:rFonts w:ascii="Arial" w:hAnsi="Arial" w:cs="Arial"/>
              </w:rPr>
            </w:pPr>
            <w:r w:rsidRPr="00FB0A6B">
              <w:rPr>
                <w:rFonts w:ascii="Arial" w:hAnsi="Arial" w:cs="Arial"/>
                <w:highlight w:val="yellow"/>
              </w:rPr>
              <w:t>US $ 5,2</w:t>
            </w:r>
            <w:r w:rsidR="00E102C4">
              <w:rPr>
                <w:rFonts w:ascii="Arial" w:hAnsi="Arial" w:cs="Arial"/>
                <w:highlight w:val="yellow"/>
              </w:rPr>
              <w:t>66</w:t>
            </w:r>
            <w:r w:rsidRPr="00FB0A6B">
              <w:rPr>
                <w:rFonts w:ascii="Arial" w:hAnsi="Arial" w:cs="Arial"/>
                <w:highlight w:val="yellow"/>
              </w:rPr>
              <w:t>,435 (SC-US $ 4,845,004 + ASP-US $ 4</w:t>
            </w:r>
            <w:r w:rsidR="00E102C4">
              <w:rPr>
                <w:rFonts w:ascii="Arial" w:hAnsi="Arial" w:cs="Arial"/>
                <w:highlight w:val="yellow"/>
              </w:rPr>
              <w:t>21</w:t>
            </w:r>
            <w:r w:rsidRPr="00FB0A6B">
              <w:rPr>
                <w:rFonts w:ascii="Arial" w:hAnsi="Arial" w:cs="Arial"/>
                <w:highlight w:val="yellow"/>
              </w:rPr>
              <w:t>,431)</w:t>
            </w:r>
          </w:p>
        </w:tc>
      </w:tr>
    </w:tbl>
    <w:p w14:paraId="6386F3EE" w14:textId="5C547485" w:rsidR="005D4000" w:rsidRPr="008B3CEF" w:rsidRDefault="005D4000" w:rsidP="009B6C0D">
      <w:pPr>
        <w:spacing w:after="0"/>
        <w:rPr>
          <w:iCs/>
          <w:sz w:val="16"/>
          <w:szCs w:val="16"/>
        </w:rPr>
      </w:pPr>
    </w:p>
    <w:tbl>
      <w:tblPr>
        <w:tblStyle w:val="TableGrid30"/>
        <w:tblW w:w="5000" w:type="pct"/>
        <w:tblLook w:val="04A0" w:firstRow="1" w:lastRow="0" w:firstColumn="1" w:lastColumn="0" w:noHBand="0" w:noVBand="1"/>
      </w:tblPr>
      <w:tblGrid>
        <w:gridCol w:w="2516"/>
        <w:gridCol w:w="7940"/>
      </w:tblGrid>
      <w:tr w:rsidR="00274E90" w:rsidRPr="003108F0" w14:paraId="5E4094F1" w14:textId="77777777" w:rsidTr="00BB6459">
        <w:trPr>
          <w:trHeight w:val="288"/>
        </w:trPr>
        <w:tc>
          <w:tcPr>
            <w:tcW w:w="1203" w:type="pct"/>
            <w:shd w:val="clear" w:color="auto" w:fill="F2F2F2"/>
            <w:vAlign w:val="center"/>
          </w:tcPr>
          <w:p w14:paraId="440D390E" w14:textId="77777777" w:rsidR="00274E90" w:rsidRPr="003108F0" w:rsidRDefault="00274E90" w:rsidP="009B0847">
            <w:pPr>
              <w:rPr>
                <w:rFonts w:ascii="Arial" w:hAnsi="Arial" w:cs="Arial"/>
                <w:b/>
              </w:rPr>
            </w:pPr>
            <w:r w:rsidRPr="003108F0">
              <w:rPr>
                <w:rFonts w:ascii="Arial" w:hAnsi="Arial" w:cs="Arial"/>
                <w:b/>
              </w:rPr>
              <w:t>Module # 1</w:t>
            </w:r>
          </w:p>
        </w:tc>
        <w:tc>
          <w:tcPr>
            <w:tcW w:w="3797" w:type="pct"/>
          </w:tcPr>
          <w:p w14:paraId="4A529C3C" w14:textId="77777777" w:rsidR="00274E90" w:rsidRPr="003108F0" w:rsidRDefault="00274E90" w:rsidP="009B0847">
            <w:pPr>
              <w:rPr>
                <w:rFonts w:ascii="Arial" w:hAnsi="Arial" w:cs="Arial"/>
                <w:b/>
                <w:bCs/>
              </w:rPr>
            </w:pPr>
            <w:r w:rsidRPr="003108F0">
              <w:rPr>
                <w:rFonts w:ascii="Arial" w:hAnsi="Arial" w:cs="Arial"/>
                <w:b/>
                <w:bCs/>
              </w:rPr>
              <w:t>Prevention -</w:t>
            </w:r>
            <w:r w:rsidRPr="003108F0">
              <w:rPr>
                <w:rFonts w:ascii="Arial" w:hAnsi="Arial" w:cs="Arial"/>
              </w:rPr>
              <w:t xml:space="preserve"> </w:t>
            </w:r>
            <w:r w:rsidRPr="003108F0">
              <w:rPr>
                <w:rFonts w:ascii="Arial" w:hAnsi="Arial" w:cs="Arial"/>
                <w:b/>
                <w:bCs/>
              </w:rPr>
              <w:t>People in prisons and other closed settings</w:t>
            </w:r>
          </w:p>
        </w:tc>
      </w:tr>
      <w:tr w:rsidR="00274E90" w:rsidRPr="003108F0" w14:paraId="10F8B203" w14:textId="77777777" w:rsidTr="00BB6459">
        <w:trPr>
          <w:trHeight w:val="288"/>
        </w:trPr>
        <w:tc>
          <w:tcPr>
            <w:tcW w:w="1203" w:type="pct"/>
            <w:shd w:val="clear" w:color="auto" w:fill="F2F2F2"/>
            <w:vAlign w:val="center"/>
          </w:tcPr>
          <w:p w14:paraId="6E9ED803" w14:textId="77777777" w:rsidR="00274E90" w:rsidRPr="003108F0" w:rsidRDefault="00274E90" w:rsidP="009B0847">
            <w:pPr>
              <w:rPr>
                <w:rFonts w:ascii="Arial" w:hAnsi="Arial" w:cs="Arial"/>
                <w:b/>
              </w:rPr>
            </w:pPr>
            <w:r w:rsidRPr="003108F0">
              <w:rPr>
                <w:rFonts w:ascii="Arial" w:hAnsi="Arial" w:cs="Arial"/>
                <w:b/>
              </w:rPr>
              <w:t>Intervention(s) &amp; Key Activities</w:t>
            </w:r>
          </w:p>
        </w:tc>
        <w:tc>
          <w:tcPr>
            <w:tcW w:w="3797" w:type="pct"/>
          </w:tcPr>
          <w:p w14:paraId="5ED1CB99" w14:textId="77777777" w:rsidR="00274E90" w:rsidRPr="003108F0" w:rsidRDefault="00274E90" w:rsidP="009B0847">
            <w:pPr>
              <w:jc w:val="both"/>
              <w:rPr>
                <w:rFonts w:ascii="Arial" w:hAnsi="Arial" w:cs="Arial"/>
              </w:rPr>
            </w:pPr>
            <w:r w:rsidRPr="003108F0">
              <w:rPr>
                <w:rFonts w:ascii="Arial" w:hAnsi="Arial" w:cs="Arial"/>
                <w:b/>
                <w:bCs/>
              </w:rPr>
              <w:t>Intervention</w:t>
            </w:r>
            <w:r w:rsidRPr="003108F0">
              <w:rPr>
                <w:rFonts w:ascii="Arial" w:hAnsi="Arial" w:cs="Arial"/>
              </w:rPr>
              <w:t>: Harm reduction interventions for drug use</w:t>
            </w:r>
          </w:p>
          <w:p w14:paraId="317C84A0" w14:textId="77777777" w:rsidR="00274E90" w:rsidRPr="003108F0" w:rsidRDefault="00274E90" w:rsidP="009B0847">
            <w:pPr>
              <w:jc w:val="both"/>
              <w:rPr>
                <w:rFonts w:ascii="Arial" w:hAnsi="Arial" w:cs="Arial"/>
              </w:rPr>
            </w:pPr>
            <w:r w:rsidRPr="003108F0">
              <w:rPr>
                <w:rFonts w:ascii="Arial" w:hAnsi="Arial" w:cs="Arial"/>
                <w:b/>
                <w:bCs/>
              </w:rPr>
              <w:t>Activities</w:t>
            </w:r>
            <w:r w:rsidRPr="003108F0">
              <w:rPr>
                <w:rFonts w:ascii="Arial" w:hAnsi="Arial" w:cs="Arial"/>
              </w:rPr>
              <w:t xml:space="preserve">: </w:t>
            </w:r>
            <w:r>
              <w:rPr>
                <w:rFonts w:ascii="Arial" w:hAnsi="Arial" w:cs="Arial"/>
              </w:rPr>
              <w:t>I</w:t>
            </w:r>
            <w:r w:rsidRPr="003108F0">
              <w:rPr>
                <w:rFonts w:ascii="Arial" w:hAnsi="Arial" w:cs="Arial"/>
              </w:rPr>
              <w:t xml:space="preserve">nitiatives will be taken to sensitize and </w:t>
            </w:r>
            <w:r>
              <w:rPr>
                <w:rFonts w:ascii="Arial" w:hAnsi="Arial" w:cs="Arial"/>
              </w:rPr>
              <w:t xml:space="preserve">provide </w:t>
            </w:r>
            <w:r w:rsidRPr="003108F0">
              <w:rPr>
                <w:rFonts w:ascii="Arial" w:hAnsi="Arial" w:cs="Arial"/>
              </w:rPr>
              <w:t>orient</w:t>
            </w:r>
            <w:r>
              <w:rPr>
                <w:rFonts w:ascii="Arial" w:hAnsi="Arial" w:cs="Arial"/>
              </w:rPr>
              <w:t>ation to</w:t>
            </w:r>
            <w:r w:rsidRPr="003108F0">
              <w:rPr>
                <w:rFonts w:ascii="Arial" w:hAnsi="Arial" w:cs="Arial"/>
              </w:rPr>
              <w:t xml:space="preserve"> prison personnel to deliver harm reduction services in Dhaka prison in collaboration with ASP, DG</w:t>
            </w:r>
            <w:r w:rsidRPr="003108F0">
              <w:rPr>
                <w:rFonts w:cs="Arial"/>
              </w:rPr>
              <w:fldChar w:fldCharType="begin"/>
            </w:r>
            <w:r w:rsidRPr="003108F0">
              <w:rPr>
                <w:rFonts w:ascii="Arial" w:hAnsi="Arial" w:cs="Arial"/>
              </w:rPr>
              <w:instrText xml:space="preserve"> TA \l "DG: Director General" \s "DG" \c 1 </w:instrText>
            </w:r>
            <w:r w:rsidRPr="003108F0">
              <w:rPr>
                <w:rFonts w:cs="Arial"/>
              </w:rPr>
              <w:fldChar w:fldCharType="end"/>
            </w:r>
            <w:r w:rsidRPr="003108F0">
              <w:rPr>
                <w:rFonts w:ascii="Arial" w:hAnsi="Arial" w:cs="Arial"/>
              </w:rPr>
              <w:t xml:space="preserve"> (Prison), DG (DNC), BRAC</w:t>
            </w:r>
            <w:r>
              <w:rPr>
                <w:rFonts w:ascii="Arial" w:hAnsi="Arial" w:cs="Arial"/>
              </w:rPr>
              <w:t xml:space="preserve">, and </w:t>
            </w:r>
            <w:r w:rsidRPr="003108F0">
              <w:rPr>
                <w:rFonts w:ascii="Arial" w:hAnsi="Arial" w:cs="Arial"/>
              </w:rPr>
              <w:t>UNODC. HTS</w:t>
            </w:r>
            <w:r>
              <w:rPr>
                <w:rFonts w:ascii="Arial" w:hAnsi="Arial" w:cs="Arial"/>
              </w:rPr>
              <w:t>,</w:t>
            </w:r>
            <w:r w:rsidRPr="003108F0">
              <w:rPr>
                <w:rFonts w:ascii="Arial" w:hAnsi="Arial" w:cs="Arial"/>
              </w:rPr>
              <w:t xml:space="preserve"> OST, ART and TB management will be provided. </w:t>
            </w:r>
            <w:r>
              <w:rPr>
                <w:rFonts w:ascii="Arial" w:hAnsi="Arial" w:cs="Arial"/>
              </w:rPr>
              <w:t>H</w:t>
            </w:r>
            <w:r w:rsidRPr="003108F0">
              <w:rPr>
                <w:rFonts w:ascii="Arial" w:hAnsi="Arial" w:cs="Arial"/>
              </w:rPr>
              <w:t xml:space="preserve">igh-level policy advocacy from </w:t>
            </w:r>
            <w:r>
              <w:rPr>
                <w:rFonts w:ascii="Arial" w:hAnsi="Arial" w:cs="Arial"/>
              </w:rPr>
              <w:t>Ministry of Home Affairs</w:t>
            </w:r>
            <w:r w:rsidRPr="003108F0">
              <w:rPr>
                <w:rFonts w:ascii="Arial" w:hAnsi="Arial" w:cs="Arial"/>
              </w:rPr>
              <w:t xml:space="preserve"> might be required, which </w:t>
            </w:r>
            <w:r>
              <w:rPr>
                <w:rFonts w:ascii="Arial" w:hAnsi="Arial" w:cs="Arial"/>
              </w:rPr>
              <w:t xml:space="preserve">ASP </w:t>
            </w:r>
            <w:r w:rsidRPr="003108F0">
              <w:rPr>
                <w:rFonts w:ascii="Arial" w:hAnsi="Arial" w:cs="Arial"/>
              </w:rPr>
              <w:t xml:space="preserve">will support. </w:t>
            </w:r>
          </w:p>
        </w:tc>
      </w:tr>
      <w:tr w:rsidR="00274E90" w:rsidRPr="003108F0" w14:paraId="257F5004" w14:textId="77777777" w:rsidTr="00BB6459">
        <w:trPr>
          <w:trHeight w:val="288"/>
        </w:trPr>
        <w:tc>
          <w:tcPr>
            <w:tcW w:w="1203" w:type="pct"/>
            <w:shd w:val="clear" w:color="auto" w:fill="F2F2F2"/>
            <w:vAlign w:val="center"/>
          </w:tcPr>
          <w:p w14:paraId="2FD1E64C" w14:textId="77777777" w:rsidR="00274E90" w:rsidRPr="003108F0" w:rsidRDefault="00274E90" w:rsidP="009B0847">
            <w:pPr>
              <w:rPr>
                <w:rFonts w:ascii="Arial" w:hAnsi="Arial" w:cs="Arial"/>
                <w:b/>
              </w:rPr>
            </w:pPr>
            <w:r w:rsidRPr="003108F0">
              <w:rPr>
                <w:rFonts w:ascii="Arial" w:hAnsi="Arial" w:cs="Arial"/>
                <w:b/>
              </w:rPr>
              <w:t>Priority Population(s)</w:t>
            </w:r>
          </w:p>
        </w:tc>
        <w:tc>
          <w:tcPr>
            <w:tcW w:w="3797" w:type="pct"/>
          </w:tcPr>
          <w:p w14:paraId="227CB6D8" w14:textId="77777777" w:rsidR="00274E90" w:rsidRPr="003108F0" w:rsidRDefault="00274E90" w:rsidP="009B0847">
            <w:pPr>
              <w:rPr>
                <w:rFonts w:ascii="Arial" w:hAnsi="Arial" w:cs="Arial"/>
              </w:rPr>
            </w:pPr>
            <w:r w:rsidRPr="003108F0">
              <w:rPr>
                <w:rFonts w:ascii="Arial" w:hAnsi="Arial" w:cs="Arial"/>
              </w:rPr>
              <w:t>PWID People in prisons and other closed settings</w:t>
            </w:r>
          </w:p>
        </w:tc>
      </w:tr>
      <w:tr w:rsidR="00274E90" w:rsidRPr="003108F0" w14:paraId="4F2A521C" w14:textId="77777777" w:rsidTr="00BB6459">
        <w:trPr>
          <w:trHeight w:val="288"/>
        </w:trPr>
        <w:tc>
          <w:tcPr>
            <w:tcW w:w="1203" w:type="pct"/>
            <w:shd w:val="clear" w:color="auto" w:fill="F2F2F2"/>
            <w:vAlign w:val="center"/>
          </w:tcPr>
          <w:p w14:paraId="202D713D" w14:textId="77777777" w:rsidR="00274E90" w:rsidRPr="003108F0" w:rsidRDefault="00274E90" w:rsidP="009B0847">
            <w:pPr>
              <w:rPr>
                <w:rFonts w:ascii="Arial" w:hAnsi="Arial" w:cs="Arial"/>
                <w:b/>
              </w:rPr>
            </w:pPr>
            <w:r w:rsidRPr="003108F0">
              <w:rPr>
                <w:rFonts w:ascii="Arial" w:hAnsi="Arial" w:cs="Arial"/>
                <w:b/>
              </w:rPr>
              <w:t>Barriers and Inequities</w:t>
            </w:r>
          </w:p>
        </w:tc>
        <w:tc>
          <w:tcPr>
            <w:tcW w:w="3797" w:type="pct"/>
          </w:tcPr>
          <w:p w14:paraId="0A5DE517" w14:textId="77777777" w:rsidR="00274E90" w:rsidRPr="003108F0" w:rsidRDefault="00274E90" w:rsidP="009B0847">
            <w:pPr>
              <w:jc w:val="both"/>
              <w:rPr>
                <w:rFonts w:ascii="Arial" w:hAnsi="Arial" w:cs="Arial"/>
              </w:rPr>
            </w:pPr>
            <w:r w:rsidRPr="003108F0">
              <w:rPr>
                <w:rFonts w:ascii="Arial" w:hAnsi="Arial" w:cs="Arial"/>
              </w:rPr>
              <w:t xml:space="preserve">Drug users are often arrested and harassed by the law enforces. </w:t>
            </w:r>
            <w:r>
              <w:rPr>
                <w:rFonts w:ascii="Arial" w:hAnsi="Arial" w:cs="Arial"/>
              </w:rPr>
              <w:t>On the other hand, a</w:t>
            </w:r>
            <w:r w:rsidRPr="003108F0">
              <w:rPr>
                <w:rFonts w:ascii="Arial" w:hAnsi="Arial" w:cs="Arial"/>
              </w:rPr>
              <w:t>ccessing prisons and providing HIV prevention, testing and treatment services are challenging</w:t>
            </w:r>
            <w:r>
              <w:rPr>
                <w:rFonts w:ascii="Arial" w:hAnsi="Arial" w:cs="Arial"/>
              </w:rPr>
              <w:t xml:space="preserve"> due to i</w:t>
            </w:r>
            <w:r w:rsidRPr="00D26630">
              <w:rPr>
                <w:rFonts w:ascii="Arial" w:hAnsi="Arial" w:cs="Arial"/>
              </w:rPr>
              <w:t>dentification of drug users</w:t>
            </w:r>
            <w:r>
              <w:rPr>
                <w:rFonts w:ascii="Arial" w:hAnsi="Arial" w:cs="Arial"/>
              </w:rPr>
              <w:t>. D</w:t>
            </w:r>
            <w:r w:rsidRPr="00D26630">
              <w:rPr>
                <w:rFonts w:ascii="Arial" w:hAnsi="Arial" w:cs="Arial"/>
              </w:rPr>
              <w:t>rug use and HIV positiv</w:t>
            </w:r>
            <w:r>
              <w:rPr>
                <w:rFonts w:ascii="Arial" w:hAnsi="Arial" w:cs="Arial"/>
              </w:rPr>
              <w:t>ity</w:t>
            </w:r>
            <w:r w:rsidRPr="00D26630">
              <w:rPr>
                <w:rFonts w:ascii="Arial" w:hAnsi="Arial" w:cs="Arial"/>
              </w:rPr>
              <w:t xml:space="preserve"> may be an issue of further stigmatization and harassment. </w:t>
            </w:r>
            <w:r>
              <w:rPr>
                <w:rFonts w:ascii="Arial" w:hAnsi="Arial" w:cs="Arial"/>
              </w:rPr>
              <w:t>P</w:t>
            </w:r>
            <w:r w:rsidRPr="00D26630">
              <w:rPr>
                <w:rFonts w:ascii="Arial" w:hAnsi="Arial" w:cs="Arial"/>
              </w:rPr>
              <w:t xml:space="preserve">rison authority </w:t>
            </w:r>
            <w:r>
              <w:rPr>
                <w:rFonts w:ascii="Arial" w:hAnsi="Arial" w:cs="Arial"/>
              </w:rPr>
              <w:t xml:space="preserve">might also </w:t>
            </w:r>
            <w:r w:rsidRPr="00D26630">
              <w:rPr>
                <w:rFonts w:ascii="Arial" w:hAnsi="Arial" w:cs="Arial"/>
              </w:rPr>
              <w:t>den</w:t>
            </w:r>
            <w:r>
              <w:rPr>
                <w:rFonts w:ascii="Arial" w:hAnsi="Arial" w:cs="Arial"/>
              </w:rPr>
              <w:t>y</w:t>
            </w:r>
            <w:r w:rsidRPr="00D26630">
              <w:rPr>
                <w:rFonts w:ascii="Arial" w:hAnsi="Arial" w:cs="Arial"/>
              </w:rPr>
              <w:t xml:space="preserve"> the presence</w:t>
            </w:r>
            <w:r>
              <w:rPr>
                <w:rFonts w:ascii="Arial" w:hAnsi="Arial" w:cs="Arial"/>
              </w:rPr>
              <w:t xml:space="preserve"> of drug use inside the prison.</w:t>
            </w:r>
          </w:p>
        </w:tc>
      </w:tr>
      <w:tr w:rsidR="00274E90" w:rsidRPr="003108F0" w14:paraId="339E98FD" w14:textId="77777777" w:rsidTr="00BB6459">
        <w:trPr>
          <w:trHeight w:val="288"/>
        </w:trPr>
        <w:tc>
          <w:tcPr>
            <w:tcW w:w="1203" w:type="pct"/>
            <w:shd w:val="clear" w:color="auto" w:fill="F2F2F2"/>
            <w:vAlign w:val="center"/>
          </w:tcPr>
          <w:p w14:paraId="259CE333" w14:textId="77777777" w:rsidR="00274E90" w:rsidRPr="003108F0" w:rsidRDefault="00274E90" w:rsidP="009B0847">
            <w:pPr>
              <w:rPr>
                <w:rFonts w:ascii="Arial" w:hAnsi="Arial" w:cs="Arial"/>
                <w:b/>
              </w:rPr>
            </w:pPr>
            <w:r w:rsidRPr="003108F0">
              <w:rPr>
                <w:rFonts w:ascii="Arial" w:hAnsi="Arial" w:cs="Arial"/>
                <w:b/>
              </w:rPr>
              <w:t>Rationale</w:t>
            </w:r>
          </w:p>
        </w:tc>
        <w:tc>
          <w:tcPr>
            <w:tcW w:w="3797" w:type="pct"/>
          </w:tcPr>
          <w:p w14:paraId="0EC4EC01" w14:textId="77777777" w:rsidR="00274E90" w:rsidRPr="003108F0" w:rsidRDefault="00274E90" w:rsidP="009B0847">
            <w:pPr>
              <w:jc w:val="both"/>
              <w:rPr>
                <w:rFonts w:ascii="Arial" w:hAnsi="Arial" w:cs="Arial"/>
              </w:rPr>
            </w:pPr>
            <w:r w:rsidRPr="003108F0">
              <w:rPr>
                <w:rFonts w:ascii="Arial" w:hAnsi="Arial" w:cs="Arial"/>
              </w:rPr>
              <w:t xml:space="preserve">Prisons continue to represent high-risk environments globally for the transmission of blood-borne infections. It may also true for Bangladesh. Due to incarceration, </w:t>
            </w:r>
            <w:r>
              <w:rPr>
                <w:rFonts w:ascii="Arial" w:hAnsi="Arial" w:cs="Arial"/>
              </w:rPr>
              <w:t xml:space="preserve">prisoners </w:t>
            </w:r>
            <w:r w:rsidRPr="003108F0">
              <w:rPr>
                <w:rFonts w:ascii="Arial" w:hAnsi="Arial" w:cs="Arial"/>
              </w:rPr>
              <w:t xml:space="preserve">have </w:t>
            </w:r>
            <w:r>
              <w:rPr>
                <w:rFonts w:ascii="Arial" w:hAnsi="Arial" w:cs="Arial"/>
              </w:rPr>
              <w:t xml:space="preserve">a </w:t>
            </w:r>
            <w:r w:rsidRPr="003108F0">
              <w:rPr>
                <w:rFonts w:ascii="Arial" w:hAnsi="Arial" w:cs="Arial"/>
              </w:rPr>
              <w:t>chance of discontinuation from harm reduction services</w:t>
            </w:r>
            <w:r>
              <w:rPr>
                <w:rFonts w:ascii="Arial" w:hAnsi="Arial" w:cs="Arial"/>
              </w:rPr>
              <w:t xml:space="preserve"> and </w:t>
            </w:r>
            <w:r w:rsidRPr="003108F0">
              <w:rPr>
                <w:rFonts w:ascii="Arial" w:hAnsi="Arial" w:cs="Arial"/>
              </w:rPr>
              <w:t xml:space="preserve">though it is needed, there is no harm reduction intervention currently for PWID in prison </w:t>
            </w:r>
            <w:r>
              <w:rPr>
                <w:rFonts w:ascii="Arial" w:hAnsi="Arial" w:cs="Arial"/>
              </w:rPr>
              <w:t xml:space="preserve">settings </w:t>
            </w:r>
            <w:r w:rsidRPr="003108F0">
              <w:rPr>
                <w:rFonts w:ascii="Arial" w:hAnsi="Arial" w:cs="Arial"/>
              </w:rPr>
              <w:t>in Bangladesh.</w:t>
            </w:r>
          </w:p>
        </w:tc>
      </w:tr>
      <w:tr w:rsidR="00274E90" w:rsidRPr="003108F0" w14:paraId="5C104950" w14:textId="77777777" w:rsidTr="00BB6459">
        <w:trPr>
          <w:trHeight w:val="288"/>
        </w:trPr>
        <w:tc>
          <w:tcPr>
            <w:tcW w:w="1203" w:type="pct"/>
            <w:shd w:val="clear" w:color="auto" w:fill="F2F2F2"/>
            <w:vAlign w:val="center"/>
          </w:tcPr>
          <w:p w14:paraId="665FE558" w14:textId="77777777" w:rsidR="00274E90" w:rsidRPr="003108F0" w:rsidRDefault="00274E90" w:rsidP="009B0847">
            <w:pPr>
              <w:rPr>
                <w:rFonts w:ascii="Arial" w:hAnsi="Arial" w:cs="Arial"/>
                <w:b/>
              </w:rPr>
            </w:pPr>
            <w:r w:rsidRPr="003108F0">
              <w:rPr>
                <w:rFonts w:ascii="Arial" w:hAnsi="Arial" w:cs="Arial"/>
                <w:b/>
              </w:rPr>
              <w:t>Expected Outcome</w:t>
            </w:r>
          </w:p>
        </w:tc>
        <w:tc>
          <w:tcPr>
            <w:tcW w:w="3797" w:type="pct"/>
          </w:tcPr>
          <w:p w14:paraId="07EE4D18" w14:textId="77777777" w:rsidR="00274E90" w:rsidRPr="003108F0" w:rsidRDefault="00274E90" w:rsidP="009B0847">
            <w:pPr>
              <w:rPr>
                <w:rFonts w:ascii="Arial" w:hAnsi="Arial" w:cs="Arial"/>
              </w:rPr>
            </w:pPr>
            <w:r w:rsidRPr="003108F0">
              <w:rPr>
                <w:rFonts w:ascii="Arial" w:hAnsi="Arial" w:cs="Arial"/>
              </w:rPr>
              <w:t>Risk behaviors of prisoners will be reduced in related with drug use and quality of life will be improved</w:t>
            </w:r>
          </w:p>
        </w:tc>
      </w:tr>
      <w:tr w:rsidR="00D621BA" w:rsidRPr="003108F0" w14:paraId="26C52984" w14:textId="77777777" w:rsidTr="00BB6459">
        <w:trPr>
          <w:trHeight w:val="288"/>
        </w:trPr>
        <w:tc>
          <w:tcPr>
            <w:tcW w:w="1203" w:type="pct"/>
            <w:shd w:val="clear" w:color="auto" w:fill="F2F2F2"/>
            <w:vAlign w:val="center"/>
          </w:tcPr>
          <w:p w14:paraId="27108458" w14:textId="2C43BF4C" w:rsidR="00D621BA" w:rsidRPr="003108F0" w:rsidRDefault="00D621BA" w:rsidP="009B0847">
            <w:pPr>
              <w:rPr>
                <w:rFonts w:cs="Arial"/>
                <w:b/>
              </w:rPr>
            </w:pPr>
            <w:r w:rsidRPr="007F7A64">
              <w:rPr>
                <w:b/>
              </w:rPr>
              <w:t>Expected Investment</w:t>
            </w:r>
          </w:p>
        </w:tc>
        <w:tc>
          <w:tcPr>
            <w:tcW w:w="3797" w:type="pct"/>
          </w:tcPr>
          <w:p w14:paraId="3FB1E5AE" w14:textId="5735FF6C" w:rsidR="00D621BA" w:rsidRPr="003108F0" w:rsidRDefault="00717EAA" w:rsidP="009B0847">
            <w:pPr>
              <w:rPr>
                <w:rFonts w:cs="Arial"/>
              </w:rPr>
            </w:pPr>
            <w:r w:rsidRPr="00717EAA">
              <w:rPr>
                <w:highlight w:val="green"/>
              </w:rPr>
              <w:t>US $ 20,107</w:t>
            </w:r>
          </w:p>
        </w:tc>
      </w:tr>
    </w:tbl>
    <w:p w14:paraId="2F06EEA1" w14:textId="77777777" w:rsidR="008B3CEF" w:rsidRPr="00274E90" w:rsidRDefault="008B3CEF" w:rsidP="009B6C0D">
      <w:pPr>
        <w:spacing w:after="0"/>
        <w:rPr>
          <w:iCs/>
          <w:sz w:val="16"/>
          <w:szCs w:val="16"/>
        </w:rPr>
      </w:pPr>
    </w:p>
    <w:tbl>
      <w:tblPr>
        <w:tblStyle w:val="TableGrid30"/>
        <w:tblW w:w="10435" w:type="dxa"/>
        <w:tblLook w:val="04A0" w:firstRow="1" w:lastRow="0" w:firstColumn="1" w:lastColumn="0" w:noHBand="0" w:noVBand="1"/>
      </w:tblPr>
      <w:tblGrid>
        <w:gridCol w:w="2515"/>
        <w:gridCol w:w="7920"/>
      </w:tblGrid>
      <w:tr w:rsidR="0073424C" w:rsidRPr="007F7A64" w14:paraId="29DC06C3" w14:textId="77777777" w:rsidTr="00BB6459">
        <w:trPr>
          <w:trHeight w:val="288"/>
        </w:trPr>
        <w:tc>
          <w:tcPr>
            <w:tcW w:w="2515" w:type="dxa"/>
            <w:shd w:val="clear" w:color="auto" w:fill="F2F2F2"/>
            <w:vAlign w:val="center"/>
          </w:tcPr>
          <w:p w14:paraId="39C9B316" w14:textId="77777777" w:rsidR="0073424C" w:rsidRPr="00E41EDC" w:rsidRDefault="0073424C" w:rsidP="00677732">
            <w:pPr>
              <w:spacing w:after="0"/>
              <w:rPr>
                <w:b/>
              </w:rPr>
            </w:pPr>
            <w:bookmarkStart w:id="13" w:name="_Hlk30413213"/>
            <w:r>
              <w:rPr>
                <w:b/>
              </w:rPr>
              <w:t>Module # 2</w:t>
            </w:r>
          </w:p>
        </w:tc>
        <w:tc>
          <w:tcPr>
            <w:tcW w:w="7920" w:type="dxa"/>
          </w:tcPr>
          <w:p w14:paraId="09E824E4" w14:textId="128830BA" w:rsidR="0073424C" w:rsidRPr="007B45F4" w:rsidRDefault="0073424C" w:rsidP="00677732">
            <w:pPr>
              <w:spacing w:after="0"/>
              <w:rPr>
                <w:b/>
                <w:bCs/>
              </w:rPr>
            </w:pPr>
            <w:r w:rsidRPr="007B45F4">
              <w:rPr>
                <w:b/>
                <w:bCs/>
              </w:rPr>
              <w:t>Differentiated HIV Testing Services</w:t>
            </w:r>
            <w:r>
              <w:rPr>
                <w:b/>
                <w:bCs/>
              </w:rPr>
              <w:t xml:space="preserve">-MSM and transgender </w:t>
            </w:r>
            <w:r w:rsidR="003A5189" w:rsidRPr="00B14F65">
              <w:rPr>
                <w:b/>
                <w:bCs/>
              </w:rPr>
              <w:t>women (Hijra)</w:t>
            </w:r>
          </w:p>
        </w:tc>
      </w:tr>
      <w:tr w:rsidR="0073424C" w:rsidRPr="007F7A64" w14:paraId="1DADEDEF" w14:textId="77777777" w:rsidTr="00BB6459">
        <w:trPr>
          <w:trHeight w:val="288"/>
        </w:trPr>
        <w:tc>
          <w:tcPr>
            <w:tcW w:w="2515" w:type="dxa"/>
            <w:shd w:val="clear" w:color="auto" w:fill="F2F2F2"/>
            <w:vAlign w:val="center"/>
          </w:tcPr>
          <w:p w14:paraId="78FC28B3" w14:textId="77777777" w:rsidR="0073424C" w:rsidRPr="007F7A64" w:rsidRDefault="0073424C" w:rsidP="00677732">
            <w:pPr>
              <w:spacing w:after="0"/>
              <w:rPr>
                <w:b/>
              </w:rPr>
            </w:pPr>
            <w:r w:rsidRPr="007F7A64">
              <w:rPr>
                <w:b/>
              </w:rPr>
              <w:t>Intervention(s)</w:t>
            </w:r>
            <w:r>
              <w:rPr>
                <w:b/>
              </w:rPr>
              <w:t xml:space="preserve"> &amp; Key Activities</w:t>
            </w:r>
          </w:p>
        </w:tc>
        <w:tc>
          <w:tcPr>
            <w:tcW w:w="7920" w:type="dxa"/>
          </w:tcPr>
          <w:p w14:paraId="6EF65123" w14:textId="77777777" w:rsidR="00DC1901" w:rsidRPr="00270FC0" w:rsidRDefault="00DC1901" w:rsidP="00DC1901">
            <w:pPr>
              <w:spacing w:after="0"/>
              <w:jc w:val="both"/>
            </w:pPr>
            <w:r w:rsidRPr="00270FC0">
              <w:rPr>
                <w:b/>
                <w:bCs/>
              </w:rPr>
              <w:t>Intervention</w:t>
            </w:r>
            <w:r w:rsidRPr="00270FC0">
              <w:t xml:space="preserve">: Facility-based and community-based HIV testing services </w:t>
            </w:r>
          </w:p>
          <w:p w14:paraId="5F716EA1" w14:textId="25C475B8" w:rsidR="0073424C" w:rsidRPr="009F43A9" w:rsidRDefault="00DC1901" w:rsidP="00DC1901">
            <w:pPr>
              <w:spacing w:after="0"/>
              <w:jc w:val="both"/>
            </w:pPr>
            <w:r w:rsidRPr="00270FC0">
              <w:rPr>
                <w:b/>
                <w:bCs/>
              </w:rPr>
              <w:t>Activities</w:t>
            </w:r>
            <w:r w:rsidRPr="00270FC0">
              <w:t>: Annually 75% of MSM and hijra will be tested for HIV of whom some will be repeat cases and others will be new. Facility-based and community-based HTS will be provided to MSM and hijra.  Linkages to HIV treatment and care to nearby public facility for PLHIV will be ensured. Counseling, including assisted partner notification and index testing, and treatment services for PLHIV will be continued through the leadership of ASP. As a pilot basis two government operated HTS centers in two different districts will be used for HIV testing for KPs to examine the feasibility and acceptability of HTS offered to the KPs along with general populations.</w:t>
            </w:r>
          </w:p>
        </w:tc>
      </w:tr>
      <w:tr w:rsidR="0073424C" w:rsidRPr="007F7A64" w14:paraId="6A0686C0" w14:textId="77777777" w:rsidTr="00BB6459">
        <w:trPr>
          <w:trHeight w:val="288"/>
        </w:trPr>
        <w:tc>
          <w:tcPr>
            <w:tcW w:w="2515" w:type="dxa"/>
            <w:shd w:val="clear" w:color="auto" w:fill="F2F2F2"/>
            <w:vAlign w:val="center"/>
          </w:tcPr>
          <w:p w14:paraId="348D9C54" w14:textId="77777777" w:rsidR="0073424C" w:rsidRPr="007F7A64" w:rsidRDefault="0073424C" w:rsidP="00677732">
            <w:pPr>
              <w:spacing w:after="0"/>
              <w:rPr>
                <w:b/>
              </w:rPr>
            </w:pPr>
            <w:r>
              <w:rPr>
                <w:b/>
              </w:rPr>
              <w:t>Priority Population(s)</w:t>
            </w:r>
          </w:p>
        </w:tc>
        <w:tc>
          <w:tcPr>
            <w:tcW w:w="7920" w:type="dxa"/>
          </w:tcPr>
          <w:p w14:paraId="37B30654" w14:textId="77777777" w:rsidR="0073424C" w:rsidRPr="00631737" w:rsidRDefault="0073424C" w:rsidP="00677732">
            <w:pPr>
              <w:spacing w:after="0"/>
            </w:pPr>
            <w:r w:rsidRPr="00631737">
              <w:t>Men who have sex with men and transgender women (hijra)</w:t>
            </w:r>
          </w:p>
        </w:tc>
      </w:tr>
      <w:tr w:rsidR="0073424C" w:rsidRPr="007F7A64" w14:paraId="4E1FBB81" w14:textId="77777777" w:rsidTr="00BB6459">
        <w:trPr>
          <w:trHeight w:val="288"/>
        </w:trPr>
        <w:tc>
          <w:tcPr>
            <w:tcW w:w="2515" w:type="dxa"/>
            <w:shd w:val="clear" w:color="auto" w:fill="F2F2F2"/>
            <w:vAlign w:val="center"/>
          </w:tcPr>
          <w:p w14:paraId="176C6379" w14:textId="77777777" w:rsidR="0073424C" w:rsidRDefault="0073424C" w:rsidP="00677732">
            <w:pPr>
              <w:spacing w:after="0"/>
              <w:rPr>
                <w:b/>
              </w:rPr>
            </w:pPr>
            <w:r>
              <w:rPr>
                <w:b/>
              </w:rPr>
              <w:t>Barriers and Inequities</w:t>
            </w:r>
          </w:p>
        </w:tc>
        <w:tc>
          <w:tcPr>
            <w:tcW w:w="7920" w:type="dxa"/>
          </w:tcPr>
          <w:p w14:paraId="3430C5C4" w14:textId="77777777" w:rsidR="0073424C" w:rsidRPr="00472B7F" w:rsidRDefault="0073424C" w:rsidP="00677732">
            <w:pPr>
              <w:spacing w:after="0"/>
            </w:pPr>
            <w:r w:rsidRPr="00631737">
              <w:t>Issues that hinder HTS uptake by MSM and hijra populations include fear/phobia of giving blood for HTS, the social stigma attached to male to male sex and HIV, and fear of social and economic consequences if tested HIV positive.</w:t>
            </w:r>
          </w:p>
        </w:tc>
      </w:tr>
      <w:tr w:rsidR="0073424C" w:rsidRPr="007F7A64" w14:paraId="3DE0FE7B" w14:textId="77777777" w:rsidTr="00BB6459">
        <w:trPr>
          <w:trHeight w:val="288"/>
        </w:trPr>
        <w:tc>
          <w:tcPr>
            <w:tcW w:w="2515" w:type="dxa"/>
            <w:shd w:val="clear" w:color="auto" w:fill="F2F2F2"/>
            <w:vAlign w:val="center"/>
          </w:tcPr>
          <w:p w14:paraId="326932C2" w14:textId="77777777" w:rsidR="0073424C" w:rsidRPr="007F7A64" w:rsidRDefault="0073424C" w:rsidP="00677732">
            <w:pPr>
              <w:spacing w:after="0"/>
              <w:rPr>
                <w:b/>
              </w:rPr>
            </w:pPr>
            <w:r>
              <w:rPr>
                <w:b/>
              </w:rPr>
              <w:t>Rationale</w:t>
            </w:r>
          </w:p>
        </w:tc>
        <w:tc>
          <w:tcPr>
            <w:tcW w:w="7920" w:type="dxa"/>
          </w:tcPr>
          <w:p w14:paraId="08CD0FBA" w14:textId="67F2C093" w:rsidR="0073424C" w:rsidRPr="007F7A64" w:rsidRDefault="0073424C" w:rsidP="00677732">
            <w:pPr>
              <w:spacing w:after="0"/>
              <w:jc w:val="both"/>
            </w:pPr>
            <w:r w:rsidRPr="00631737">
              <w:t>HTS need to be strengthen among KPs as they are more vulnerable to HIV infections</w:t>
            </w:r>
            <w:r w:rsidR="00410876">
              <w:t xml:space="preserve">. </w:t>
            </w:r>
            <w:r w:rsidRPr="00631737">
              <w:t xml:space="preserve">Both facility and community-based HTS will be performed for MSM and hijra for detection of HIV </w:t>
            </w:r>
            <w:r w:rsidR="00410876">
              <w:t xml:space="preserve">infection </w:t>
            </w:r>
            <w:r>
              <w:t xml:space="preserve">which will facilitate to reach 90-90-90 targets. </w:t>
            </w:r>
            <w:r w:rsidRPr="00631737">
              <w:t xml:space="preserve"> </w:t>
            </w:r>
          </w:p>
        </w:tc>
      </w:tr>
      <w:tr w:rsidR="0073424C" w:rsidRPr="007F7A64" w14:paraId="1714155C" w14:textId="77777777" w:rsidTr="00BB6459">
        <w:trPr>
          <w:trHeight w:val="288"/>
        </w:trPr>
        <w:tc>
          <w:tcPr>
            <w:tcW w:w="2515" w:type="dxa"/>
            <w:shd w:val="clear" w:color="auto" w:fill="F2F2F2"/>
            <w:vAlign w:val="center"/>
          </w:tcPr>
          <w:p w14:paraId="7B8F7917" w14:textId="77777777" w:rsidR="0073424C" w:rsidRPr="007F7A64" w:rsidRDefault="0073424C" w:rsidP="00677732">
            <w:pPr>
              <w:spacing w:after="0"/>
              <w:rPr>
                <w:b/>
              </w:rPr>
            </w:pPr>
            <w:r w:rsidRPr="007F7A64">
              <w:rPr>
                <w:b/>
              </w:rPr>
              <w:t xml:space="preserve">Expected </w:t>
            </w:r>
            <w:r>
              <w:rPr>
                <w:b/>
              </w:rPr>
              <w:t>Outcome</w:t>
            </w:r>
          </w:p>
        </w:tc>
        <w:tc>
          <w:tcPr>
            <w:tcW w:w="7920" w:type="dxa"/>
          </w:tcPr>
          <w:p w14:paraId="4A256157" w14:textId="43E00A6E" w:rsidR="0073424C" w:rsidRPr="007C1A2B" w:rsidRDefault="00DC1901" w:rsidP="00677732">
            <w:pPr>
              <w:spacing w:after="0"/>
              <w:rPr>
                <w:highlight w:val="yellow"/>
              </w:rPr>
            </w:pPr>
            <w:r w:rsidRPr="00270FC0">
              <w:t>HTS coverage increased for early detection and initiation of treatment to reduce HIV transmission to others and reduce morbidity and mortality of</w:t>
            </w:r>
            <w:r>
              <w:t xml:space="preserve"> </w:t>
            </w:r>
            <w:r w:rsidRPr="00DC1901">
              <w:t>MSM and h</w:t>
            </w:r>
            <w:r w:rsidR="00E1120B">
              <w:t>i</w:t>
            </w:r>
            <w:r w:rsidRPr="00DC1901">
              <w:t>jra PLHIV.</w:t>
            </w:r>
          </w:p>
        </w:tc>
      </w:tr>
      <w:tr w:rsidR="0073424C" w:rsidRPr="007F7A64" w14:paraId="30C28FE5" w14:textId="77777777" w:rsidTr="00BB6459">
        <w:trPr>
          <w:trHeight w:val="288"/>
        </w:trPr>
        <w:tc>
          <w:tcPr>
            <w:tcW w:w="2515" w:type="dxa"/>
            <w:shd w:val="clear" w:color="auto" w:fill="F2F2F2"/>
            <w:vAlign w:val="center"/>
          </w:tcPr>
          <w:p w14:paraId="78841A39" w14:textId="77777777" w:rsidR="0073424C" w:rsidRPr="00C44844" w:rsidRDefault="0073424C" w:rsidP="00677732">
            <w:pPr>
              <w:spacing w:after="0"/>
              <w:rPr>
                <w:b/>
              </w:rPr>
            </w:pPr>
            <w:r w:rsidRPr="007F7A64">
              <w:rPr>
                <w:b/>
              </w:rPr>
              <w:t>Expected Investment</w:t>
            </w:r>
          </w:p>
        </w:tc>
        <w:tc>
          <w:tcPr>
            <w:tcW w:w="7920" w:type="dxa"/>
          </w:tcPr>
          <w:p w14:paraId="7EEEF88F" w14:textId="77777777" w:rsidR="0073424C" w:rsidRPr="007C1A2B" w:rsidRDefault="0073424C" w:rsidP="00677732">
            <w:pPr>
              <w:spacing w:after="0"/>
              <w:rPr>
                <w:highlight w:val="yellow"/>
              </w:rPr>
            </w:pPr>
            <w:r w:rsidRPr="00DE2B0D">
              <w:rPr>
                <w:highlight w:val="green"/>
              </w:rPr>
              <w:t>US $ 455,194</w:t>
            </w:r>
          </w:p>
        </w:tc>
      </w:tr>
      <w:bookmarkEnd w:id="13"/>
    </w:tbl>
    <w:p w14:paraId="3571B136" w14:textId="77777777" w:rsidR="005D4000" w:rsidRDefault="005D4000" w:rsidP="009B6C0D">
      <w:pPr>
        <w:spacing w:after="0"/>
        <w:rPr>
          <w:i/>
          <w:sz w:val="16"/>
          <w:szCs w:val="16"/>
        </w:rPr>
      </w:pPr>
    </w:p>
    <w:tbl>
      <w:tblPr>
        <w:tblStyle w:val="TableGrid30"/>
        <w:tblW w:w="10435" w:type="dxa"/>
        <w:tblLook w:val="04A0" w:firstRow="1" w:lastRow="0" w:firstColumn="1" w:lastColumn="0" w:noHBand="0" w:noVBand="1"/>
      </w:tblPr>
      <w:tblGrid>
        <w:gridCol w:w="2245"/>
        <w:gridCol w:w="8190"/>
      </w:tblGrid>
      <w:tr w:rsidR="003B65B8" w:rsidRPr="007F7A64" w14:paraId="022D57D4" w14:textId="77777777" w:rsidTr="00AE0D3B">
        <w:trPr>
          <w:trHeight w:val="288"/>
        </w:trPr>
        <w:tc>
          <w:tcPr>
            <w:tcW w:w="2245" w:type="dxa"/>
            <w:shd w:val="clear" w:color="auto" w:fill="F2F2F2"/>
            <w:vAlign w:val="center"/>
          </w:tcPr>
          <w:p w14:paraId="395AC333" w14:textId="77777777" w:rsidR="003B65B8" w:rsidRPr="00E41EDC" w:rsidRDefault="003B65B8" w:rsidP="00677732">
            <w:pPr>
              <w:spacing w:after="0"/>
              <w:rPr>
                <w:b/>
              </w:rPr>
            </w:pPr>
            <w:r>
              <w:rPr>
                <w:b/>
              </w:rPr>
              <w:t>Module # 2</w:t>
            </w:r>
          </w:p>
        </w:tc>
        <w:tc>
          <w:tcPr>
            <w:tcW w:w="8190" w:type="dxa"/>
          </w:tcPr>
          <w:p w14:paraId="69FF4CAC" w14:textId="77777777" w:rsidR="003B65B8" w:rsidRPr="007B45F4" w:rsidRDefault="003B65B8" w:rsidP="00677732">
            <w:pPr>
              <w:spacing w:after="0"/>
              <w:rPr>
                <w:b/>
                <w:bCs/>
              </w:rPr>
            </w:pPr>
            <w:r w:rsidRPr="007B45F4">
              <w:rPr>
                <w:b/>
                <w:bCs/>
              </w:rPr>
              <w:t>Differentiated HIV Testing Services</w:t>
            </w:r>
            <w:r>
              <w:rPr>
                <w:b/>
                <w:bCs/>
              </w:rPr>
              <w:t xml:space="preserve">- </w:t>
            </w:r>
            <w:r w:rsidRPr="00347EE8">
              <w:rPr>
                <w:b/>
                <w:bCs/>
              </w:rPr>
              <w:t>Female Sex Worker and their clients</w:t>
            </w:r>
          </w:p>
        </w:tc>
      </w:tr>
      <w:tr w:rsidR="003B65B8" w:rsidRPr="007F7A64" w14:paraId="0C558BED" w14:textId="77777777" w:rsidTr="00AE0D3B">
        <w:trPr>
          <w:trHeight w:val="288"/>
        </w:trPr>
        <w:tc>
          <w:tcPr>
            <w:tcW w:w="2245" w:type="dxa"/>
            <w:shd w:val="clear" w:color="auto" w:fill="F2F2F2"/>
            <w:vAlign w:val="center"/>
          </w:tcPr>
          <w:p w14:paraId="208EFE5D" w14:textId="77777777" w:rsidR="003B65B8" w:rsidRPr="007F7A64" w:rsidRDefault="003B65B8" w:rsidP="00677732">
            <w:pPr>
              <w:spacing w:after="0"/>
              <w:rPr>
                <w:b/>
              </w:rPr>
            </w:pPr>
            <w:r w:rsidRPr="007F7A64">
              <w:rPr>
                <w:b/>
              </w:rPr>
              <w:t>Intervention(s)</w:t>
            </w:r>
            <w:r>
              <w:rPr>
                <w:b/>
              </w:rPr>
              <w:t xml:space="preserve"> &amp; Key Activities</w:t>
            </w:r>
          </w:p>
        </w:tc>
        <w:tc>
          <w:tcPr>
            <w:tcW w:w="8190" w:type="dxa"/>
          </w:tcPr>
          <w:p w14:paraId="28C0FEEB" w14:textId="1F9115AC" w:rsidR="003B65B8" w:rsidRDefault="003B65B8" w:rsidP="00677732">
            <w:pPr>
              <w:spacing w:after="0"/>
              <w:jc w:val="both"/>
            </w:pPr>
            <w:r w:rsidRPr="001116F6">
              <w:rPr>
                <w:b/>
                <w:bCs/>
              </w:rPr>
              <w:t>Intervention</w:t>
            </w:r>
            <w:r>
              <w:t>: Facility-based testing and community-based testing</w:t>
            </w:r>
          </w:p>
          <w:p w14:paraId="1A6F2C2E" w14:textId="6F497D5B" w:rsidR="003B65B8" w:rsidRDefault="003B65B8" w:rsidP="00677732">
            <w:pPr>
              <w:spacing w:after="0"/>
              <w:jc w:val="both"/>
            </w:pPr>
            <w:r w:rsidRPr="001116F6">
              <w:rPr>
                <w:b/>
                <w:bCs/>
              </w:rPr>
              <w:t>Activities</w:t>
            </w:r>
            <w:r>
              <w:t xml:space="preserve">: Annually, </w:t>
            </w:r>
            <w:r w:rsidR="00BE57E4">
              <w:t>around</w:t>
            </w:r>
            <w:r>
              <w:t xml:space="preserve"> </w:t>
            </w:r>
            <w:r w:rsidR="00F043B3">
              <w:t>9</w:t>
            </w:r>
            <w:r>
              <w:t>0% of FSWs will be tested both at the facility (i.e. DIC/Outlet</w:t>
            </w:r>
            <w:r w:rsidR="00F123D1">
              <w:t>/Govt. HTS</w:t>
            </w:r>
            <w:r>
              <w:t xml:space="preserve">) and community level. </w:t>
            </w:r>
            <w:r w:rsidR="00F043B3">
              <w:t>T</w:t>
            </w:r>
            <w:r>
              <w:t xml:space="preserve">he FSWs, female PWID who are involved in sex trade and their clients will be covered by HTS. Government HTS centers will also be utilized where possible through referral. FSWs and their clients will be mobilized for HTS from the community by the peer outreach worker, community groups, CBOs, network and through online. Index testing though already being introduced, but more systematic approaches will be followed. Spouse, children and regular partners of FSWs who are in their drug and sexual networks will be tested. In addition to, DIC/Outlet catchment areas, FSWs’ residence, congregation spots and other public gathering spots, like bus terminal, launch ghat, big bazar, etc. will be </w:t>
            </w:r>
            <w:r w:rsidR="00DB0C99">
              <w:t>used for m</w:t>
            </w:r>
            <w:r>
              <w:t xml:space="preserve">ass HIV testing campaign to bring more hidden population under service. The service providers will be trained accordingly. </w:t>
            </w:r>
          </w:p>
          <w:p w14:paraId="35FEA8F1" w14:textId="692C2CD0" w:rsidR="003B65B8" w:rsidRDefault="00A477B6" w:rsidP="00677732">
            <w:pPr>
              <w:spacing w:after="0"/>
              <w:jc w:val="both"/>
            </w:pPr>
            <w:r w:rsidRPr="00083E3F">
              <w:rPr>
                <w:u w:val="single"/>
              </w:rPr>
              <w:t>PR ASP,</w:t>
            </w:r>
            <w:r>
              <w:t xml:space="preserve"> will conduct HTS for the all population </w:t>
            </w:r>
            <w:r w:rsidR="00083E3F">
              <w:t xml:space="preserve">including TB cases </w:t>
            </w:r>
            <w:r>
              <w:t xml:space="preserve">through the hospital based HTS center, </w:t>
            </w:r>
            <w:r w:rsidR="00083E3F">
              <w:t>listed FSWs also be tested at least 90% since 2</w:t>
            </w:r>
            <w:r w:rsidR="00083E3F" w:rsidRPr="00083E3F">
              <w:rPr>
                <w:vertAlign w:val="superscript"/>
              </w:rPr>
              <w:t>nd</w:t>
            </w:r>
            <w:r w:rsidR="00083E3F">
              <w:t xml:space="preserve"> year. </w:t>
            </w:r>
            <w:r w:rsidR="00A0427F">
              <w:t xml:space="preserve">Also conduct campaign programme for HTS for the people.  </w:t>
            </w:r>
          </w:p>
          <w:p w14:paraId="6CD3A319" w14:textId="77777777" w:rsidR="003B65B8" w:rsidRDefault="003B65B8" w:rsidP="00677732">
            <w:pPr>
              <w:spacing w:after="0"/>
              <w:jc w:val="both"/>
            </w:pPr>
            <w:r w:rsidRPr="001116F6">
              <w:rPr>
                <w:b/>
                <w:bCs/>
              </w:rPr>
              <w:t>Intervention</w:t>
            </w:r>
            <w:r>
              <w:t>: Self-testing</w:t>
            </w:r>
          </w:p>
          <w:p w14:paraId="0E24D8EA" w14:textId="77777777" w:rsidR="003B65B8" w:rsidRDefault="003B65B8" w:rsidP="00677732">
            <w:pPr>
              <w:spacing w:after="0"/>
              <w:jc w:val="both"/>
            </w:pPr>
            <w:r w:rsidRPr="001116F6">
              <w:rPr>
                <w:b/>
                <w:bCs/>
              </w:rPr>
              <w:t>Activities</w:t>
            </w:r>
            <w:r>
              <w:t>: In this grant, self-testing either guided and or anonymous will be introduced for FSWs and their partners as pilot. The FSWs reached through virtual spaces will be offered self-testing anonymously.</w:t>
            </w:r>
          </w:p>
          <w:p w14:paraId="36A252F7" w14:textId="77777777" w:rsidR="003B65B8" w:rsidRPr="00030365" w:rsidRDefault="003B65B8" w:rsidP="00677732">
            <w:pPr>
              <w:spacing w:after="0"/>
              <w:jc w:val="both"/>
            </w:pPr>
          </w:p>
        </w:tc>
      </w:tr>
      <w:tr w:rsidR="003B65B8" w:rsidRPr="007F7A64" w14:paraId="3319F6A2" w14:textId="77777777" w:rsidTr="00AE0D3B">
        <w:trPr>
          <w:trHeight w:val="288"/>
        </w:trPr>
        <w:tc>
          <w:tcPr>
            <w:tcW w:w="2245" w:type="dxa"/>
            <w:shd w:val="clear" w:color="auto" w:fill="F2F2F2"/>
            <w:vAlign w:val="center"/>
          </w:tcPr>
          <w:p w14:paraId="48E5AD6F" w14:textId="77777777" w:rsidR="003B65B8" w:rsidRPr="007F7A64" w:rsidRDefault="003B65B8" w:rsidP="00677732">
            <w:pPr>
              <w:spacing w:after="0"/>
              <w:rPr>
                <w:b/>
              </w:rPr>
            </w:pPr>
            <w:r>
              <w:rPr>
                <w:b/>
              </w:rPr>
              <w:t>Priority Population(s)</w:t>
            </w:r>
          </w:p>
        </w:tc>
        <w:tc>
          <w:tcPr>
            <w:tcW w:w="8190" w:type="dxa"/>
          </w:tcPr>
          <w:p w14:paraId="2E3B46DA" w14:textId="77777777" w:rsidR="003B65B8" w:rsidRPr="00631737" w:rsidRDefault="003B65B8" w:rsidP="00677732">
            <w:pPr>
              <w:spacing w:after="0"/>
            </w:pPr>
            <w:r w:rsidRPr="00347EE8">
              <w:t>Female Sex Worker and their clients</w:t>
            </w:r>
          </w:p>
        </w:tc>
      </w:tr>
      <w:tr w:rsidR="003B65B8" w:rsidRPr="007F7A64" w14:paraId="76480C81" w14:textId="77777777" w:rsidTr="00AE0D3B">
        <w:trPr>
          <w:trHeight w:val="288"/>
        </w:trPr>
        <w:tc>
          <w:tcPr>
            <w:tcW w:w="2245" w:type="dxa"/>
            <w:shd w:val="clear" w:color="auto" w:fill="F2F2F2"/>
            <w:vAlign w:val="center"/>
          </w:tcPr>
          <w:p w14:paraId="06176BBD" w14:textId="77777777" w:rsidR="003B65B8" w:rsidRDefault="003B65B8" w:rsidP="00677732">
            <w:pPr>
              <w:spacing w:after="0"/>
              <w:rPr>
                <w:b/>
              </w:rPr>
            </w:pPr>
            <w:r>
              <w:rPr>
                <w:b/>
              </w:rPr>
              <w:t>Barriers and Inequities</w:t>
            </w:r>
          </w:p>
        </w:tc>
        <w:tc>
          <w:tcPr>
            <w:tcW w:w="8190" w:type="dxa"/>
          </w:tcPr>
          <w:p w14:paraId="4B8CDEB1" w14:textId="129A7D7F" w:rsidR="003B65B8" w:rsidRPr="00472B7F" w:rsidRDefault="006135C2" w:rsidP="00677732">
            <w:pPr>
              <w:spacing w:after="0"/>
            </w:pPr>
            <w:r w:rsidRPr="006135C2">
              <w:t xml:space="preserve">Barriers such as “fear of testing positive” </w:t>
            </w:r>
            <w:r>
              <w:t xml:space="preserve">is an issue to FSWs, which will be thrown them away from work.  Further, there is a perceived risk of losing energy and strength for sex work of giving blood sample.  </w:t>
            </w:r>
          </w:p>
        </w:tc>
      </w:tr>
      <w:tr w:rsidR="003B65B8" w:rsidRPr="007F7A64" w14:paraId="4266FB69" w14:textId="77777777" w:rsidTr="00AE0D3B">
        <w:trPr>
          <w:trHeight w:val="288"/>
        </w:trPr>
        <w:tc>
          <w:tcPr>
            <w:tcW w:w="2245" w:type="dxa"/>
            <w:shd w:val="clear" w:color="auto" w:fill="F2F2F2"/>
            <w:vAlign w:val="center"/>
          </w:tcPr>
          <w:p w14:paraId="4514B9C2" w14:textId="77777777" w:rsidR="003B65B8" w:rsidRPr="007F7A64" w:rsidRDefault="003B65B8" w:rsidP="00677732">
            <w:pPr>
              <w:spacing w:after="0"/>
              <w:rPr>
                <w:b/>
              </w:rPr>
            </w:pPr>
            <w:r>
              <w:rPr>
                <w:b/>
              </w:rPr>
              <w:t>Rationale</w:t>
            </w:r>
          </w:p>
        </w:tc>
        <w:tc>
          <w:tcPr>
            <w:tcW w:w="8190" w:type="dxa"/>
          </w:tcPr>
          <w:p w14:paraId="47271BEC" w14:textId="715B1181" w:rsidR="003B65B8" w:rsidRPr="007F7A64" w:rsidRDefault="00E25662" w:rsidP="00677732">
            <w:pPr>
              <w:spacing w:after="0"/>
              <w:jc w:val="both"/>
            </w:pPr>
            <w:r>
              <w:t xml:space="preserve">The investment case 2019 reported, if current prevention programs among KPs discontinued after 2020, the estimated PLHIV in Bangladesh would reach 81,154 by 2030 (Table 13) and the most affected group would be the ‘clients’ of sex worker [15, page 39, table 13] who are the bridging people. </w:t>
            </w:r>
            <w:r w:rsidRPr="00EF0A78">
              <w:t xml:space="preserve">HTS coverage </w:t>
            </w:r>
            <w:r>
              <w:t xml:space="preserve">need to be </w:t>
            </w:r>
            <w:r w:rsidRPr="00EF0A78">
              <w:t xml:space="preserve">increased for early detection and initiation of treatment </w:t>
            </w:r>
            <w:r>
              <w:t xml:space="preserve">among FSWs and its clients </w:t>
            </w:r>
            <w:r w:rsidRPr="00EF0A78">
              <w:t>to reduce HIV transmission to others and reduce morbidity and mortality of PLHIV</w:t>
            </w:r>
            <w:r>
              <w:t xml:space="preserve"> and to reach 90-90-90 targets</w:t>
            </w:r>
            <w:r w:rsidRPr="00EF0A78">
              <w:t>.</w:t>
            </w:r>
          </w:p>
        </w:tc>
      </w:tr>
      <w:tr w:rsidR="003B65B8" w:rsidRPr="007F7A64" w14:paraId="03118643" w14:textId="77777777" w:rsidTr="00AE0D3B">
        <w:trPr>
          <w:trHeight w:val="288"/>
        </w:trPr>
        <w:tc>
          <w:tcPr>
            <w:tcW w:w="2245" w:type="dxa"/>
            <w:shd w:val="clear" w:color="auto" w:fill="F2F2F2"/>
            <w:vAlign w:val="center"/>
          </w:tcPr>
          <w:p w14:paraId="03C7BA59" w14:textId="77777777" w:rsidR="003B65B8" w:rsidRPr="007F7A64" w:rsidRDefault="003B65B8" w:rsidP="00677732">
            <w:pPr>
              <w:spacing w:after="0"/>
              <w:rPr>
                <w:b/>
              </w:rPr>
            </w:pPr>
            <w:r w:rsidRPr="007F7A64">
              <w:rPr>
                <w:b/>
              </w:rPr>
              <w:t xml:space="preserve">Expected </w:t>
            </w:r>
            <w:r>
              <w:rPr>
                <w:b/>
              </w:rPr>
              <w:t>Outcome</w:t>
            </w:r>
          </w:p>
        </w:tc>
        <w:tc>
          <w:tcPr>
            <w:tcW w:w="8190" w:type="dxa"/>
          </w:tcPr>
          <w:p w14:paraId="20449B96" w14:textId="198BC36C" w:rsidR="003B65B8" w:rsidRPr="007C1A2B" w:rsidRDefault="00E25662" w:rsidP="00677732">
            <w:pPr>
              <w:spacing w:after="0"/>
              <w:rPr>
                <w:highlight w:val="yellow"/>
              </w:rPr>
            </w:pPr>
            <w:r w:rsidRPr="00472B7F">
              <w:t>HTS coverage increased for early detection and initiation of treatment to reduce HIV transmission to others and reduce morbidity and mortality of PLHIV</w:t>
            </w:r>
            <w:r>
              <w:t xml:space="preserve"> among FSWs and its clients</w:t>
            </w:r>
            <w:r w:rsidRPr="00472B7F">
              <w:t>.</w:t>
            </w:r>
          </w:p>
        </w:tc>
      </w:tr>
      <w:tr w:rsidR="003B65B8" w:rsidRPr="007F7A64" w14:paraId="48855C97" w14:textId="77777777" w:rsidTr="00AE0D3B">
        <w:trPr>
          <w:trHeight w:val="288"/>
        </w:trPr>
        <w:tc>
          <w:tcPr>
            <w:tcW w:w="2245" w:type="dxa"/>
            <w:shd w:val="clear" w:color="auto" w:fill="F2F2F2"/>
            <w:vAlign w:val="center"/>
          </w:tcPr>
          <w:p w14:paraId="525877BA" w14:textId="77777777" w:rsidR="003B65B8" w:rsidRPr="00C44844" w:rsidRDefault="003B65B8" w:rsidP="00677732">
            <w:pPr>
              <w:spacing w:after="0"/>
              <w:rPr>
                <w:b/>
              </w:rPr>
            </w:pPr>
            <w:r w:rsidRPr="007F7A64">
              <w:rPr>
                <w:b/>
              </w:rPr>
              <w:t>Expected Investment</w:t>
            </w:r>
          </w:p>
        </w:tc>
        <w:tc>
          <w:tcPr>
            <w:tcW w:w="8190" w:type="dxa"/>
          </w:tcPr>
          <w:p w14:paraId="26F60E0A" w14:textId="77777777" w:rsidR="003B65B8" w:rsidRPr="007C1A2B" w:rsidRDefault="003B65B8" w:rsidP="00677732">
            <w:pPr>
              <w:spacing w:after="0"/>
              <w:rPr>
                <w:highlight w:val="yellow"/>
              </w:rPr>
            </w:pPr>
            <w:r w:rsidRPr="00AE0D3B">
              <w:rPr>
                <w:highlight w:val="green"/>
              </w:rPr>
              <w:t>US $ 280,801</w:t>
            </w:r>
          </w:p>
        </w:tc>
      </w:tr>
    </w:tbl>
    <w:p w14:paraId="017C8B2C" w14:textId="567C9E81" w:rsidR="005D4000" w:rsidRDefault="005D4000" w:rsidP="009B6C0D">
      <w:pPr>
        <w:spacing w:after="0"/>
        <w:rPr>
          <w:i/>
          <w:sz w:val="16"/>
          <w:szCs w:val="16"/>
        </w:rPr>
      </w:pPr>
    </w:p>
    <w:tbl>
      <w:tblPr>
        <w:tblStyle w:val="TableGrid30"/>
        <w:tblW w:w="5000" w:type="pct"/>
        <w:tblLook w:val="04A0" w:firstRow="1" w:lastRow="0" w:firstColumn="1" w:lastColumn="0" w:noHBand="0" w:noVBand="1"/>
      </w:tblPr>
      <w:tblGrid>
        <w:gridCol w:w="2246"/>
        <w:gridCol w:w="8210"/>
      </w:tblGrid>
      <w:tr w:rsidR="00274E90" w:rsidRPr="003108F0" w14:paraId="206F0985" w14:textId="77777777" w:rsidTr="00031E15">
        <w:trPr>
          <w:trHeight w:val="288"/>
        </w:trPr>
        <w:tc>
          <w:tcPr>
            <w:tcW w:w="1074" w:type="pct"/>
            <w:shd w:val="clear" w:color="auto" w:fill="F2F2F2"/>
            <w:vAlign w:val="center"/>
          </w:tcPr>
          <w:p w14:paraId="632EE3C5" w14:textId="77777777" w:rsidR="00274E90" w:rsidRPr="003108F0" w:rsidRDefault="00274E90" w:rsidP="009B0847">
            <w:pPr>
              <w:rPr>
                <w:rFonts w:ascii="Arial" w:hAnsi="Arial" w:cs="Arial"/>
                <w:b/>
              </w:rPr>
            </w:pPr>
            <w:r w:rsidRPr="003108F0">
              <w:rPr>
                <w:rFonts w:ascii="Arial" w:hAnsi="Arial" w:cs="Arial"/>
                <w:b/>
              </w:rPr>
              <w:t>Module # 2</w:t>
            </w:r>
          </w:p>
        </w:tc>
        <w:tc>
          <w:tcPr>
            <w:tcW w:w="3926" w:type="pct"/>
          </w:tcPr>
          <w:p w14:paraId="18E4E698" w14:textId="77777777" w:rsidR="00274E90" w:rsidRPr="003108F0" w:rsidRDefault="00274E90" w:rsidP="009B0847">
            <w:pPr>
              <w:rPr>
                <w:rFonts w:ascii="Arial" w:hAnsi="Arial" w:cs="Arial"/>
                <w:b/>
                <w:bCs/>
              </w:rPr>
            </w:pPr>
            <w:r w:rsidRPr="003108F0">
              <w:rPr>
                <w:rFonts w:ascii="Arial" w:hAnsi="Arial" w:cs="Arial"/>
                <w:b/>
                <w:bCs/>
              </w:rPr>
              <w:t>Differentiated HIV Testing Services- P</w:t>
            </w:r>
            <w:r>
              <w:rPr>
                <w:rFonts w:ascii="Arial" w:hAnsi="Arial" w:cs="Arial"/>
                <w:b/>
                <w:bCs/>
              </w:rPr>
              <w:t>WID</w:t>
            </w:r>
            <w:r w:rsidRPr="003108F0">
              <w:rPr>
                <w:rFonts w:ascii="Arial" w:hAnsi="Arial" w:cs="Arial"/>
                <w:b/>
                <w:bCs/>
              </w:rPr>
              <w:t xml:space="preserve"> and their partners</w:t>
            </w:r>
          </w:p>
        </w:tc>
      </w:tr>
      <w:tr w:rsidR="00274E90" w:rsidRPr="003108F0" w14:paraId="5EB3905D" w14:textId="77777777" w:rsidTr="00031E15">
        <w:trPr>
          <w:trHeight w:val="288"/>
        </w:trPr>
        <w:tc>
          <w:tcPr>
            <w:tcW w:w="1074" w:type="pct"/>
            <w:shd w:val="clear" w:color="auto" w:fill="F2F2F2"/>
            <w:vAlign w:val="center"/>
          </w:tcPr>
          <w:p w14:paraId="5ECD04E9" w14:textId="77777777" w:rsidR="00274E90" w:rsidRPr="003108F0" w:rsidRDefault="00274E90" w:rsidP="009B0847">
            <w:pPr>
              <w:rPr>
                <w:rFonts w:ascii="Arial" w:hAnsi="Arial" w:cs="Arial"/>
                <w:b/>
              </w:rPr>
            </w:pPr>
            <w:r w:rsidRPr="003108F0">
              <w:rPr>
                <w:rFonts w:ascii="Arial" w:hAnsi="Arial" w:cs="Arial"/>
                <w:b/>
              </w:rPr>
              <w:t>Intervention(s) &amp; Key Activities</w:t>
            </w:r>
          </w:p>
        </w:tc>
        <w:tc>
          <w:tcPr>
            <w:tcW w:w="3926" w:type="pct"/>
          </w:tcPr>
          <w:p w14:paraId="7A42576D" w14:textId="77777777" w:rsidR="00274E90" w:rsidRPr="003108F0" w:rsidRDefault="00274E90" w:rsidP="009B0847">
            <w:pPr>
              <w:jc w:val="both"/>
              <w:rPr>
                <w:rFonts w:ascii="Arial" w:hAnsi="Arial" w:cs="Arial"/>
              </w:rPr>
            </w:pPr>
            <w:r w:rsidRPr="003108F0">
              <w:rPr>
                <w:rFonts w:ascii="Arial" w:hAnsi="Arial" w:cs="Arial"/>
                <w:b/>
                <w:bCs/>
              </w:rPr>
              <w:t>Intervention</w:t>
            </w:r>
            <w:r w:rsidRPr="003108F0">
              <w:rPr>
                <w:rFonts w:ascii="Arial" w:hAnsi="Arial" w:cs="Arial"/>
              </w:rPr>
              <w:t xml:space="preserve">: Facility-based </w:t>
            </w:r>
            <w:r>
              <w:rPr>
                <w:rFonts w:ascii="Arial" w:hAnsi="Arial" w:cs="Arial"/>
              </w:rPr>
              <w:t>(CDIC/</w:t>
            </w:r>
            <w:r w:rsidRPr="00B13F8F">
              <w:rPr>
                <w:rFonts w:ascii="Arial" w:hAnsi="Arial" w:cs="Arial"/>
              </w:rPr>
              <w:t>DIC/Outlet</w:t>
            </w:r>
            <w:r>
              <w:rPr>
                <w:rFonts w:ascii="Arial" w:hAnsi="Arial" w:cs="Arial"/>
              </w:rPr>
              <w:t xml:space="preserve">) </w:t>
            </w:r>
            <w:r w:rsidRPr="003108F0">
              <w:rPr>
                <w:rFonts w:ascii="Arial" w:hAnsi="Arial" w:cs="Arial"/>
              </w:rPr>
              <w:t>testing</w:t>
            </w:r>
            <w:r>
              <w:rPr>
                <w:rFonts w:ascii="Arial" w:hAnsi="Arial" w:cs="Arial"/>
              </w:rPr>
              <w:t xml:space="preserve"> </w:t>
            </w:r>
          </w:p>
          <w:p w14:paraId="5E20E94E" w14:textId="04EF65D4" w:rsidR="00274E90" w:rsidRDefault="00274E90" w:rsidP="009B0847">
            <w:pPr>
              <w:jc w:val="both"/>
              <w:rPr>
                <w:rFonts w:ascii="Arial" w:hAnsi="Arial" w:cs="Arial"/>
              </w:rPr>
            </w:pPr>
            <w:r w:rsidRPr="003108F0">
              <w:rPr>
                <w:rFonts w:ascii="Arial" w:hAnsi="Arial" w:cs="Arial"/>
                <w:b/>
                <w:bCs/>
              </w:rPr>
              <w:t>Activities</w:t>
            </w:r>
            <w:r w:rsidRPr="003108F0">
              <w:rPr>
                <w:rFonts w:ascii="Arial" w:hAnsi="Arial" w:cs="Arial"/>
              </w:rPr>
              <w:t xml:space="preserve">: </w:t>
            </w:r>
            <w:r>
              <w:rPr>
                <w:rFonts w:ascii="Arial" w:hAnsi="Arial" w:cs="Arial"/>
              </w:rPr>
              <w:t xml:space="preserve">Considering ‘test and treat’, </w:t>
            </w:r>
            <w:r w:rsidRPr="00B13F8F">
              <w:rPr>
                <w:rFonts w:ascii="Arial" w:hAnsi="Arial" w:cs="Arial"/>
              </w:rPr>
              <w:t xml:space="preserve">HIV case identification will be further strengthened through creating annual provision of HTS for 90% of the targeted </w:t>
            </w:r>
            <w:r>
              <w:rPr>
                <w:rFonts w:ascii="Arial" w:hAnsi="Arial" w:cs="Arial"/>
              </w:rPr>
              <w:t>PWID through</w:t>
            </w:r>
            <w:r w:rsidRPr="00B13F8F">
              <w:rPr>
                <w:rFonts w:ascii="Arial" w:hAnsi="Arial" w:cs="Arial"/>
              </w:rPr>
              <w:t xml:space="preserve"> </w:t>
            </w:r>
            <w:r>
              <w:rPr>
                <w:rFonts w:ascii="Arial" w:hAnsi="Arial" w:cs="Arial"/>
              </w:rPr>
              <w:t xml:space="preserve">provider initiated </w:t>
            </w:r>
            <w:r w:rsidRPr="00B13F8F">
              <w:rPr>
                <w:rFonts w:ascii="Arial" w:hAnsi="Arial" w:cs="Arial"/>
              </w:rPr>
              <w:t xml:space="preserve">HTS </w:t>
            </w:r>
            <w:r>
              <w:rPr>
                <w:rFonts w:ascii="Arial" w:hAnsi="Arial" w:cs="Arial"/>
              </w:rPr>
              <w:t>for</w:t>
            </w:r>
            <w:r w:rsidRPr="00B13F8F">
              <w:rPr>
                <w:rFonts w:ascii="Arial" w:hAnsi="Arial" w:cs="Arial"/>
              </w:rPr>
              <w:t xml:space="preserve"> </w:t>
            </w:r>
            <w:r>
              <w:rPr>
                <w:rFonts w:ascii="Arial" w:hAnsi="Arial" w:cs="Arial"/>
              </w:rPr>
              <w:t>PWID</w:t>
            </w:r>
            <w:r w:rsidRPr="00B13F8F">
              <w:rPr>
                <w:rFonts w:ascii="Arial" w:hAnsi="Arial" w:cs="Arial"/>
              </w:rPr>
              <w:t xml:space="preserve"> and their </w:t>
            </w:r>
            <w:r>
              <w:rPr>
                <w:rFonts w:ascii="Arial" w:hAnsi="Arial" w:cs="Arial"/>
              </w:rPr>
              <w:t>partners</w:t>
            </w:r>
            <w:r w:rsidRPr="00B13F8F">
              <w:rPr>
                <w:rFonts w:ascii="Arial" w:hAnsi="Arial" w:cs="Arial"/>
              </w:rPr>
              <w:t>. Government HTS centers will als</w:t>
            </w:r>
            <w:r>
              <w:rPr>
                <w:rFonts w:ascii="Arial" w:hAnsi="Arial" w:cs="Arial"/>
              </w:rPr>
              <w:t>o be utilized through referral.</w:t>
            </w:r>
          </w:p>
          <w:p w14:paraId="6F223A1F" w14:textId="72D885BF" w:rsidR="00083E3F" w:rsidRDefault="00083E3F" w:rsidP="009B0847">
            <w:pPr>
              <w:jc w:val="both"/>
              <w:rPr>
                <w:rFonts w:ascii="Arial" w:hAnsi="Arial" w:cs="Arial"/>
              </w:rPr>
            </w:pPr>
            <w:r w:rsidRPr="00083E3F">
              <w:rPr>
                <w:rFonts w:ascii="Arial" w:hAnsi="Arial" w:cs="Arial"/>
                <w:u w:val="single"/>
              </w:rPr>
              <w:t>PR ASP</w:t>
            </w:r>
            <w:r>
              <w:rPr>
                <w:rFonts w:ascii="Arial" w:hAnsi="Arial" w:cs="Arial"/>
              </w:rPr>
              <w:t xml:space="preserve"> will conduct HTS from the hospital for general population special emphasis will be given to TB cases and listed PWID at least 90%. </w:t>
            </w:r>
          </w:p>
          <w:p w14:paraId="25ED79A3" w14:textId="77777777" w:rsidR="00274E90" w:rsidRPr="00B13F8F" w:rsidRDefault="00274E90" w:rsidP="009B0847">
            <w:pPr>
              <w:jc w:val="both"/>
              <w:rPr>
                <w:rFonts w:ascii="Arial" w:hAnsi="Arial" w:cs="Arial"/>
              </w:rPr>
            </w:pPr>
            <w:r w:rsidRPr="00B13F8F">
              <w:rPr>
                <w:rFonts w:ascii="Arial" w:hAnsi="Arial" w:cs="Arial"/>
                <w:b/>
                <w:bCs/>
              </w:rPr>
              <w:t>Intervention:</w:t>
            </w:r>
            <w:r w:rsidRPr="00B13F8F">
              <w:rPr>
                <w:rFonts w:ascii="Arial" w:hAnsi="Arial" w:cs="Arial"/>
              </w:rPr>
              <w:t xml:space="preserve"> Community-based testing</w:t>
            </w:r>
          </w:p>
          <w:p w14:paraId="22602D38" w14:textId="77777777" w:rsidR="00274E90" w:rsidRPr="003108F0" w:rsidRDefault="00274E90" w:rsidP="009B0847">
            <w:pPr>
              <w:jc w:val="both"/>
              <w:rPr>
                <w:rFonts w:ascii="Arial" w:hAnsi="Arial" w:cs="Arial"/>
              </w:rPr>
            </w:pPr>
            <w:r w:rsidRPr="00B13F8F">
              <w:rPr>
                <w:rFonts w:ascii="Arial" w:hAnsi="Arial" w:cs="Arial"/>
                <w:b/>
                <w:bCs/>
              </w:rPr>
              <w:t>Activities:</w:t>
            </w:r>
            <w:r w:rsidRPr="00B13F8F">
              <w:rPr>
                <w:rFonts w:ascii="Arial" w:hAnsi="Arial" w:cs="Arial"/>
              </w:rPr>
              <w:t xml:space="preserve"> HTS will be offered to </w:t>
            </w:r>
            <w:r>
              <w:rPr>
                <w:rFonts w:ascii="Arial" w:hAnsi="Arial" w:cs="Arial"/>
              </w:rPr>
              <w:t>PWID</w:t>
            </w:r>
            <w:r w:rsidRPr="00B13F8F">
              <w:rPr>
                <w:rFonts w:ascii="Arial" w:hAnsi="Arial" w:cs="Arial"/>
              </w:rPr>
              <w:t xml:space="preserve"> at their residence and congregation spots by lay providers.</w:t>
            </w:r>
            <w:r>
              <w:rPr>
                <w:rFonts w:ascii="Arial" w:hAnsi="Arial" w:cs="Arial"/>
              </w:rPr>
              <w:t xml:space="preserve"> M</w:t>
            </w:r>
            <w:r w:rsidRPr="00B13F8F">
              <w:rPr>
                <w:rFonts w:ascii="Arial" w:hAnsi="Arial" w:cs="Arial"/>
              </w:rPr>
              <w:t>ass HIV testing campaign</w:t>
            </w:r>
            <w:r>
              <w:rPr>
                <w:rFonts w:ascii="Arial" w:hAnsi="Arial" w:cs="Arial"/>
              </w:rPr>
              <w:t>s</w:t>
            </w:r>
            <w:r w:rsidRPr="00B13F8F">
              <w:rPr>
                <w:rFonts w:ascii="Arial" w:hAnsi="Arial" w:cs="Arial"/>
              </w:rPr>
              <w:t xml:space="preserve"> will be organized</w:t>
            </w:r>
            <w:r>
              <w:rPr>
                <w:rFonts w:ascii="Arial" w:hAnsi="Arial" w:cs="Arial"/>
              </w:rPr>
              <w:t xml:space="preserve"> at CDIC/</w:t>
            </w:r>
            <w:r w:rsidRPr="00B13F8F">
              <w:rPr>
                <w:rFonts w:ascii="Arial" w:hAnsi="Arial" w:cs="Arial"/>
              </w:rPr>
              <w:t>DIC/Outlet catchment ar</w:t>
            </w:r>
            <w:r>
              <w:rPr>
                <w:rFonts w:ascii="Arial" w:hAnsi="Arial" w:cs="Arial"/>
              </w:rPr>
              <w:t xml:space="preserve">eas and public gathering spots </w:t>
            </w:r>
            <w:r w:rsidRPr="00B13F8F">
              <w:rPr>
                <w:rFonts w:ascii="Arial" w:hAnsi="Arial" w:cs="Arial"/>
              </w:rPr>
              <w:t>to bring more hidden population</w:t>
            </w:r>
            <w:r>
              <w:rPr>
                <w:rFonts w:ascii="Arial" w:hAnsi="Arial" w:cs="Arial"/>
              </w:rPr>
              <w:t>s</w:t>
            </w:r>
            <w:r w:rsidRPr="00B13F8F">
              <w:rPr>
                <w:rFonts w:ascii="Arial" w:hAnsi="Arial" w:cs="Arial"/>
              </w:rPr>
              <w:t xml:space="preserve"> under service</w:t>
            </w:r>
            <w:r>
              <w:rPr>
                <w:rFonts w:ascii="Arial" w:hAnsi="Arial" w:cs="Arial"/>
              </w:rPr>
              <w:t>s</w:t>
            </w:r>
            <w:r w:rsidRPr="00B13F8F">
              <w:rPr>
                <w:rFonts w:ascii="Arial" w:hAnsi="Arial" w:cs="Arial"/>
              </w:rPr>
              <w:t>.</w:t>
            </w:r>
            <w:r>
              <w:rPr>
                <w:rFonts w:ascii="Arial" w:hAnsi="Arial" w:cs="Arial"/>
              </w:rPr>
              <w:t xml:space="preserve"> I</w:t>
            </w:r>
            <w:r w:rsidRPr="00B13F8F">
              <w:rPr>
                <w:rFonts w:ascii="Arial" w:hAnsi="Arial" w:cs="Arial"/>
              </w:rPr>
              <w:t xml:space="preserve">ndex testing </w:t>
            </w:r>
            <w:r>
              <w:rPr>
                <w:rFonts w:ascii="Arial" w:hAnsi="Arial" w:cs="Arial"/>
              </w:rPr>
              <w:t>will be strengthened for s</w:t>
            </w:r>
            <w:r w:rsidRPr="00B13F8F">
              <w:rPr>
                <w:rFonts w:ascii="Arial" w:hAnsi="Arial" w:cs="Arial"/>
              </w:rPr>
              <w:t>pouse</w:t>
            </w:r>
            <w:r>
              <w:rPr>
                <w:rFonts w:ascii="Arial" w:hAnsi="Arial" w:cs="Arial"/>
              </w:rPr>
              <w:t>s and</w:t>
            </w:r>
            <w:r w:rsidRPr="00B13F8F">
              <w:rPr>
                <w:rFonts w:ascii="Arial" w:hAnsi="Arial" w:cs="Arial"/>
              </w:rPr>
              <w:t xml:space="preserve"> children</w:t>
            </w:r>
            <w:r>
              <w:rPr>
                <w:rFonts w:ascii="Arial" w:hAnsi="Arial" w:cs="Arial"/>
              </w:rPr>
              <w:t>,</w:t>
            </w:r>
            <w:r w:rsidRPr="00B13F8F">
              <w:rPr>
                <w:rFonts w:ascii="Arial" w:hAnsi="Arial" w:cs="Arial"/>
              </w:rPr>
              <w:t xml:space="preserve"> and regular partners of </w:t>
            </w:r>
            <w:r>
              <w:rPr>
                <w:rFonts w:ascii="Arial" w:hAnsi="Arial" w:cs="Arial"/>
              </w:rPr>
              <w:t>PWID</w:t>
            </w:r>
            <w:r w:rsidRPr="00B13F8F">
              <w:rPr>
                <w:rFonts w:ascii="Arial" w:hAnsi="Arial" w:cs="Arial"/>
              </w:rPr>
              <w:t xml:space="preserve"> </w:t>
            </w:r>
            <w:r>
              <w:rPr>
                <w:rFonts w:ascii="Arial" w:hAnsi="Arial" w:cs="Arial"/>
              </w:rPr>
              <w:t>(</w:t>
            </w:r>
            <w:r w:rsidRPr="00B13F8F">
              <w:rPr>
                <w:rFonts w:ascii="Arial" w:hAnsi="Arial" w:cs="Arial"/>
              </w:rPr>
              <w:t>in their drug and sex networks</w:t>
            </w:r>
            <w:r>
              <w:rPr>
                <w:rFonts w:ascii="Arial" w:hAnsi="Arial" w:cs="Arial"/>
              </w:rPr>
              <w:t>)</w:t>
            </w:r>
            <w:r w:rsidRPr="00B13F8F">
              <w:rPr>
                <w:rFonts w:ascii="Arial" w:hAnsi="Arial" w:cs="Arial"/>
              </w:rPr>
              <w:t xml:space="preserve">. </w:t>
            </w:r>
            <w:r w:rsidRPr="00460D1C">
              <w:rPr>
                <w:rFonts w:ascii="Arial" w:hAnsi="Arial" w:cs="Arial"/>
              </w:rPr>
              <w:t xml:space="preserve">Demand generation will be </w:t>
            </w:r>
            <w:r>
              <w:rPr>
                <w:rFonts w:ascii="Arial" w:hAnsi="Arial" w:cs="Arial"/>
              </w:rPr>
              <w:t>done</w:t>
            </w:r>
            <w:r w:rsidRPr="00460D1C">
              <w:rPr>
                <w:rFonts w:ascii="Arial" w:hAnsi="Arial" w:cs="Arial"/>
              </w:rPr>
              <w:t xml:space="preserve"> by</w:t>
            </w:r>
            <w:r>
              <w:rPr>
                <w:rFonts w:ascii="Arial" w:hAnsi="Arial" w:cs="Arial"/>
              </w:rPr>
              <w:t xml:space="preserve"> </w:t>
            </w:r>
            <w:r w:rsidRPr="00460D1C">
              <w:rPr>
                <w:rFonts w:ascii="Arial" w:hAnsi="Arial" w:cs="Arial"/>
              </w:rPr>
              <w:t>community group</w:t>
            </w:r>
            <w:r>
              <w:rPr>
                <w:rFonts w:ascii="Arial" w:hAnsi="Arial" w:cs="Arial"/>
              </w:rPr>
              <w:t>s</w:t>
            </w:r>
            <w:r w:rsidRPr="00460D1C">
              <w:rPr>
                <w:rFonts w:ascii="Arial" w:hAnsi="Arial" w:cs="Arial"/>
              </w:rPr>
              <w:t xml:space="preserve">, CBOs and </w:t>
            </w:r>
            <w:r>
              <w:rPr>
                <w:rFonts w:ascii="Arial" w:hAnsi="Arial" w:cs="Arial"/>
              </w:rPr>
              <w:t xml:space="preserve">drug user </w:t>
            </w:r>
            <w:r w:rsidRPr="00460D1C">
              <w:rPr>
                <w:rFonts w:ascii="Arial" w:hAnsi="Arial" w:cs="Arial"/>
              </w:rPr>
              <w:t xml:space="preserve">network. </w:t>
            </w:r>
            <w:r w:rsidRPr="00A615D1">
              <w:rPr>
                <w:rFonts w:ascii="Arial" w:hAnsi="Arial" w:cs="Arial"/>
              </w:rPr>
              <w:t>MA will provide hands</w:t>
            </w:r>
            <w:r>
              <w:rPr>
                <w:rFonts w:ascii="Arial" w:hAnsi="Arial" w:cs="Arial"/>
              </w:rPr>
              <w:t>-</w:t>
            </w:r>
            <w:r w:rsidRPr="00A615D1">
              <w:rPr>
                <w:rFonts w:ascii="Arial" w:hAnsi="Arial" w:cs="Arial"/>
              </w:rPr>
              <w:t>on training and supervise H</w:t>
            </w:r>
            <w:r>
              <w:rPr>
                <w:rFonts w:ascii="Arial" w:hAnsi="Arial" w:cs="Arial"/>
              </w:rPr>
              <w:t>TS</w:t>
            </w:r>
            <w:r w:rsidRPr="00A615D1">
              <w:rPr>
                <w:rFonts w:ascii="Arial" w:hAnsi="Arial" w:cs="Arial"/>
              </w:rPr>
              <w:t>.</w:t>
            </w:r>
          </w:p>
        </w:tc>
      </w:tr>
      <w:tr w:rsidR="00274E90" w:rsidRPr="003108F0" w14:paraId="21686512" w14:textId="77777777" w:rsidTr="00031E15">
        <w:trPr>
          <w:trHeight w:val="288"/>
        </w:trPr>
        <w:tc>
          <w:tcPr>
            <w:tcW w:w="1074" w:type="pct"/>
            <w:shd w:val="clear" w:color="auto" w:fill="F2F2F2"/>
            <w:vAlign w:val="center"/>
          </w:tcPr>
          <w:p w14:paraId="29B62384" w14:textId="77777777" w:rsidR="00274E90" w:rsidRPr="003108F0" w:rsidRDefault="00274E90" w:rsidP="009B0847">
            <w:pPr>
              <w:rPr>
                <w:rFonts w:ascii="Arial" w:hAnsi="Arial" w:cs="Arial"/>
                <w:b/>
              </w:rPr>
            </w:pPr>
            <w:r w:rsidRPr="003108F0">
              <w:rPr>
                <w:rFonts w:ascii="Arial" w:hAnsi="Arial" w:cs="Arial"/>
                <w:b/>
              </w:rPr>
              <w:t>Priority Population(s)</w:t>
            </w:r>
          </w:p>
        </w:tc>
        <w:tc>
          <w:tcPr>
            <w:tcW w:w="3926" w:type="pct"/>
          </w:tcPr>
          <w:p w14:paraId="4B7D4FBA" w14:textId="77777777" w:rsidR="00274E90" w:rsidRPr="003108F0" w:rsidRDefault="00274E90" w:rsidP="009B0847">
            <w:pPr>
              <w:rPr>
                <w:rFonts w:ascii="Arial" w:hAnsi="Arial" w:cs="Arial"/>
              </w:rPr>
            </w:pPr>
            <w:r w:rsidRPr="003108F0">
              <w:rPr>
                <w:rFonts w:ascii="Arial" w:hAnsi="Arial" w:cs="Arial"/>
              </w:rPr>
              <w:t>People who inject drugs and their partners</w:t>
            </w:r>
          </w:p>
        </w:tc>
      </w:tr>
      <w:tr w:rsidR="00274E90" w:rsidRPr="003108F0" w14:paraId="153DADC8" w14:textId="77777777" w:rsidTr="00031E15">
        <w:trPr>
          <w:trHeight w:val="288"/>
        </w:trPr>
        <w:tc>
          <w:tcPr>
            <w:tcW w:w="1074" w:type="pct"/>
            <w:shd w:val="clear" w:color="auto" w:fill="F2F2F2"/>
            <w:vAlign w:val="center"/>
          </w:tcPr>
          <w:p w14:paraId="3CFA167E" w14:textId="77777777" w:rsidR="00274E90" w:rsidRPr="003108F0" w:rsidRDefault="00274E90" w:rsidP="009B0847">
            <w:pPr>
              <w:rPr>
                <w:rFonts w:ascii="Arial" w:hAnsi="Arial" w:cs="Arial"/>
                <w:b/>
              </w:rPr>
            </w:pPr>
            <w:r w:rsidRPr="003108F0">
              <w:rPr>
                <w:rFonts w:ascii="Arial" w:hAnsi="Arial" w:cs="Arial"/>
                <w:b/>
              </w:rPr>
              <w:t>Barriers and Inequities</w:t>
            </w:r>
          </w:p>
        </w:tc>
        <w:tc>
          <w:tcPr>
            <w:tcW w:w="3926" w:type="pct"/>
          </w:tcPr>
          <w:p w14:paraId="613DA707" w14:textId="77777777" w:rsidR="00274E90" w:rsidRPr="003108F0" w:rsidRDefault="00274E90" w:rsidP="009B0847">
            <w:pPr>
              <w:jc w:val="both"/>
              <w:rPr>
                <w:rFonts w:ascii="Arial" w:hAnsi="Arial" w:cs="Arial"/>
              </w:rPr>
            </w:pPr>
            <w:r w:rsidRPr="00285C75">
              <w:rPr>
                <w:rFonts w:ascii="Arial" w:hAnsi="Arial" w:cs="Arial"/>
              </w:rPr>
              <w:t xml:space="preserve">Though access and utilization of HIV testing </w:t>
            </w:r>
            <w:r>
              <w:rPr>
                <w:rFonts w:ascii="Arial" w:hAnsi="Arial" w:cs="Arial"/>
              </w:rPr>
              <w:t xml:space="preserve">among PWID </w:t>
            </w:r>
            <w:r w:rsidRPr="00285C75">
              <w:rPr>
                <w:rFonts w:ascii="Arial" w:hAnsi="Arial" w:cs="Arial"/>
              </w:rPr>
              <w:t>has increased over the years</w:t>
            </w:r>
            <w:r>
              <w:rPr>
                <w:rFonts w:ascii="Arial" w:hAnsi="Arial" w:cs="Arial"/>
              </w:rPr>
              <w:t xml:space="preserve">, </w:t>
            </w:r>
            <w:r w:rsidRPr="00285C75">
              <w:rPr>
                <w:rFonts w:ascii="Arial" w:hAnsi="Arial" w:cs="Arial"/>
              </w:rPr>
              <w:t xml:space="preserve">partner disclosure and testing coverage is </w:t>
            </w:r>
            <w:r>
              <w:rPr>
                <w:rFonts w:ascii="Arial" w:hAnsi="Arial" w:cs="Arial"/>
              </w:rPr>
              <w:t>inadequate</w:t>
            </w:r>
            <w:r w:rsidRPr="00285C75">
              <w:rPr>
                <w:rFonts w:ascii="Arial" w:hAnsi="Arial" w:cs="Arial"/>
              </w:rPr>
              <w:t xml:space="preserve">. </w:t>
            </w:r>
            <w:r>
              <w:rPr>
                <w:rFonts w:ascii="Arial" w:hAnsi="Arial" w:cs="Arial"/>
              </w:rPr>
              <w:t>I</w:t>
            </w:r>
            <w:r w:rsidRPr="00285C75">
              <w:rPr>
                <w:rFonts w:ascii="Arial" w:hAnsi="Arial" w:cs="Arial"/>
              </w:rPr>
              <w:t>njecting and sex partners and children of PWID</w:t>
            </w:r>
            <w:r>
              <w:rPr>
                <w:rFonts w:ascii="Arial" w:hAnsi="Arial" w:cs="Arial"/>
              </w:rPr>
              <w:t xml:space="preserve"> are often out of HTS. Thus, new case identification and linked HIV care is still a challenge.</w:t>
            </w:r>
          </w:p>
        </w:tc>
      </w:tr>
      <w:tr w:rsidR="00274E90" w:rsidRPr="003108F0" w14:paraId="27B65F5D" w14:textId="77777777" w:rsidTr="00031E15">
        <w:trPr>
          <w:trHeight w:val="288"/>
        </w:trPr>
        <w:tc>
          <w:tcPr>
            <w:tcW w:w="1074" w:type="pct"/>
            <w:shd w:val="clear" w:color="auto" w:fill="F2F2F2"/>
            <w:vAlign w:val="center"/>
          </w:tcPr>
          <w:p w14:paraId="7A409D41" w14:textId="77777777" w:rsidR="00274E90" w:rsidRPr="003108F0" w:rsidRDefault="00274E90" w:rsidP="009B0847">
            <w:pPr>
              <w:rPr>
                <w:rFonts w:ascii="Arial" w:hAnsi="Arial" w:cs="Arial"/>
                <w:b/>
              </w:rPr>
            </w:pPr>
            <w:r w:rsidRPr="003108F0">
              <w:rPr>
                <w:rFonts w:ascii="Arial" w:hAnsi="Arial" w:cs="Arial"/>
                <w:b/>
              </w:rPr>
              <w:t>Rationale</w:t>
            </w:r>
          </w:p>
        </w:tc>
        <w:tc>
          <w:tcPr>
            <w:tcW w:w="3926" w:type="pct"/>
          </w:tcPr>
          <w:p w14:paraId="1BDDD162" w14:textId="77777777" w:rsidR="00274E90" w:rsidRPr="003108F0" w:rsidRDefault="00274E90" w:rsidP="009B0847">
            <w:pPr>
              <w:jc w:val="both"/>
              <w:rPr>
                <w:rFonts w:ascii="Arial" w:hAnsi="Arial" w:cs="Arial"/>
              </w:rPr>
            </w:pPr>
            <w:r w:rsidRPr="003108F0">
              <w:rPr>
                <w:rFonts w:ascii="Arial" w:hAnsi="Arial" w:cs="Arial"/>
              </w:rPr>
              <w:t>HTS need</w:t>
            </w:r>
            <w:r>
              <w:rPr>
                <w:rFonts w:ascii="Arial" w:hAnsi="Arial" w:cs="Arial"/>
              </w:rPr>
              <w:t>s</w:t>
            </w:r>
            <w:r w:rsidRPr="003108F0">
              <w:rPr>
                <w:rFonts w:ascii="Arial" w:hAnsi="Arial" w:cs="Arial"/>
              </w:rPr>
              <w:t xml:space="preserve"> to be strengthen</w:t>
            </w:r>
            <w:r>
              <w:rPr>
                <w:rFonts w:ascii="Arial" w:hAnsi="Arial" w:cs="Arial"/>
              </w:rPr>
              <w:t>ed</w:t>
            </w:r>
            <w:r w:rsidRPr="003108F0">
              <w:rPr>
                <w:rFonts w:ascii="Arial" w:hAnsi="Arial" w:cs="Arial"/>
              </w:rPr>
              <w:t xml:space="preserve"> among PWID for early detection and immediate initiation of treatment to reach 90-90-90 targets. Both facility-based and community-based HTS will be available for them.</w:t>
            </w:r>
          </w:p>
        </w:tc>
      </w:tr>
      <w:tr w:rsidR="00274E90" w:rsidRPr="003108F0" w14:paraId="1C98555C" w14:textId="77777777" w:rsidTr="00031E15">
        <w:trPr>
          <w:trHeight w:val="288"/>
        </w:trPr>
        <w:tc>
          <w:tcPr>
            <w:tcW w:w="1074" w:type="pct"/>
            <w:shd w:val="clear" w:color="auto" w:fill="F2F2F2"/>
            <w:vAlign w:val="center"/>
          </w:tcPr>
          <w:p w14:paraId="1A75468F" w14:textId="77777777" w:rsidR="00274E90" w:rsidRPr="003108F0" w:rsidRDefault="00274E90" w:rsidP="009B0847">
            <w:pPr>
              <w:rPr>
                <w:rFonts w:ascii="Arial" w:hAnsi="Arial" w:cs="Arial"/>
                <w:b/>
              </w:rPr>
            </w:pPr>
            <w:r w:rsidRPr="003108F0">
              <w:rPr>
                <w:rFonts w:ascii="Arial" w:hAnsi="Arial" w:cs="Arial"/>
                <w:b/>
              </w:rPr>
              <w:t>Expected Outcome</w:t>
            </w:r>
          </w:p>
        </w:tc>
        <w:tc>
          <w:tcPr>
            <w:tcW w:w="3926" w:type="pct"/>
          </w:tcPr>
          <w:p w14:paraId="20209246" w14:textId="77777777" w:rsidR="00274E90" w:rsidRPr="003108F0" w:rsidRDefault="00274E90" w:rsidP="009B0847">
            <w:pPr>
              <w:rPr>
                <w:rFonts w:ascii="Arial" w:hAnsi="Arial" w:cs="Arial"/>
                <w:highlight w:val="yellow"/>
              </w:rPr>
            </w:pPr>
            <w:r w:rsidRPr="003108F0">
              <w:rPr>
                <w:rFonts w:ascii="Arial" w:hAnsi="Arial" w:cs="Arial"/>
              </w:rPr>
              <w:t>HTS coverage increased for early detection and initiation of treatment to reduce HIV transmission and reduce morbidity and mortality of PLHIV.</w:t>
            </w:r>
          </w:p>
        </w:tc>
      </w:tr>
      <w:tr w:rsidR="00274E90" w:rsidRPr="003108F0" w14:paraId="4C9E39B5" w14:textId="77777777" w:rsidTr="00031E15">
        <w:trPr>
          <w:trHeight w:val="288"/>
        </w:trPr>
        <w:tc>
          <w:tcPr>
            <w:tcW w:w="1074" w:type="pct"/>
            <w:shd w:val="clear" w:color="auto" w:fill="F2F2F2"/>
            <w:vAlign w:val="center"/>
          </w:tcPr>
          <w:p w14:paraId="1B0F5A4E" w14:textId="77777777" w:rsidR="00274E90" w:rsidRPr="003108F0" w:rsidRDefault="00274E90" w:rsidP="009B0847">
            <w:pPr>
              <w:rPr>
                <w:rFonts w:ascii="Arial" w:hAnsi="Arial" w:cs="Arial"/>
                <w:b/>
              </w:rPr>
            </w:pPr>
            <w:r w:rsidRPr="003108F0">
              <w:rPr>
                <w:rFonts w:ascii="Arial" w:hAnsi="Arial" w:cs="Arial"/>
                <w:b/>
              </w:rPr>
              <w:t>Expected Investment</w:t>
            </w:r>
          </w:p>
        </w:tc>
        <w:tc>
          <w:tcPr>
            <w:tcW w:w="3926" w:type="pct"/>
          </w:tcPr>
          <w:p w14:paraId="3708186F" w14:textId="77777777" w:rsidR="00274E90" w:rsidRPr="003108F0" w:rsidRDefault="00274E90" w:rsidP="009B0847">
            <w:pPr>
              <w:rPr>
                <w:rFonts w:ascii="Arial" w:hAnsi="Arial" w:cs="Arial"/>
                <w:highlight w:val="yellow"/>
              </w:rPr>
            </w:pPr>
            <w:r w:rsidRPr="00FB0A6B">
              <w:rPr>
                <w:rFonts w:ascii="Arial" w:hAnsi="Arial" w:cs="Arial"/>
                <w:highlight w:val="yellow"/>
              </w:rPr>
              <w:t>US $ 186,079</w:t>
            </w:r>
          </w:p>
        </w:tc>
      </w:tr>
    </w:tbl>
    <w:p w14:paraId="515435A9" w14:textId="5CDE1748" w:rsidR="00A020B5" w:rsidRDefault="00A020B5" w:rsidP="009B6C0D">
      <w:pPr>
        <w:spacing w:after="0"/>
        <w:rPr>
          <w:iCs/>
          <w:sz w:val="16"/>
          <w:szCs w:val="16"/>
        </w:rPr>
      </w:pPr>
    </w:p>
    <w:tbl>
      <w:tblPr>
        <w:tblStyle w:val="TableGrid30"/>
        <w:tblW w:w="5000" w:type="pct"/>
        <w:tblLook w:val="04A0" w:firstRow="1" w:lastRow="0" w:firstColumn="1" w:lastColumn="0" w:noHBand="0" w:noVBand="1"/>
      </w:tblPr>
      <w:tblGrid>
        <w:gridCol w:w="2246"/>
        <w:gridCol w:w="8210"/>
      </w:tblGrid>
      <w:tr w:rsidR="00274E90" w:rsidRPr="003108F0" w14:paraId="2318427E" w14:textId="77777777" w:rsidTr="00031E15">
        <w:trPr>
          <w:trHeight w:val="288"/>
        </w:trPr>
        <w:tc>
          <w:tcPr>
            <w:tcW w:w="1074" w:type="pct"/>
            <w:shd w:val="clear" w:color="auto" w:fill="F2F2F2"/>
            <w:vAlign w:val="center"/>
          </w:tcPr>
          <w:p w14:paraId="14DE7AA3" w14:textId="77777777" w:rsidR="00274E90" w:rsidRPr="003108F0" w:rsidRDefault="00274E90" w:rsidP="009B0847">
            <w:pPr>
              <w:rPr>
                <w:rFonts w:ascii="Arial" w:hAnsi="Arial" w:cs="Arial"/>
                <w:b/>
              </w:rPr>
            </w:pPr>
            <w:r w:rsidRPr="003108F0">
              <w:rPr>
                <w:rFonts w:ascii="Arial" w:hAnsi="Arial" w:cs="Arial"/>
                <w:b/>
              </w:rPr>
              <w:t>Module # 3</w:t>
            </w:r>
          </w:p>
        </w:tc>
        <w:tc>
          <w:tcPr>
            <w:tcW w:w="3926" w:type="pct"/>
          </w:tcPr>
          <w:p w14:paraId="36137264" w14:textId="77777777" w:rsidR="00274E90" w:rsidRPr="003108F0" w:rsidRDefault="00274E90" w:rsidP="009B0847">
            <w:pPr>
              <w:rPr>
                <w:rFonts w:ascii="Arial" w:hAnsi="Arial" w:cs="Arial"/>
                <w:b/>
                <w:bCs/>
              </w:rPr>
            </w:pPr>
            <w:r w:rsidRPr="003108F0">
              <w:rPr>
                <w:rFonts w:ascii="Arial" w:hAnsi="Arial" w:cs="Arial"/>
                <w:b/>
                <w:bCs/>
              </w:rPr>
              <w:t>Treatment, care and support</w:t>
            </w:r>
          </w:p>
        </w:tc>
      </w:tr>
      <w:tr w:rsidR="00274E90" w:rsidRPr="003108F0" w14:paraId="6609D22E" w14:textId="77777777" w:rsidTr="00031E15">
        <w:trPr>
          <w:trHeight w:val="288"/>
        </w:trPr>
        <w:tc>
          <w:tcPr>
            <w:tcW w:w="1074" w:type="pct"/>
            <w:shd w:val="clear" w:color="auto" w:fill="F2F2F2"/>
            <w:vAlign w:val="center"/>
          </w:tcPr>
          <w:p w14:paraId="74BB9F48" w14:textId="77777777" w:rsidR="00274E90" w:rsidRPr="003108F0" w:rsidRDefault="00274E90" w:rsidP="009B0847">
            <w:pPr>
              <w:rPr>
                <w:rFonts w:ascii="Arial" w:hAnsi="Arial" w:cs="Arial"/>
                <w:b/>
              </w:rPr>
            </w:pPr>
            <w:r w:rsidRPr="003108F0">
              <w:rPr>
                <w:rFonts w:ascii="Arial" w:hAnsi="Arial" w:cs="Arial"/>
                <w:b/>
              </w:rPr>
              <w:t>Intervention(s) &amp; Key Activities</w:t>
            </w:r>
          </w:p>
        </w:tc>
        <w:tc>
          <w:tcPr>
            <w:tcW w:w="3926" w:type="pct"/>
          </w:tcPr>
          <w:p w14:paraId="5CDA803F" w14:textId="77777777" w:rsidR="00274E90" w:rsidRPr="003108F0" w:rsidRDefault="00274E90" w:rsidP="009B0847">
            <w:pPr>
              <w:jc w:val="both"/>
              <w:rPr>
                <w:rFonts w:ascii="Arial" w:hAnsi="Arial" w:cs="Arial"/>
              </w:rPr>
            </w:pPr>
            <w:r w:rsidRPr="003108F0">
              <w:rPr>
                <w:rFonts w:ascii="Arial" w:hAnsi="Arial" w:cs="Arial"/>
                <w:b/>
                <w:bCs/>
              </w:rPr>
              <w:t>Intervention:</w:t>
            </w:r>
            <w:r w:rsidRPr="003108F0">
              <w:rPr>
                <w:rFonts w:ascii="Arial" w:hAnsi="Arial" w:cs="Arial"/>
              </w:rPr>
              <w:t xml:space="preserve"> Differentiated ART service delivery and HIV care</w:t>
            </w:r>
          </w:p>
          <w:p w14:paraId="794C133D" w14:textId="72C72EBC" w:rsidR="00274E90" w:rsidRPr="00112AFD" w:rsidRDefault="00274E90" w:rsidP="009B0847">
            <w:pPr>
              <w:jc w:val="both"/>
              <w:rPr>
                <w:rFonts w:ascii="Arial" w:hAnsi="Arial" w:cs="Arial"/>
                <w:sz w:val="16"/>
                <w:szCs w:val="16"/>
              </w:rPr>
            </w:pPr>
            <w:r w:rsidRPr="003108F0">
              <w:rPr>
                <w:rFonts w:ascii="Arial" w:hAnsi="Arial" w:cs="Arial"/>
                <w:b/>
                <w:bCs/>
              </w:rPr>
              <w:t>Activities:</w:t>
            </w:r>
            <w:r w:rsidRPr="003108F0">
              <w:rPr>
                <w:rFonts w:ascii="Arial" w:hAnsi="Arial" w:cs="Arial"/>
              </w:rPr>
              <w:t xml:space="preserve">  </w:t>
            </w:r>
            <w:r w:rsidRPr="00FB0A6B">
              <w:rPr>
                <w:rFonts w:ascii="Arial" w:hAnsi="Arial" w:cs="Arial"/>
              </w:rPr>
              <w:t>Differentiated ART service delivery framework will be updated and implemented to support the national program.</w:t>
            </w:r>
            <w:r>
              <w:rPr>
                <w:rFonts w:ascii="Arial" w:hAnsi="Arial" w:cs="Arial"/>
              </w:rPr>
              <w:t xml:space="preserve"> E</w:t>
            </w:r>
            <w:r w:rsidRPr="00FB0A6B">
              <w:rPr>
                <w:rFonts w:ascii="Arial" w:hAnsi="Arial" w:cs="Arial"/>
              </w:rPr>
              <w:t>nrolment and retention of PLHIV in chronic HIV care will be strengthened through secondment of CPC, organiz</w:t>
            </w:r>
            <w:r>
              <w:rPr>
                <w:rFonts w:ascii="Arial" w:hAnsi="Arial" w:cs="Arial"/>
              </w:rPr>
              <w:t xml:space="preserve">ing </w:t>
            </w:r>
            <w:r w:rsidRPr="00FB0A6B">
              <w:rPr>
                <w:rFonts w:ascii="Arial" w:hAnsi="Arial" w:cs="Arial"/>
              </w:rPr>
              <w:t>regular coordination meeting and through nutrition support.</w:t>
            </w:r>
          </w:p>
          <w:p w14:paraId="768B0AE9" w14:textId="77777777" w:rsidR="00274E90" w:rsidRPr="003108F0" w:rsidRDefault="00274E90" w:rsidP="009B0847">
            <w:pPr>
              <w:jc w:val="both"/>
              <w:rPr>
                <w:rFonts w:ascii="Arial" w:hAnsi="Arial" w:cs="Arial"/>
              </w:rPr>
            </w:pPr>
            <w:r w:rsidRPr="003108F0">
              <w:rPr>
                <w:rFonts w:ascii="Arial" w:hAnsi="Arial" w:cs="Arial"/>
                <w:b/>
                <w:bCs/>
              </w:rPr>
              <w:t>Intervention</w:t>
            </w:r>
            <w:r w:rsidRPr="003108F0">
              <w:rPr>
                <w:rFonts w:ascii="Arial" w:hAnsi="Arial" w:cs="Arial"/>
              </w:rPr>
              <w:t>: Treatment monitoring - ARV toxicity</w:t>
            </w:r>
          </w:p>
          <w:p w14:paraId="4F2E814F" w14:textId="77777777" w:rsidR="00274E90" w:rsidRPr="003108F0" w:rsidRDefault="00274E90" w:rsidP="009B0847">
            <w:pPr>
              <w:jc w:val="both"/>
              <w:rPr>
                <w:rFonts w:ascii="Arial" w:hAnsi="Arial" w:cs="Arial"/>
              </w:rPr>
            </w:pPr>
            <w:r w:rsidRPr="003108F0">
              <w:rPr>
                <w:rFonts w:ascii="Arial" w:hAnsi="Arial" w:cs="Arial"/>
                <w:b/>
                <w:bCs/>
              </w:rPr>
              <w:t>Activities</w:t>
            </w:r>
            <w:r w:rsidRPr="003108F0">
              <w:rPr>
                <w:rFonts w:ascii="Arial" w:hAnsi="Arial" w:cs="Arial"/>
              </w:rPr>
              <w:t>: National program will be supported through provision of investigation cost to monitor ARV toxicity.</w:t>
            </w:r>
          </w:p>
          <w:p w14:paraId="5BEB84F6" w14:textId="77777777" w:rsidR="00274E90" w:rsidRPr="003108F0" w:rsidRDefault="00274E90" w:rsidP="009B0847">
            <w:pPr>
              <w:jc w:val="both"/>
              <w:rPr>
                <w:rFonts w:ascii="Arial" w:hAnsi="Arial" w:cs="Arial"/>
              </w:rPr>
            </w:pPr>
            <w:r w:rsidRPr="003108F0">
              <w:rPr>
                <w:rFonts w:ascii="Arial" w:hAnsi="Arial" w:cs="Arial"/>
                <w:b/>
                <w:bCs/>
              </w:rPr>
              <w:t>Intervention</w:t>
            </w:r>
            <w:r w:rsidRPr="003108F0">
              <w:rPr>
                <w:rFonts w:ascii="Arial" w:hAnsi="Arial" w:cs="Arial"/>
              </w:rPr>
              <w:t>: Counseling and psycho-social support</w:t>
            </w:r>
          </w:p>
          <w:p w14:paraId="662B5C3C" w14:textId="5E58CEB7" w:rsidR="00274E90" w:rsidRPr="00112AFD" w:rsidRDefault="00274E90" w:rsidP="009B0847">
            <w:pPr>
              <w:jc w:val="both"/>
              <w:rPr>
                <w:rFonts w:ascii="Arial" w:hAnsi="Arial" w:cs="Arial"/>
                <w:b/>
                <w:sz w:val="16"/>
                <w:szCs w:val="16"/>
              </w:rPr>
            </w:pPr>
            <w:r w:rsidRPr="003108F0">
              <w:rPr>
                <w:rFonts w:ascii="Arial" w:hAnsi="Arial" w:cs="Arial"/>
                <w:b/>
                <w:bCs/>
              </w:rPr>
              <w:t>Activities</w:t>
            </w:r>
            <w:r w:rsidRPr="003108F0">
              <w:rPr>
                <w:rFonts w:ascii="Arial" w:hAnsi="Arial" w:cs="Arial"/>
              </w:rPr>
              <w:t xml:space="preserve">: </w:t>
            </w:r>
            <w:r w:rsidRPr="00FB0A6B">
              <w:rPr>
                <w:rFonts w:ascii="Arial" w:hAnsi="Arial" w:cs="Arial"/>
              </w:rPr>
              <w:t xml:space="preserve">Psychosocial support to PLHIV will be ensured through addressing psychological and social problems of </w:t>
            </w:r>
            <w:r>
              <w:rPr>
                <w:rFonts w:ascii="Arial" w:hAnsi="Arial" w:cs="Arial"/>
              </w:rPr>
              <w:t>PL</w:t>
            </w:r>
            <w:r w:rsidRPr="00FB0A6B">
              <w:rPr>
                <w:rFonts w:ascii="Arial" w:hAnsi="Arial" w:cs="Arial"/>
              </w:rPr>
              <w:t xml:space="preserve">HIV, their partners, families and caregivers. These will be done </w:t>
            </w:r>
            <w:r>
              <w:rPr>
                <w:rFonts w:ascii="Arial" w:hAnsi="Arial" w:cs="Arial"/>
              </w:rPr>
              <w:t>by</w:t>
            </w:r>
            <w:r w:rsidRPr="00FB0A6B">
              <w:rPr>
                <w:rFonts w:ascii="Arial" w:hAnsi="Arial" w:cs="Arial"/>
              </w:rPr>
              <w:t xml:space="preserve"> involving self-help group</w:t>
            </w:r>
            <w:r>
              <w:rPr>
                <w:rFonts w:ascii="Arial" w:hAnsi="Arial" w:cs="Arial"/>
              </w:rPr>
              <w:t>s</w:t>
            </w:r>
            <w:r w:rsidRPr="00FB0A6B">
              <w:rPr>
                <w:rFonts w:ascii="Arial" w:hAnsi="Arial" w:cs="Arial"/>
              </w:rPr>
              <w:t xml:space="preserve"> (SHG)/CBO</w:t>
            </w:r>
            <w:r>
              <w:rPr>
                <w:rFonts w:ascii="Arial" w:hAnsi="Arial" w:cs="Arial"/>
              </w:rPr>
              <w:t>s</w:t>
            </w:r>
            <w:r w:rsidRPr="00FB0A6B">
              <w:rPr>
                <w:rFonts w:ascii="Arial" w:hAnsi="Arial" w:cs="Arial"/>
              </w:rPr>
              <w:t xml:space="preserve"> at community level for HTS, caregiver meeting, </w:t>
            </w:r>
            <w:r>
              <w:rPr>
                <w:rFonts w:ascii="Arial" w:hAnsi="Arial" w:cs="Arial"/>
              </w:rPr>
              <w:t xml:space="preserve">and </w:t>
            </w:r>
            <w:r w:rsidRPr="00FB0A6B">
              <w:rPr>
                <w:rFonts w:ascii="Arial" w:hAnsi="Arial" w:cs="Arial"/>
              </w:rPr>
              <w:t xml:space="preserve">training of the CPCs. PLHIV Network will be involved </w:t>
            </w:r>
            <w:r>
              <w:rPr>
                <w:rFonts w:ascii="Arial" w:hAnsi="Arial" w:cs="Arial"/>
              </w:rPr>
              <w:t>in</w:t>
            </w:r>
            <w:r w:rsidRPr="00FB0A6B">
              <w:rPr>
                <w:rFonts w:ascii="Arial" w:hAnsi="Arial" w:cs="Arial"/>
              </w:rPr>
              <w:t xml:space="preserve"> strengthening ART</w:t>
            </w:r>
            <w:r>
              <w:rPr>
                <w:rFonts w:ascii="Arial" w:hAnsi="Arial" w:cs="Arial"/>
              </w:rPr>
              <w:t xml:space="preserve"> services</w:t>
            </w:r>
            <w:r w:rsidRPr="00FB0A6B">
              <w:rPr>
                <w:rFonts w:ascii="Arial" w:hAnsi="Arial" w:cs="Arial"/>
              </w:rPr>
              <w:t>.</w:t>
            </w:r>
          </w:p>
          <w:p w14:paraId="287E4DD4" w14:textId="1273FD37" w:rsidR="00274E90" w:rsidRPr="003108F0" w:rsidRDefault="00083E3F" w:rsidP="009B0847">
            <w:pPr>
              <w:jc w:val="both"/>
              <w:rPr>
                <w:rFonts w:ascii="Arial" w:hAnsi="Arial" w:cs="Arial"/>
              </w:rPr>
            </w:pPr>
            <w:r>
              <w:rPr>
                <w:rFonts w:ascii="Arial" w:hAnsi="Arial" w:cs="Arial"/>
                <w:b/>
              </w:rPr>
              <w:t xml:space="preserve">PR ASP </w:t>
            </w:r>
            <w:r w:rsidR="00274E90" w:rsidRPr="003108F0">
              <w:rPr>
                <w:rFonts w:ascii="Arial" w:hAnsi="Arial" w:cs="Arial"/>
                <w:b/>
              </w:rPr>
              <w:t>Intervention:</w:t>
            </w:r>
            <w:r w:rsidR="00274E90" w:rsidRPr="003108F0">
              <w:rPr>
                <w:rFonts w:ascii="Arial" w:hAnsi="Arial" w:cs="Arial"/>
              </w:rPr>
              <w:t xml:space="preserve"> Treatment Monitoring – viral load</w:t>
            </w:r>
          </w:p>
          <w:p w14:paraId="13EC3FFD" w14:textId="173E87A1" w:rsidR="00274E90" w:rsidRPr="00112AFD" w:rsidRDefault="00274E90" w:rsidP="009B0847">
            <w:pPr>
              <w:jc w:val="both"/>
              <w:rPr>
                <w:rFonts w:ascii="Arial" w:hAnsi="Arial" w:cs="Arial"/>
                <w:b/>
                <w:sz w:val="16"/>
                <w:szCs w:val="16"/>
              </w:rPr>
            </w:pPr>
            <w:r w:rsidRPr="003108F0">
              <w:rPr>
                <w:rFonts w:ascii="Arial" w:hAnsi="Arial" w:cs="Arial"/>
                <w:b/>
              </w:rPr>
              <w:t xml:space="preserve">Activities: </w:t>
            </w:r>
            <w:r w:rsidRPr="003108F0">
              <w:rPr>
                <w:rFonts w:ascii="Arial" w:hAnsi="Arial" w:cs="Arial"/>
              </w:rPr>
              <w:t>Procurement of viral load reagents / cartridge for GeneXpert and conduct testing through ART center</w:t>
            </w:r>
            <w:r w:rsidR="0000248C">
              <w:rPr>
                <w:rFonts w:ascii="Arial" w:hAnsi="Arial" w:cs="Arial"/>
              </w:rPr>
              <w:t>, drug resistance survey will be conducted through single sourcing contract with BSMMU</w:t>
            </w:r>
          </w:p>
          <w:p w14:paraId="695F815C" w14:textId="77777777" w:rsidR="00274E90" w:rsidRPr="003108F0" w:rsidRDefault="00274E90" w:rsidP="009B0847">
            <w:pPr>
              <w:jc w:val="both"/>
              <w:rPr>
                <w:rFonts w:ascii="Arial" w:hAnsi="Arial" w:cs="Arial"/>
              </w:rPr>
            </w:pPr>
            <w:r w:rsidRPr="003108F0">
              <w:rPr>
                <w:rFonts w:ascii="Arial" w:hAnsi="Arial" w:cs="Arial"/>
                <w:b/>
              </w:rPr>
              <w:t>Intervention:</w:t>
            </w:r>
            <w:r w:rsidRPr="003108F0">
              <w:rPr>
                <w:rFonts w:ascii="Arial" w:hAnsi="Arial" w:cs="Arial"/>
              </w:rPr>
              <w:t xml:space="preserve"> Prevention, management of co</w:t>
            </w:r>
            <w:r>
              <w:rPr>
                <w:rFonts w:ascii="Arial" w:hAnsi="Arial" w:cs="Arial"/>
              </w:rPr>
              <w:t>-</w:t>
            </w:r>
            <w:r w:rsidRPr="003108F0">
              <w:rPr>
                <w:rFonts w:ascii="Arial" w:hAnsi="Arial" w:cs="Arial"/>
              </w:rPr>
              <w:t>infections and co</w:t>
            </w:r>
            <w:r>
              <w:rPr>
                <w:rFonts w:ascii="Arial" w:hAnsi="Arial" w:cs="Arial"/>
              </w:rPr>
              <w:t>-</w:t>
            </w:r>
            <w:r w:rsidRPr="003108F0">
              <w:rPr>
                <w:rFonts w:ascii="Arial" w:hAnsi="Arial" w:cs="Arial"/>
              </w:rPr>
              <w:t>morbidity</w:t>
            </w:r>
          </w:p>
          <w:p w14:paraId="0FF285F5" w14:textId="77777777" w:rsidR="00274E90" w:rsidRPr="003108F0" w:rsidRDefault="00274E90" w:rsidP="009B0847">
            <w:pPr>
              <w:jc w:val="both"/>
              <w:rPr>
                <w:rFonts w:ascii="Arial" w:hAnsi="Arial" w:cs="Arial"/>
              </w:rPr>
            </w:pPr>
            <w:r w:rsidRPr="003108F0">
              <w:rPr>
                <w:rFonts w:ascii="Arial" w:hAnsi="Arial" w:cs="Arial"/>
                <w:b/>
              </w:rPr>
              <w:t>Activity:</w:t>
            </w:r>
            <w:r w:rsidRPr="003108F0">
              <w:rPr>
                <w:rFonts w:ascii="Arial" w:hAnsi="Arial" w:cs="Arial"/>
              </w:rPr>
              <w:t xml:space="preserve"> Screening, diagnosis, treatment for TB and other co</w:t>
            </w:r>
            <w:r>
              <w:rPr>
                <w:rFonts w:ascii="Arial" w:hAnsi="Arial" w:cs="Arial"/>
              </w:rPr>
              <w:t>-</w:t>
            </w:r>
            <w:r w:rsidRPr="003108F0">
              <w:rPr>
                <w:rFonts w:ascii="Arial" w:hAnsi="Arial" w:cs="Arial"/>
              </w:rPr>
              <w:t>infection</w:t>
            </w:r>
            <w:r>
              <w:rPr>
                <w:rFonts w:ascii="Arial" w:hAnsi="Arial" w:cs="Arial"/>
              </w:rPr>
              <w:t>s</w:t>
            </w:r>
            <w:r w:rsidRPr="003108F0">
              <w:rPr>
                <w:rFonts w:ascii="Arial" w:hAnsi="Arial" w:cs="Arial"/>
              </w:rPr>
              <w:t xml:space="preserve"> (Hep</w:t>
            </w:r>
            <w:r>
              <w:rPr>
                <w:rFonts w:ascii="Arial" w:hAnsi="Arial" w:cs="Arial"/>
              </w:rPr>
              <w:t>.</w:t>
            </w:r>
            <w:r w:rsidRPr="003108F0">
              <w:rPr>
                <w:rFonts w:ascii="Arial" w:hAnsi="Arial" w:cs="Arial"/>
              </w:rPr>
              <w:t xml:space="preserve"> C) through referral with NTP and CDC through existing ART center</w:t>
            </w:r>
            <w:r>
              <w:rPr>
                <w:rFonts w:ascii="Arial" w:hAnsi="Arial" w:cs="Arial"/>
              </w:rPr>
              <w:t>s</w:t>
            </w:r>
          </w:p>
        </w:tc>
      </w:tr>
      <w:tr w:rsidR="00274E90" w:rsidRPr="003108F0" w14:paraId="2089EA71" w14:textId="77777777" w:rsidTr="00031E15">
        <w:trPr>
          <w:trHeight w:val="288"/>
        </w:trPr>
        <w:tc>
          <w:tcPr>
            <w:tcW w:w="1074" w:type="pct"/>
            <w:shd w:val="clear" w:color="auto" w:fill="F2F2F2"/>
            <w:vAlign w:val="center"/>
          </w:tcPr>
          <w:p w14:paraId="21D1282C" w14:textId="77777777" w:rsidR="00274E90" w:rsidRPr="003108F0" w:rsidRDefault="00274E90" w:rsidP="009B0847">
            <w:pPr>
              <w:rPr>
                <w:rFonts w:ascii="Arial" w:hAnsi="Arial" w:cs="Arial"/>
                <w:b/>
              </w:rPr>
            </w:pPr>
            <w:r w:rsidRPr="003108F0">
              <w:rPr>
                <w:rFonts w:ascii="Arial" w:hAnsi="Arial" w:cs="Arial"/>
                <w:b/>
              </w:rPr>
              <w:t>Priority Population(s)</w:t>
            </w:r>
          </w:p>
        </w:tc>
        <w:tc>
          <w:tcPr>
            <w:tcW w:w="3926" w:type="pct"/>
          </w:tcPr>
          <w:p w14:paraId="6FFEE451" w14:textId="77777777" w:rsidR="00274E90" w:rsidRPr="003108F0" w:rsidRDefault="00274E90" w:rsidP="009B0847">
            <w:pPr>
              <w:rPr>
                <w:rFonts w:ascii="Arial" w:hAnsi="Arial" w:cs="Arial"/>
              </w:rPr>
            </w:pPr>
            <w:r w:rsidRPr="003108F0">
              <w:rPr>
                <w:rFonts w:ascii="Arial" w:hAnsi="Arial" w:cs="Arial"/>
              </w:rPr>
              <w:t xml:space="preserve">All people living with HIV (PLHIV) </w:t>
            </w:r>
            <w:r>
              <w:rPr>
                <w:rFonts w:ascii="Arial" w:hAnsi="Arial" w:cs="Arial"/>
              </w:rPr>
              <w:t>including</w:t>
            </w:r>
            <w:r w:rsidRPr="003108F0">
              <w:rPr>
                <w:rFonts w:ascii="Arial" w:hAnsi="Arial" w:cs="Arial"/>
              </w:rPr>
              <w:t xml:space="preserve"> KPs</w:t>
            </w:r>
          </w:p>
        </w:tc>
      </w:tr>
      <w:tr w:rsidR="00274E90" w:rsidRPr="003108F0" w14:paraId="127A0A4E" w14:textId="77777777" w:rsidTr="00031E15">
        <w:trPr>
          <w:trHeight w:val="288"/>
        </w:trPr>
        <w:tc>
          <w:tcPr>
            <w:tcW w:w="1074" w:type="pct"/>
            <w:shd w:val="clear" w:color="auto" w:fill="F2F2F2"/>
            <w:vAlign w:val="center"/>
          </w:tcPr>
          <w:p w14:paraId="65F3C3FF" w14:textId="77777777" w:rsidR="00274E90" w:rsidRPr="003108F0" w:rsidRDefault="00274E90" w:rsidP="009B0847">
            <w:pPr>
              <w:rPr>
                <w:rFonts w:ascii="Arial" w:hAnsi="Arial" w:cs="Arial"/>
                <w:b/>
              </w:rPr>
            </w:pPr>
            <w:r w:rsidRPr="003108F0">
              <w:rPr>
                <w:rFonts w:ascii="Arial" w:hAnsi="Arial" w:cs="Arial"/>
                <w:b/>
              </w:rPr>
              <w:t>Barriers and Inequities</w:t>
            </w:r>
          </w:p>
        </w:tc>
        <w:tc>
          <w:tcPr>
            <w:tcW w:w="3926" w:type="pct"/>
          </w:tcPr>
          <w:p w14:paraId="53B2EA66" w14:textId="77777777" w:rsidR="00274E90" w:rsidRPr="00DD6672" w:rsidRDefault="00274E90" w:rsidP="00274E90">
            <w:pPr>
              <w:pStyle w:val="ListParagraph"/>
              <w:numPr>
                <w:ilvl w:val="0"/>
                <w:numId w:val="45"/>
              </w:numPr>
              <w:spacing w:after="0" w:line="240" w:lineRule="auto"/>
              <w:ind w:left="183" w:hanging="183"/>
              <w:jc w:val="both"/>
              <w:rPr>
                <w:rFonts w:cs="Arial"/>
              </w:rPr>
            </w:pPr>
            <w:r w:rsidRPr="00DD6672">
              <w:rPr>
                <w:rFonts w:cs="Arial"/>
              </w:rPr>
              <w:t xml:space="preserve">The major challenges related to ART access </w:t>
            </w:r>
            <w:r>
              <w:rPr>
                <w:rFonts w:cs="Arial"/>
              </w:rPr>
              <w:t xml:space="preserve">might be </w:t>
            </w:r>
            <w:r w:rsidRPr="00DD6672">
              <w:rPr>
                <w:rFonts w:cs="Arial"/>
              </w:rPr>
              <w:t>long distance of ART centers</w:t>
            </w:r>
            <w:r>
              <w:rPr>
                <w:rFonts w:cs="Arial"/>
              </w:rPr>
              <w:t>.</w:t>
            </w:r>
            <w:r w:rsidRPr="00DD6672">
              <w:rPr>
                <w:rFonts w:cs="Arial"/>
              </w:rPr>
              <w:t xml:space="preserve"> </w:t>
            </w:r>
            <w:r>
              <w:rPr>
                <w:rFonts w:cs="Arial"/>
              </w:rPr>
              <w:t>The l</w:t>
            </w:r>
            <w:r w:rsidRPr="00DD6672">
              <w:rPr>
                <w:rFonts w:cs="Arial"/>
              </w:rPr>
              <w:t>ocation and opening and closing hours, can limit access.</w:t>
            </w:r>
          </w:p>
          <w:p w14:paraId="11D71FF4" w14:textId="77777777" w:rsidR="00274E90" w:rsidRPr="00DD6672" w:rsidRDefault="00274E90" w:rsidP="00274E90">
            <w:pPr>
              <w:pStyle w:val="ListParagraph"/>
              <w:numPr>
                <w:ilvl w:val="0"/>
                <w:numId w:val="45"/>
              </w:numPr>
              <w:spacing w:after="0" w:line="240" w:lineRule="auto"/>
              <w:ind w:left="183" w:hanging="183"/>
              <w:jc w:val="both"/>
              <w:rPr>
                <w:rFonts w:cs="Arial"/>
              </w:rPr>
            </w:pPr>
            <w:r>
              <w:rPr>
                <w:rFonts w:cs="Arial"/>
              </w:rPr>
              <w:t xml:space="preserve">PLHIV have </w:t>
            </w:r>
            <w:r w:rsidRPr="00DD6672">
              <w:rPr>
                <w:rFonts w:cs="Arial"/>
              </w:rPr>
              <w:t xml:space="preserve">other health problems/side effects and lack nutritional support </w:t>
            </w:r>
          </w:p>
          <w:p w14:paraId="04F17F67" w14:textId="77777777" w:rsidR="00274E90" w:rsidRDefault="00274E90" w:rsidP="00274E90">
            <w:pPr>
              <w:pStyle w:val="ListParagraph"/>
              <w:numPr>
                <w:ilvl w:val="0"/>
                <w:numId w:val="45"/>
              </w:numPr>
              <w:spacing w:after="0" w:line="240" w:lineRule="auto"/>
              <w:ind w:left="183" w:hanging="183"/>
              <w:jc w:val="both"/>
              <w:rPr>
                <w:rFonts w:cs="Arial"/>
              </w:rPr>
            </w:pPr>
            <w:r>
              <w:rPr>
                <w:rFonts w:cs="Arial"/>
              </w:rPr>
              <w:t>C</w:t>
            </w:r>
            <w:r w:rsidRPr="00DD6672">
              <w:rPr>
                <w:rFonts w:cs="Arial"/>
              </w:rPr>
              <w:t xml:space="preserve">apacity of service providers to understand and work with PLHIV is </w:t>
            </w:r>
            <w:r>
              <w:rPr>
                <w:rFonts w:cs="Arial"/>
              </w:rPr>
              <w:t xml:space="preserve">limited considering </w:t>
            </w:r>
            <w:r w:rsidRPr="00DD6672">
              <w:rPr>
                <w:rFonts w:cs="Arial"/>
              </w:rPr>
              <w:t xml:space="preserve">protection of privacy and personal information; </w:t>
            </w:r>
          </w:p>
          <w:p w14:paraId="3FB148E4" w14:textId="77777777" w:rsidR="00274E90" w:rsidRPr="00DD6672" w:rsidRDefault="00274E90" w:rsidP="00274E90">
            <w:pPr>
              <w:pStyle w:val="ListParagraph"/>
              <w:numPr>
                <w:ilvl w:val="0"/>
                <w:numId w:val="45"/>
              </w:numPr>
              <w:spacing w:after="0" w:line="240" w:lineRule="auto"/>
              <w:ind w:left="183" w:hanging="183"/>
              <w:jc w:val="both"/>
              <w:rPr>
                <w:rFonts w:cs="Arial"/>
              </w:rPr>
            </w:pPr>
            <w:r>
              <w:rPr>
                <w:rFonts w:cs="Arial"/>
              </w:rPr>
              <w:t>R</w:t>
            </w:r>
            <w:r w:rsidRPr="00DD6672">
              <w:rPr>
                <w:rFonts w:cs="Arial"/>
              </w:rPr>
              <w:t>equirements for identification, documentation, and registration limit uptake of health services by PLHIV and partners.</w:t>
            </w:r>
          </w:p>
          <w:p w14:paraId="0F462EB2" w14:textId="77777777" w:rsidR="00274E90" w:rsidRPr="00DD6672" w:rsidRDefault="00274E90" w:rsidP="00274E90">
            <w:pPr>
              <w:pStyle w:val="ListParagraph"/>
              <w:numPr>
                <w:ilvl w:val="0"/>
                <w:numId w:val="45"/>
              </w:numPr>
              <w:spacing w:after="0" w:line="240" w:lineRule="auto"/>
              <w:ind w:left="183" w:hanging="183"/>
              <w:jc w:val="both"/>
            </w:pPr>
            <w:r w:rsidRPr="00DD6672">
              <w:rPr>
                <w:rFonts w:cs="Arial"/>
              </w:rPr>
              <w:t xml:space="preserve">The lack of protection of privacy in health service delivery, is prominent </w:t>
            </w:r>
            <w:r>
              <w:rPr>
                <w:rFonts w:cs="Arial"/>
              </w:rPr>
              <w:t>among</w:t>
            </w:r>
            <w:r w:rsidRPr="00DD6672">
              <w:rPr>
                <w:rFonts w:cs="Arial"/>
              </w:rPr>
              <w:t xml:space="preserve"> </w:t>
            </w:r>
            <w:r>
              <w:rPr>
                <w:rFonts w:cs="Arial"/>
              </w:rPr>
              <w:t>KPs</w:t>
            </w:r>
            <w:r w:rsidRPr="00DD6672">
              <w:rPr>
                <w:rFonts w:cs="Arial"/>
              </w:rPr>
              <w:t>, who can suffer significant consequences, including bodily harm, if their personal information is inappropriately shared.</w:t>
            </w:r>
          </w:p>
        </w:tc>
      </w:tr>
      <w:tr w:rsidR="00274E90" w:rsidRPr="003108F0" w14:paraId="7A6E4A56" w14:textId="77777777" w:rsidTr="00031E15">
        <w:trPr>
          <w:trHeight w:val="288"/>
        </w:trPr>
        <w:tc>
          <w:tcPr>
            <w:tcW w:w="1074" w:type="pct"/>
            <w:shd w:val="clear" w:color="auto" w:fill="F2F2F2"/>
            <w:vAlign w:val="center"/>
          </w:tcPr>
          <w:p w14:paraId="6EEA092E" w14:textId="77777777" w:rsidR="00274E90" w:rsidRPr="003108F0" w:rsidRDefault="00274E90" w:rsidP="009B0847">
            <w:pPr>
              <w:rPr>
                <w:rFonts w:ascii="Arial" w:hAnsi="Arial" w:cs="Arial"/>
                <w:b/>
              </w:rPr>
            </w:pPr>
            <w:r w:rsidRPr="003108F0">
              <w:rPr>
                <w:rFonts w:ascii="Arial" w:hAnsi="Arial" w:cs="Arial"/>
                <w:b/>
              </w:rPr>
              <w:t>Rationale</w:t>
            </w:r>
          </w:p>
        </w:tc>
        <w:tc>
          <w:tcPr>
            <w:tcW w:w="3926" w:type="pct"/>
          </w:tcPr>
          <w:p w14:paraId="236F286B" w14:textId="77777777" w:rsidR="00274E90" w:rsidRPr="003108F0" w:rsidRDefault="00274E90" w:rsidP="009B0847">
            <w:pPr>
              <w:rPr>
                <w:rFonts w:ascii="Arial" w:hAnsi="Arial" w:cs="Arial"/>
              </w:rPr>
            </w:pPr>
            <w:r w:rsidRPr="002A49DC">
              <w:rPr>
                <w:rFonts w:ascii="Arial" w:hAnsi="Arial" w:cs="Arial"/>
              </w:rPr>
              <w:t xml:space="preserve">Effective </w:t>
            </w:r>
            <w:r>
              <w:rPr>
                <w:rFonts w:ascii="Arial" w:hAnsi="Arial" w:cs="Arial"/>
              </w:rPr>
              <w:t>ART</w:t>
            </w:r>
            <w:r w:rsidRPr="002A49DC">
              <w:rPr>
                <w:rFonts w:ascii="Arial" w:hAnsi="Arial" w:cs="Arial"/>
              </w:rPr>
              <w:t xml:space="preserve"> improv</w:t>
            </w:r>
            <w:r>
              <w:rPr>
                <w:rFonts w:ascii="Arial" w:hAnsi="Arial" w:cs="Arial"/>
              </w:rPr>
              <w:t>es</w:t>
            </w:r>
            <w:r w:rsidRPr="002A49DC">
              <w:rPr>
                <w:rFonts w:ascii="Arial" w:hAnsi="Arial" w:cs="Arial"/>
              </w:rPr>
              <w:t xml:space="preserve"> longevity and prevent</w:t>
            </w:r>
            <w:r>
              <w:rPr>
                <w:rFonts w:ascii="Arial" w:hAnsi="Arial" w:cs="Arial"/>
              </w:rPr>
              <w:t>s</w:t>
            </w:r>
            <w:r w:rsidRPr="002A49DC">
              <w:rPr>
                <w:rFonts w:ascii="Arial" w:hAnsi="Arial" w:cs="Arial"/>
              </w:rPr>
              <w:t xml:space="preserve"> </w:t>
            </w:r>
            <w:r>
              <w:rPr>
                <w:rFonts w:ascii="Arial" w:hAnsi="Arial" w:cs="Arial"/>
              </w:rPr>
              <w:t>OIs</w:t>
            </w:r>
            <w:r w:rsidRPr="002A49DC">
              <w:rPr>
                <w:rFonts w:ascii="Arial" w:hAnsi="Arial" w:cs="Arial"/>
              </w:rPr>
              <w:t xml:space="preserve"> in PLHIV. Since 2017, ART delivery </w:t>
            </w:r>
            <w:r>
              <w:rPr>
                <w:rFonts w:ascii="Arial" w:hAnsi="Arial" w:cs="Arial"/>
              </w:rPr>
              <w:t>is</w:t>
            </w:r>
            <w:r w:rsidRPr="002A49DC">
              <w:rPr>
                <w:rFonts w:ascii="Arial" w:hAnsi="Arial" w:cs="Arial"/>
              </w:rPr>
              <w:t xml:space="preserve"> fully by ASP. However, </w:t>
            </w:r>
            <w:r>
              <w:rPr>
                <w:rFonts w:ascii="Arial" w:hAnsi="Arial" w:cs="Arial"/>
              </w:rPr>
              <w:t>c</w:t>
            </w:r>
            <w:r w:rsidRPr="002A49DC">
              <w:rPr>
                <w:rFonts w:ascii="Arial" w:hAnsi="Arial" w:cs="Arial"/>
              </w:rPr>
              <w:t xml:space="preserve">ounseling, psychological support and follow-up, </w:t>
            </w:r>
            <w:r>
              <w:rPr>
                <w:rFonts w:ascii="Arial" w:hAnsi="Arial" w:cs="Arial"/>
              </w:rPr>
              <w:t xml:space="preserve">and </w:t>
            </w:r>
            <w:r w:rsidRPr="002A49DC">
              <w:rPr>
                <w:rFonts w:ascii="Arial" w:hAnsi="Arial" w:cs="Arial"/>
              </w:rPr>
              <w:t xml:space="preserve">viral load measurement </w:t>
            </w:r>
            <w:r>
              <w:rPr>
                <w:rFonts w:ascii="Arial" w:hAnsi="Arial" w:cs="Arial"/>
              </w:rPr>
              <w:t>needs to be strengthened</w:t>
            </w:r>
            <w:r w:rsidRPr="002A49DC">
              <w:rPr>
                <w:rFonts w:ascii="Arial" w:hAnsi="Arial" w:cs="Arial"/>
              </w:rPr>
              <w:t xml:space="preserve">. Hence, activities have been planned for optimizing treatment and care to complement ART. A strong follow-up needs to be ensured </w:t>
            </w:r>
            <w:r>
              <w:rPr>
                <w:rFonts w:ascii="Arial" w:hAnsi="Arial" w:cs="Arial"/>
              </w:rPr>
              <w:t xml:space="preserve">for </w:t>
            </w:r>
            <w:r w:rsidRPr="002A49DC">
              <w:rPr>
                <w:rFonts w:ascii="Arial" w:hAnsi="Arial" w:cs="Arial"/>
              </w:rPr>
              <w:t xml:space="preserve">treatment adherence.  </w:t>
            </w:r>
            <w:r>
              <w:rPr>
                <w:rFonts w:ascii="Arial" w:hAnsi="Arial" w:cs="Arial"/>
              </w:rPr>
              <w:t>P</w:t>
            </w:r>
            <w:r w:rsidRPr="002A49DC">
              <w:rPr>
                <w:rFonts w:ascii="Arial" w:hAnsi="Arial" w:cs="Arial"/>
              </w:rPr>
              <w:t>eers will work in the community, to ensure linkage with ART services, track beneficiaries, and ensure treatment adherence to reach the 90-90-90</w:t>
            </w:r>
            <w:r>
              <w:rPr>
                <w:rFonts w:ascii="Arial" w:hAnsi="Arial" w:cs="Arial"/>
              </w:rPr>
              <w:t xml:space="preserve"> targets</w:t>
            </w:r>
            <w:r w:rsidRPr="002A49DC">
              <w:rPr>
                <w:rFonts w:ascii="Arial" w:hAnsi="Arial" w:cs="Arial"/>
              </w:rPr>
              <w:t xml:space="preserve">. </w:t>
            </w:r>
            <w:r>
              <w:rPr>
                <w:rFonts w:ascii="Arial" w:hAnsi="Arial" w:cs="Arial"/>
              </w:rPr>
              <w:t>V</w:t>
            </w:r>
            <w:r w:rsidRPr="002A49DC">
              <w:rPr>
                <w:rFonts w:ascii="Arial" w:hAnsi="Arial" w:cs="Arial"/>
              </w:rPr>
              <w:t xml:space="preserve">iral load testing </w:t>
            </w:r>
            <w:r>
              <w:rPr>
                <w:rFonts w:ascii="Arial" w:hAnsi="Arial" w:cs="Arial"/>
              </w:rPr>
              <w:t xml:space="preserve">has been </w:t>
            </w:r>
            <w:r w:rsidRPr="002A49DC">
              <w:rPr>
                <w:rFonts w:ascii="Arial" w:hAnsi="Arial" w:cs="Arial"/>
              </w:rPr>
              <w:t xml:space="preserve">piloted in ART sites </w:t>
            </w:r>
            <w:r>
              <w:rPr>
                <w:rFonts w:ascii="Arial" w:hAnsi="Arial" w:cs="Arial"/>
              </w:rPr>
              <w:t xml:space="preserve">with GeneXpert and </w:t>
            </w:r>
            <w:r w:rsidRPr="002A49DC">
              <w:rPr>
                <w:rFonts w:ascii="Arial" w:hAnsi="Arial" w:cs="Arial"/>
              </w:rPr>
              <w:t>th</w:t>
            </w:r>
            <w:r>
              <w:rPr>
                <w:rFonts w:ascii="Arial" w:hAnsi="Arial" w:cs="Arial"/>
              </w:rPr>
              <w:t>is</w:t>
            </w:r>
            <w:r w:rsidRPr="002A49DC">
              <w:rPr>
                <w:rFonts w:ascii="Arial" w:hAnsi="Arial" w:cs="Arial"/>
              </w:rPr>
              <w:t xml:space="preserve"> need to continue to understand the treatment success.</w:t>
            </w:r>
          </w:p>
        </w:tc>
      </w:tr>
      <w:tr w:rsidR="00274E90" w:rsidRPr="003108F0" w14:paraId="68F3E960" w14:textId="77777777" w:rsidTr="00031E15">
        <w:trPr>
          <w:trHeight w:val="288"/>
        </w:trPr>
        <w:tc>
          <w:tcPr>
            <w:tcW w:w="1074" w:type="pct"/>
            <w:shd w:val="clear" w:color="auto" w:fill="F2F2F2"/>
            <w:vAlign w:val="center"/>
          </w:tcPr>
          <w:p w14:paraId="7426D1A8" w14:textId="77777777" w:rsidR="00274E90" w:rsidRPr="003108F0" w:rsidRDefault="00274E90" w:rsidP="009B0847">
            <w:pPr>
              <w:rPr>
                <w:rFonts w:ascii="Arial" w:hAnsi="Arial" w:cs="Arial"/>
                <w:b/>
              </w:rPr>
            </w:pPr>
            <w:r w:rsidRPr="003108F0">
              <w:rPr>
                <w:rFonts w:ascii="Arial" w:hAnsi="Arial" w:cs="Arial"/>
                <w:b/>
              </w:rPr>
              <w:t>Expected Outcome</w:t>
            </w:r>
          </w:p>
        </w:tc>
        <w:tc>
          <w:tcPr>
            <w:tcW w:w="3926" w:type="pct"/>
          </w:tcPr>
          <w:p w14:paraId="10460329" w14:textId="77777777" w:rsidR="00274E90" w:rsidRPr="003108F0" w:rsidRDefault="00274E90" w:rsidP="009B0847">
            <w:pPr>
              <w:rPr>
                <w:rFonts w:ascii="Arial" w:hAnsi="Arial" w:cs="Arial"/>
                <w:highlight w:val="yellow"/>
              </w:rPr>
            </w:pPr>
            <w:r w:rsidRPr="003108F0">
              <w:rPr>
                <w:rFonts w:ascii="Arial" w:hAnsi="Arial" w:cs="Arial"/>
              </w:rPr>
              <w:t xml:space="preserve">PLHIV </w:t>
            </w:r>
            <w:r>
              <w:rPr>
                <w:rFonts w:ascii="Arial" w:hAnsi="Arial" w:cs="Arial"/>
              </w:rPr>
              <w:t>including</w:t>
            </w:r>
            <w:r w:rsidRPr="003108F0">
              <w:rPr>
                <w:rFonts w:ascii="Arial" w:hAnsi="Arial" w:cs="Arial"/>
              </w:rPr>
              <w:t xml:space="preserve"> KPs </w:t>
            </w:r>
            <w:r>
              <w:rPr>
                <w:rFonts w:ascii="Arial" w:hAnsi="Arial" w:cs="Arial"/>
              </w:rPr>
              <w:t xml:space="preserve">will be </w:t>
            </w:r>
            <w:r w:rsidRPr="003108F0">
              <w:rPr>
                <w:rFonts w:ascii="Arial" w:hAnsi="Arial" w:cs="Arial"/>
              </w:rPr>
              <w:t>linked with AR</w:t>
            </w:r>
            <w:r>
              <w:rPr>
                <w:rFonts w:ascii="Arial" w:hAnsi="Arial" w:cs="Arial"/>
              </w:rPr>
              <w:t>T</w:t>
            </w:r>
            <w:r w:rsidRPr="003108F0">
              <w:rPr>
                <w:rFonts w:ascii="Arial" w:hAnsi="Arial" w:cs="Arial"/>
              </w:rPr>
              <w:t xml:space="preserve"> and adherence </w:t>
            </w:r>
            <w:r>
              <w:rPr>
                <w:rFonts w:ascii="Arial" w:hAnsi="Arial" w:cs="Arial"/>
              </w:rPr>
              <w:t>will be ensured to</w:t>
            </w:r>
            <w:r w:rsidRPr="003108F0">
              <w:rPr>
                <w:rFonts w:ascii="Arial" w:hAnsi="Arial" w:cs="Arial"/>
              </w:rPr>
              <w:t xml:space="preserve"> reduce HIV transmission and increase life expectancy of PLHIV.</w:t>
            </w:r>
          </w:p>
        </w:tc>
      </w:tr>
      <w:tr w:rsidR="00274E90" w:rsidRPr="003108F0" w14:paraId="2D671050" w14:textId="77777777" w:rsidTr="00031E15">
        <w:trPr>
          <w:trHeight w:val="288"/>
        </w:trPr>
        <w:tc>
          <w:tcPr>
            <w:tcW w:w="1074" w:type="pct"/>
            <w:shd w:val="clear" w:color="auto" w:fill="F2F2F2"/>
            <w:vAlign w:val="center"/>
          </w:tcPr>
          <w:p w14:paraId="704CEB87" w14:textId="77777777" w:rsidR="00274E90" w:rsidRPr="003108F0" w:rsidRDefault="00274E90" w:rsidP="009B0847">
            <w:pPr>
              <w:rPr>
                <w:rFonts w:ascii="Arial" w:hAnsi="Arial" w:cs="Arial"/>
                <w:b/>
              </w:rPr>
            </w:pPr>
            <w:r w:rsidRPr="003108F0">
              <w:rPr>
                <w:rFonts w:ascii="Arial" w:hAnsi="Arial" w:cs="Arial"/>
                <w:b/>
              </w:rPr>
              <w:t>Expected Investment</w:t>
            </w:r>
          </w:p>
        </w:tc>
        <w:tc>
          <w:tcPr>
            <w:tcW w:w="3926" w:type="pct"/>
          </w:tcPr>
          <w:p w14:paraId="51F48A36" w14:textId="77777777" w:rsidR="00274E90" w:rsidRPr="003108F0" w:rsidRDefault="00274E90" w:rsidP="009B0847">
            <w:pPr>
              <w:rPr>
                <w:rFonts w:ascii="Arial" w:hAnsi="Arial" w:cs="Arial"/>
                <w:highlight w:val="yellow"/>
              </w:rPr>
            </w:pPr>
            <w:r w:rsidRPr="00FB0A6B">
              <w:rPr>
                <w:rFonts w:ascii="Arial" w:hAnsi="Arial" w:cs="Arial"/>
                <w:highlight w:val="yellow"/>
              </w:rPr>
              <w:t xml:space="preserve">US $ </w:t>
            </w:r>
            <w:r w:rsidRPr="00FB0A6B">
              <w:rPr>
                <w:rFonts w:ascii="Arial" w:hAnsi="Arial" w:cs="Arial"/>
                <w:highlight w:val="yellow"/>
              </w:rPr>
              <w:t>‬ 872,167 (icddr,b-US$ 63,528</w:t>
            </w:r>
            <w:r>
              <w:rPr>
                <w:rFonts w:ascii="Arial" w:hAnsi="Arial" w:cs="Arial"/>
                <w:highlight w:val="yellow"/>
              </w:rPr>
              <w:t xml:space="preserve"> </w:t>
            </w:r>
            <w:r w:rsidRPr="00FB0A6B">
              <w:rPr>
                <w:rFonts w:ascii="Arial" w:hAnsi="Arial" w:cs="Arial"/>
                <w:highlight w:val="yellow"/>
              </w:rPr>
              <w:t>+ ASP-US$  622,560 + SC-US$ 186,079)</w:t>
            </w:r>
          </w:p>
        </w:tc>
      </w:tr>
    </w:tbl>
    <w:p w14:paraId="242E5764" w14:textId="4381324A" w:rsidR="00274E90" w:rsidRDefault="00274E90" w:rsidP="009B6C0D">
      <w:pPr>
        <w:spacing w:after="0"/>
        <w:rPr>
          <w:iCs/>
          <w:sz w:val="16"/>
          <w:szCs w:val="16"/>
        </w:rPr>
      </w:pPr>
    </w:p>
    <w:tbl>
      <w:tblPr>
        <w:tblStyle w:val="TableGrid30"/>
        <w:tblW w:w="10435" w:type="dxa"/>
        <w:tblLook w:val="04A0" w:firstRow="1" w:lastRow="0" w:firstColumn="1" w:lastColumn="0" w:noHBand="0" w:noVBand="1"/>
      </w:tblPr>
      <w:tblGrid>
        <w:gridCol w:w="2245"/>
        <w:gridCol w:w="8190"/>
      </w:tblGrid>
      <w:tr w:rsidR="003662C7" w:rsidRPr="007F7A64" w14:paraId="6EC3A1DF" w14:textId="77777777" w:rsidTr="00031E15">
        <w:trPr>
          <w:trHeight w:val="288"/>
        </w:trPr>
        <w:tc>
          <w:tcPr>
            <w:tcW w:w="2245" w:type="dxa"/>
            <w:shd w:val="clear" w:color="auto" w:fill="F2F2F2"/>
            <w:vAlign w:val="center"/>
          </w:tcPr>
          <w:p w14:paraId="39F95F8A" w14:textId="77777777" w:rsidR="003662C7" w:rsidRPr="00E41EDC" w:rsidRDefault="003662C7" w:rsidP="00677732">
            <w:pPr>
              <w:spacing w:after="0"/>
              <w:rPr>
                <w:b/>
              </w:rPr>
            </w:pPr>
            <w:bookmarkStart w:id="14" w:name="_Hlk35157921"/>
            <w:r>
              <w:rPr>
                <w:b/>
              </w:rPr>
              <w:t>Module # 4</w:t>
            </w:r>
          </w:p>
        </w:tc>
        <w:tc>
          <w:tcPr>
            <w:tcW w:w="8190" w:type="dxa"/>
          </w:tcPr>
          <w:p w14:paraId="2ED2F9BD" w14:textId="77777777" w:rsidR="003662C7" w:rsidRPr="007B45F4" w:rsidRDefault="003662C7" w:rsidP="00677732">
            <w:pPr>
              <w:spacing w:after="0"/>
              <w:rPr>
                <w:b/>
                <w:bCs/>
              </w:rPr>
            </w:pPr>
            <w:r w:rsidRPr="007B45F4">
              <w:rPr>
                <w:b/>
                <w:bCs/>
              </w:rPr>
              <w:t>TB/HIV</w:t>
            </w:r>
          </w:p>
        </w:tc>
      </w:tr>
      <w:tr w:rsidR="003662C7" w:rsidRPr="007F7A64" w14:paraId="437046EF" w14:textId="77777777" w:rsidTr="00031E15">
        <w:trPr>
          <w:trHeight w:val="288"/>
        </w:trPr>
        <w:tc>
          <w:tcPr>
            <w:tcW w:w="2245" w:type="dxa"/>
            <w:shd w:val="clear" w:color="auto" w:fill="F2F2F2"/>
            <w:vAlign w:val="center"/>
          </w:tcPr>
          <w:p w14:paraId="6225DC86" w14:textId="77777777" w:rsidR="003662C7" w:rsidRPr="007F7A64" w:rsidRDefault="003662C7" w:rsidP="00677732">
            <w:pPr>
              <w:spacing w:after="0"/>
              <w:rPr>
                <w:b/>
              </w:rPr>
            </w:pPr>
            <w:r w:rsidRPr="007F7A64">
              <w:rPr>
                <w:b/>
              </w:rPr>
              <w:t>Intervention(s)</w:t>
            </w:r>
            <w:r>
              <w:rPr>
                <w:b/>
              </w:rPr>
              <w:t xml:space="preserve"> &amp; Key Activities</w:t>
            </w:r>
          </w:p>
        </w:tc>
        <w:tc>
          <w:tcPr>
            <w:tcW w:w="8190" w:type="dxa"/>
          </w:tcPr>
          <w:p w14:paraId="76EA189A" w14:textId="77777777" w:rsidR="00572A19" w:rsidRPr="00572A19" w:rsidRDefault="00572A19" w:rsidP="00572A19">
            <w:pPr>
              <w:spacing w:after="0"/>
              <w:jc w:val="both"/>
            </w:pPr>
            <w:r w:rsidRPr="00572A19">
              <w:rPr>
                <w:b/>
                <w:bCs/>
              </w:rPr>
              <w:t>Intervention</w:t>
            </w:r>
            <w:r w:rsidRPr="00572A19">
              <w:t>: Collaborative activities with other programs and sectors</w:t>
            </w:r>
          </w:p>
          <w:p w14:paraId="0DBEB5BF" w14:textId="77777777" w:rsidR="00572A19" w:rsidRPr="00572A19" w:rsidRDefault="00572A19" w:rsidP="00572A19">
            <w:pPr>
              <w:spacing w:after="0"/>
              <w:jc w:val="both"/>
            </w:pPr>
            <w:r w:rsidRPr="00572A19">
              <w:rPr>
                <w:b/>
                <w:bCs/>
              </w:rPr>
              <w:t>Activities</w:t>
            </w:r>
            <w:r w:rsidRPr="00572A19">
              <w:t>: Verbal TB screening will be conducted for all the KPs visiting any of the SDPs (DIC, sub-DIC, outlets, satellites etc.). In addition, community-based TB screening will be conducted by peer approach. Presumptive TB cases will be referred to appropriate public health facilities through effective referral systems for further diagnosis and treatment. Service providers of HIV program will be trained on TB related services so that they can provide TB related services. Similarly, some providers from TB programme will be trained to address HIV screening.</w:t>
            </w:r>
          </w:p>
          <w:p w14:paraId="684F2625" w14:textId="77777777" w:rsidR="00572A19" w:rsidRPr="00572A19" w:rsidRDefault="00572A19" w:rsidP="00572A19">
            <w:pPr>
              <w:spacing w:after="0"/>
              <w:jc w:val="both"/>
            </w:pPr>
            <w:r w:rsidRPr="00572A19">
              <w:rPr>
                <w:b/>
              </w:rPr>
              <w:t>Intervention:</w:t>
            </w:r>
            <w:r w:rsidRPr="00572A19">
              <w:t xml:space="preserve"> Screening, testing and diagnosis </w:t>
            </w:r>
          </w:p>
          <w:p w14:paraId="032BD3FD" w14:textId="6B882164" w:rsidR="003662C7" w:rsidRPr="00BA7747" w:rsidRDefault="00572A19" w:rsidP="0048390F">
            <w:pPr>
              <w:spacing w:after="0"/>
              <w:jc w:val="both"/>
            </w:pPr>
            <w:r w:rsidRPr="00572A19">
              <w:rPr>
                <w:b/>
              </w:rPr>
              <w:t>Activity:</w:t>
            </w:r>
            <w:r w:rsidRPr="00572A19">
              <w:t xml:space="preserve"> HIV testing among people with TB and people with presumptive TB through 28 HIV testing center. A significant number of TB cases will be diagnosed for HIV.</w:t>
            </w:r>
            <w:r>
              <w:t xml:space="preserve"> </w:t>
            </w:r>
            <w:r w:rsidR="003662C7">
              <w:t xml:space="preserve"> </w:t>
            </w:r>
          </w:p>
        </w:tc>
      </w:tr>
      <w:tr w:rsidR="003662C7" w:rsidRPr="007F7A64" w14:paraId="51FA08B9" w14:textId="77777777" w:rsidTr="00031E15">
        <w:trPr>
          <w:trHeight w:val="288"/>
        </w:trPr>
        <w:tc>
          <w:tcPr>
            <w:tcW w:w="2245" w:type="dxa"/>
            <w:shd w:val="clear" w:color="auto" w:fill="F2F2F2"/>
            <w:vAlign w:val="center"/>
          </w:tcPr>
          <w:p w14:paraId="455E173E" w14:textId="77777777" w:rsidR="003662C7" w:rsidRPr="007F7A64" w:rsidRDefault="003662C7" w:rsidP="00677732">
            <w:pPr>
              <w:spacing w:after="0"/>
              <w:rPr>
                <w:b/>
              </w:rPr>
            </w:pPr>
            <w:r>
              <w:rPr>
                <w:b/>
              </w:rPr>
              <w:t>Priority Population(s)</w:t>
            </w:r>
          </w:p>
        </w:tc>
        <w:tc>
          <w:tcPr>
            <w:tcW w:w="8190" w:type="dxa"/>
          </w:tcPr>
          <w:p w14:paraId="45AE7CE4" w14:textId="1C487D12" w:rsidR="003662C7" w:rsidRPr="00AF0F0D" w:rsidRDefault="003662C7" w:rsidP="0048390F">
            <w:pPr>
              <w:spacing w:after="0"/>
              <w:jc w:val="both"/>
            </w:pPr>
            <w:r w:rsidRPr="00AF0F0D">
              <w:t>Men who have sex with men (MSM), including MSW</w:t>
            </w:r>
            <w:r>
              <w:t xml:space="preserve">, </w:t>
            </w:r>
            <w:r w:rsidRPr="00AF0F0D">
              <w:t>Transgender women/hijra</w:t>
            </w:r>
            <w:r>
              <w:t xml:space="preserve">, </w:t>
            </w:r>
            <w:r w:rsidRPr="00AF0F0D">
              <w:t>Female sex workers (FSW)</w:t>
            </w:r>
            <w:r>
              <w:t xml:space="preserve">, </w:t>
            </w:r>
            <w:r w:rsidRPr="00AF0F0D">
              <w:t>People who inject drugs (PWID)</w:t>
            </w:r>
            <w:r>
              <w:t xml:space="preserve">, </w:t>
            </w:r>
            <w:r w:rsidRPr="00AF0F0D">
              <w:t>All people living with HIV</w:t>
            </w:r>
            <w:r w:rsidR="00476FD2">
              <w:t xml:space="preserve"> </w:t>
            </w:r>
            <w:r w:rsidR="00476FD2" w:rsidRPr="009D7DB6">
              <w:t>and all TB cases</w:t>
            </w:r>
          </w:p>
        </w:tc>
      </w:tr>
      <w:tr w:rsidR="003662C7" w:rsidRPr="007F7A64" w14:paraId="306CF173" w14:textId="77777777" w:rsidTr="00031E15">
        <w:trPr>
          <w:trHeight w:val="288"/>
        </w:trPr>
        <w:tc>
          <w:tcPr>
            <w:tcW w:w="2245" w:type="dxa"/>
            <w:shd w:val="clear" w:color="auto" w:fill="F2F2F2"/>
            <w:vAlign w:val="center"/>
          </w:tcPr>
          <w:p w14:paraId="002D8F81" w14:textId="77777777" w:rsidR="003662C7" w:rsidRDefault="003662C7" w:rsidP="00677732">
            <w:pPr>
              <w:spacing w:after="0"/>
              <w:rPr>
                <w:b/>
              </w:rPr>
            </w:pPr>
            <w:r>
              <w:rPr>
                <w:b/>
              </w:rPr>
              <w:t>Barriers and Inequities</w:t>
            </w:r>
          </w:p>
        </w:tc>
        <w:tc>
          <w:tcPr>
            <w:tcW w:w="8190" w:type="dxa"/>
          </w:tcPr>
          <w:p w14:paraId="6EE709B9" w14:textId="0A5C24ED" w:rsidR="003662C7" w:rsidRPr="003A6853" w:rsidRDefault="003662C7" w:rsidP="0048390F">
            <w:pPr>
              <w:spacing w:after="0"/>
              <w:jc w:val="both"/>
            </w:pPr>
            <w:r w:rsidRPr="003A6853">
              <w:t>Due to stigma and discrimination, KPs remain hidden and do not attend the available TB treatment centers. Some of the KPs receive HIV prevention services only from the outreach. Hence TB/HIV related cases are not detected fully among th</w:t>
            </w:r>
            <w:r w:rsidR="0048390F">
              <w:t>o</w:t>
            </w:r>
            <w:r w:rsidRPr="003A6853">
              <w:t xml:space="preserve">se KPs. </w:t>
            </w:r>
          </w:p>
        </w:tc>
      </w:tr>
      <w:tr w:rsidR="003662C7" w:rsidRPr="007F7A64" w14:paraId="05D87395" w14:textId="77777777" w:rsidTr="00031E15">
        <w:trPr>
          <w:trHeight w:val="288"/>
        </w:trPr>
        <w:tc>
          <w:tcPr>
            <w:tcW w:w="2245" w:type="dxa"/>
            <w:shd w:val="clear" w:color="auto" w:fill="F2F2F2"/>
            <w:vAlign w:val="center"/>
          </w:tcPr>
          <w:p w14:paraId="5E779893" w14:textId="77777777" w:rsidR="003662C7" w:rsidRPr="007F7A64" w:rsidRDefault="003662C7" w:rsidP="00677732">
            <w:pPr>
              <w:spacing w:after="0"/>
              <w:rPr>
                <w:b/>
              </w:rPr>
            </w:pPr>
            <w:r>
              <w:rPr>
                <w:b/>
              </w:rPr>
              <w:t>Rationale</w:t>
            </w:r>
          </w:p>
        </w:tc>
        <w:tc>
          <w:tcPr>
            <w:tcW w:w="8190" w:type="dxa"/>
          </w:tcPr>
          <w:p w14:paraId="2D252A67" w14:textId="254668F5" w:rsidR="003662C7" w:rsidRPr="007F7A64" w:rsidRDefault="00572A19" w:rsidP="0048390F">
            <w:pPr>
              <w:spacing w:after="0"/>
              <w:jc w:val="both"/>
            </w:pPr>
            <w:r w:rsidRPr="00A12F9B">
              <w:t>People living with HIV are 15-22 times more likely to develop TB than persons without. TB is the most common presenting illness among people living with HIV, including among those taking antiretroviral treatment, and it is the major cause of HIV-related deaths</w:t>
            </w:r>
            <w:r>
              <w:t>. C</w:t>
            </w:r>
            <w:r w:rsidRPr="00A12F9B">
              <w:t>ollaboration between TB and HIV programs, reduce the burden of TB among people living with HIV and the burden of HIV among TB patients.</w:t>
            </w:r>
            <w:r>
              <w:t xml:space="preserve"> </w:t>
            </w:r>
            <w:r w:rsidRPr="00625E2D">
              <w:t>As per WHO guideline it is suggested to HIV test among the TB cases, considering this, ASP planning for the testing through its HTS center based in government hospital. In each year about 3,57,000 TB cases diagnosed in the country of which 15% is targeted in the year 1 and gradually it will be increased.</w:t>
            </w:r>
          </w:p>
        </w:tc>
      </w:tr>
      <w:tr w:rsidR="003662C7" w:rsidRPr="007F7A64" w14:paraId="6D6683D0" w14:textId="77777777" w:rsidTr="00031E15">
        <w:trPr>
          <w:trHeight w:val="288"/>
        </w:trPr>
        <w:tc>
          <w:tcPr>
            <w:tcW w:w="2245" w:type="dxa"/>
            <w:shd w:val="clear" w:color="auto" w:fill="F2F2F2"/>
            <w:vAlign w:val="center"/>
          </w:tcPr>
          <w:p w14:paraId="5BD6DD84" w14:textId="77777777" w:rsidR="003662C7" w:rsidRPr="007F7A64" w:rsidRDefault="003662C7" w:rsidP="00677732">
            <w:pPr>
              <w:spacing w:after="0"/>
              <w:rPr>
                <w:b/>
              </w:rPr>
            </w:pPr>
            <w:r w:rsidRPr="007F7A64">
              <w:rPr>
                <w:b/>
              </w:rPr>
              <w:t xml:space="preserve">Expected </w:t>
            </w:r>
            <w:r>
              <w:rPr>
                <w:b/>
              </w:rPr>
              <w:t>Outcome</w:t>
            </w:r>
          </w:p>
        </w:tc>
        <w:tc>
          <w:tcPr>
            <w:tcW w:w="8190" w:type="dxa"/>
          </w:tcPr>
          <w:p w14:paraId="5CFCE83E" w14:textId="77777777" w:rsidR="003662C7" w:rsidRPr="007C1A2B" w:rsidRDefault="003662C7" w:rsidP="0048390F">
            <w:pPr>
              <w:spacing w:after="0"/>
              <w:jc w:val="both"/>
              <w:rPr>
                <w:highlight w:val="yellow"/>
              </w:rPr>
            </w:pPr>
            <w:r w:rsidRPr="00E62CC8">
              <w:t>TB/HIV cases are detected, referred to the TB treatment centers and reduced TB/HIV related morbidity and mortality.</w:t>
            </w:r>
            <w:r>
              <w:t xml:space="preserve"> Specific to result  </w:t>
            </w:r>
          </w:p>
        </w:tc>
      </w:tr>
      <w:tr w:rsidR="003662C7" w:rsidRPr="007F7A64" w14:paraId="32CDF0C1" w14:textId="77777777" w:rsidTr="00031E15">
        <w:trPr>
          <w:trHeight w:val="288"/>
        </w:trPr>
        <w:tc>
          <w:tcPr>
            <w:tcW w:w="2245" w:type="dxa"/>
            <w:shd w:val="clear" w:color="auto" w:fill="F2F2F2"/>
            <w:vAlign w:val="center"/>
          </w:tcPr>
          <w:p w14:paraId="10DBB4FB" w14:textId="77777777" w:rsidR="003662C7" w:rsidRPr="00C44844" w:rsidRDefault="003662C7" w:rsidP="00677732">
            <w:pPr>
              <w:spacing w:after="0"/>
              <w:rPr>
                <w:b/>
              </w:rPr>
            </w:pPr>
            <w:r w:rsidRPr="007F7A64">
              <w:rPr>
                <w:b/>
              </w:rPr>
              <w:t>Expected Investment</w:t>
            </w:r>
          </w:p>
        </w:tc>
        <w:tc>
          <w:tcPr>
            <w:tcW w:w="8190" w:type="dxa"/>
          </w:tcPr>
          <w:p w14:paraId="57BAC2BF" w14:textId="2A5A9027" w:rsidR="003662C7" w:rsidRPr="007C1A2B" w:rsidRDefault="00F86F94" w:rsidP="0048390F">
            <w:pPr>
              <w:spacing w:after="0"/>
              <w:jc w:val="both"/>
              <w:rPr>
                <w:highlight w:val="yellow"/>
              </w:rPr>
            </w:pPr>
            <w:r w:rsidRPr="00DE2B0D">
              <w:rPr>
                <w:highlight w:val="green"/>
              </w:rPr>
              <w:t>US $ 704,393 (icddr,b- US $ 2,443+ ASP- US $  692,200 + SC- US $ 9,750  )</w:t>
            </w:r>
          </w:p>
        </w:tc>
      </w:tr>
      <w:bookmarkEnd w:id="14"/>
    </w:tbl>
    <w:p w14:paraId="33DB05BA" w14:textId="675566E8" w:rsidR="00A020B5" w:rsidRDefault="00A020B5" w:rsidP="009B6C0D">
      <w:pPr>
        <w:spacing w:after="0"/>
        <w:rPr>
          <w:i/>
          <w:sz w:val="16"/>
          <w:szCs w:val="16"/>
        </w:rPr>
      </w:pPr>
    </w:p>
    <w:tbl>
      <w:tblPr>
        <w:tblStyle w:val="TableGrid30"/>
        <w:tblW w:w="10435" w:type="dxa"/>
        <w:tblLook w:val="04A0" w:firstRow="1" w:lastRow="0" w:firstColumn="1" w:lastColumn="0" w:noHBand="0" w:noVBand="1"/>
      </w:tblPr>
      <w:tblGrid>
        <w:gridCol w:w="2245"/>
        <w:gridCol w:w="8190"/>
      </w:tblGrid>
      <w:tr w:rsidR="00460719" w:rsidRPr="007F7A64" w14:paraId="036D5824" w14:textId="77777777" w:rsidTr="00031E15">
        <w:trPr>
          <w:trHeight w:val="288"/>
        </w:trPr>
        <w:tc>
          <w:tcPr>
            <w:tcW w:w="2245" w:type="dxa"/>
            <w:shd w:val="clear" w:color="auto" w:fill="F2F2F2"/>
            <w:vAlign w:val="center"/>
          </w:tcPr>
          <w:p w14:paraId="6CE894F6" w14:textId="2EFFF624" w:rsidR="00460719" w:rsidRPr="00E41EDC" w:rsidRDefault="00460719" w:rsidP="00FB6215">
            <w:pPr>
              <w:spacing w:after="0"/>
              <w:rPr>
                <w:b/>
              </w:rPr>
            </w:pPr>
            <w:r>
              <w:rPr>
                <w:b/>
              </w:rPr>
              <w:t>Module # 5</w:t>
            </w:r>
          </w:p>
        </w:tc>
        <w:tc>
          <w:tcPr>
            <w:tcW w:w="8190" w:type="dxa"/>
          </w:tcPr>
          <w:p w14:paraId="31A78A31" w14:textId="00F74EED" w:rsidR="00460719" w:rsidRPr="007B45F4" w:rsidRDefault="00460719" w:rsidP="00FB6215">
            <w:pPr>
              <w:spacing w:after="0"/>
              <w:rPr>
                <w:b/>
                <w:bCs/>
              </w:rPr>
            </w:pPr>
            <w:r w:rsidRPr="00460719">
              <w:rPr>
                <w:b/>
                <w:bCs/>
              </w:rPr>
              <w:t>Reducing human rights-related barriers to HIV/TB services</w:t>
            </w:r>
          </w:p>
        </w:tc>
      </w:tr>
      <w:tr w:rsidR="00460719" w:rsidRPr="007F7A64" w14:paraId="1D6F0DBB" w14:textId="77777777" w:rsidTr="00031E15">
        <w:trPr>
          <w:trHeight w:val="288"/>
        </w:trPr>
        <w:tc>
          <w:tcPr>
            <w:tcW w:w="2245" w:type="dxa"/>
            <w:shd w:val="clear" w:color="auto" w:fill="F2F2F2"/>
            <w:vAlign w:val="center"/>
          </w:tcPr>
          <w:p w14:paraId="14DB047E" w14:textId="77777777" w:rsidR="00460719" w:rsidRPr="007F7A64" w:rsidRDefault="00460719" w:rsidP="00FB6215">
            <w:pPr>
              <w:spacing w:after="0"/>
              <w:rPr>
                <w:b/>
              </w:rPr>
            </w:pPr>
            <w:r w:rsidRPr="007F7A64">
              <w:rPr>
                <w:b/>
              </w:rPr>
              <w:t>Intervention(s)</w:t>
            </w:r>
            <w:r>
              <w:rPr>
                <w:b/>
              </w:rPr>
              <w:t xml:space="preserve"> &amp; Key Activities</w:t>
            </w:r>
          </w:p>
        </w:tc>
        <w:tc>
          <w:tcPr>
            <w:tcW w:w="8190" w:type="dxa"/>
          </w:tcPr>
          <w:p w14:paraId="1901A6F1" w14:textId="77777777" w:rsidR="00F11F3D" w:rsidRDefault="00460719" w:rsidP="00F11F3D">
            <w:pPr>
              <w:pStyle w:val="ListParagraph"/>
              <w:spacing w:after="0"/>
              <w:ind w:left="0"/>
              <w:jc w:val="both"/>
            </w:pPr>
            <w:r w:rsidRPr="00BA7747">
              <w:rPr>
                <w:b/>
                <w:bCs/>
              </w:rPr>
              <w:t>Intervention</w:t>
            </w:r>
            <w:r w:rsidRPr="00BA7747">
              <w:t xml:space="preserve">: </w:t>
            </w:r>
            <w:r w:rsidR="00F11F3D" w:rsidRPr="00492D25">
              <w:t>Stigma and discrimination reduction</w:t>
            </w:r>
            <w:r w:rsidR="00F11F3D">
              <w:rPr>
                <w:b/>
                <w:bCs/>
              </w:rPr>
              <w:t xml:space="preserve"> </w:t>
            </w:r>
          </w:p>
          <w:p w14:paraId="36B6C9F8" w14:textId="3597362C" w:rsidR="00460719" w:rsidRPr="00BA7747" w:rsidRDefault="00F11F3D" w:rsidP="00650BA3">
            <w:pPr>
              <w:spacing w:after="0"/>
              <w:jc w:val="both"/>
            </w:pPr>
            <w:r w:rsidRPr="00423F02">
              <w:rPr>
                <w:b/>
                <w:bCs/>
              </w:rPr>
              <w:t>Activities</w:t>
            </w:r>
            <w:r>
              <w:t xml:space="preserve">: </w:t>
            </w:r>
            <w:r w:rsidR="00650BA3" w:rsidRPr="00650BA3">
              <w:t>Campaign/ workshop with religious leader and teachers to reduce stigma related barriers to TB-HIV; campaigns with celebrities and media people through round table conference to reduce stigma and barriers; message development and integration of non-stigmatizing messages into TV and radio shows and print and social media; organize anti-discrimination programs and policies in work, health and education settings in association with districts health managers and NGO PRs in 28 districts</w:t>
            </w:r>
            <w:r w:rsidR="00977695">
              <w:t>.</w:t>
            </w:r>
          </w:p>
        </w:tc>
      </w:tr>
      <w:tr w:rsidR="00460719" w:rsidRPr="007F7A64" w14:paraId="0C642D40" w14:textId="77777777" w:rsidTr="00031E15">
        <w:trPr>
          <w:trHeight w:val="288"/>
        </w:trPr>
        <w:tc>
          <w:tcPr>
            <w:tcW w:w="2245" w:type="dxa"/>
            <w:shd w:val="clear" w:color="auto" w:fill="F2F2F2"/>
            <w:vAlign w:val="center"/>
          </w:tcPr>
          <w:p w14:paraId="486E8238" w14:textId="77777777" w:rsidR="00460719" w:rsidRPr="007F7A64" w:rsidRDefault="00460719" w:rsidP="00FB6215">
            <w:pPr>
              <w:spacing w:after="0"/>
              <w:rPr>
                <w:b/>
              </w:rPr>
            </w:pPr>
            <w:r>
              <w:rPr>
                <w:b/>
              </w:rPr>
              <w:t>Priority Population(s)</w:t>
            </w:r>
          </w:p>
        </w:tc>
        <w:tc>
          <w:tcPr>
            <w:tcW w:w="8190" w:type="dxa"/>
          </w:tcPr>
          <w:p w14:paraId="52867C87" w14:textId="4B7CFB29" w:rsidR="00460719" w:rsidRPr="00AF0F0D" w:rsidRDefault="00460719" w:rsidP="00FB6215">
            <w:pPr>
              <w:spacing w:after="0"/>
              <w:jc w:val="both"/>
            </w:pPr>
            <w:r w:rsidRPr="00AF0F0D">
              <w:t>All people living with</w:t>
            </w:r>
            <w:r w:rsidR="007D0AE1">
              <w:t xml:space="preserve"> TB/</w:t>
            </w:r>
            <w:r w:rsidRPr="00AF0F0D">
              <w:t>HIV</w:t>
            </w:r>
            <w:r w:rsidR="007D0AE1">
              <w:t xml:space="preserve"> and PLHIV</w:t>
            </w:r>
          </w:p>
        </w:tc>
      </w:tr>
      <w:tr w:rsidR="00460719" w:rsidRPr="007F7A64" w14:paraId="2048219F" w14:textId="77777777" w:rsidTr="00031E15">
        <w:trPr>
          <w:trHeight w:val="288"/>
        </w:trPr>
        <w:tc>
          <w:tcPr>
            <w:tcW w:w="2245" w:type="dxa"/>
            <w:shd w:val="clear" w:color="auto" w:fill="F2F2F2"/>
            <w:vAlign w:val="center"/>
          </w:tcPr>
          <w:p w14:paraId="7A289A6E" w14:textId="77777777" w:rsidR="00460719" w:rsidRDefault="00460719" w:rsidP="00FB6215">
            <w:pPr>
              <w:spacing w:after="0"/>
              <w:rPr>
                <w:b/>
              </w:rPr>
            </w:pPr>
            <w:r>
              <w:rPr>
                <w:b/>
              </w:rPr>
              <w:t>Barriers and Inequities</w:t>
            </w:r>
          </w:p>
        </w:tc>
        <w:tc>
          <w:tcPr>
            <w:tcW w:w="8190" w:type="dxa"/>
          </w:tcPr>
          <w:p w14:paraId="02B97848" w14:textId="1875989F" w:rsidR="00460719" w:rsidRPr="003A6853" w:rsidRDefault="007D0AE1" w:rsidP="00FB6215">
            <w:pPr>
              <w:spacing w:after="0"/>
              <w:jc w:val="both"/>
            </w:pPr>
            <w:r w:rsidRPr="007D0AE1">
              <w:t>TB/HIV affected people are stigmatized both in health facility and society. The health facilities are yet to be enable for TB/HIV infected persons. The service providers might not have sufficient knowledge about this population</w:t>
            </w:r>
            <w:r>
              <w:t xml:space="preserve"> and co-infection</w:t>
            </w:r>
            <w:r w:rsidRPr="007D0AE1">
              <w:t>. Similarly, the local leaders, policy makers and social influencers/religious</w:t>
            </w:r>
            <w:r>
              <w:t>/celebrities might</w:t>
            </w:r>
            <w:r w:rsidRPr="007D0AE1">
              <w:t xml:space="preserve"> have limited knowledge and information on TB/HIV coinfection or individual infection with in health sector and beyond</w:t>
            </w:r>
            <w:r>
              <w:t xml:space="preserve"> who can act as a </w:t>
            </w:r>
            <w:r w:rsidR="00FF65E6">
              <w:t>social mobilizer.</w:t>
            </w:r>
          </w:p>
        </w:tc>
      </w:tr>
      <w:tr w:rsidR="00460719" w:rsidRPr="007F7A64" w14:paraId="4826D081" w14:textId="77777777" w:rsidTr="00031E15">
        <w:trPr>
          <w:trHeight w:val="288"/>
        </w:trPr>
        <w:tc>
          <w:tcPr>
            <w:tcW w:w="2245" w:type="dxa"/>
            <w:shd w:val="clear" w:color="auto" w:fill="F2F2F2"/>
            <w:vAlign w:val="center"/>
          </w:tcPr>
          <w:p w14:paraId="0A3EA4D6" w14:textId="77777777" w:rsidR="00460719" w:rsidRPr="007F7A64" w:rsidRDefault="00460719" w:rsidP="00FB6215">
            <w:pPr>
              <w:spacing w:after="0"/>
              <w:rPr>
                <w:b/>
              </w:rPr>
            </w:pPr>
            <w:r>
              <w:rPr>
                <w:b/>
              </w:rPr>
              <w:t>Rationale</w:t>
            </w:r>
          </w:p>
        </w:tc>
        <w:tc>
          <w:tcPr>
            <w:tcW w:w="8190" w:type="dxa"/>
          </w:tcPr>
          <w:p w14:paraId="20466895" w14:textId="262392FA" w:rsidR="00460719" w:rsidRPr="007F7A64" w:rsidRDefault="007D0AE1" w:rsidP="00FB6215">
            <w:pPr>
              <w:spacing w:after="0"/>
              <w:jc w:val="both"/>
            </w:pPr>
            <w:r w:rsidRPr="007D0AE1">
              <w:t xml:space="preserve">Stigma free enabling environment is a prerequisite for infection prevention. Policy makers, religious leader, teachers, media professional and celebrities can play vital role to change the social and cultural perception on TB/HIV.  Providing quality information, updates on the disease through workshop/ orientation, ASP in association with NGO-PRs will combine efforts to enhance knowledge on TB/HIV for reducing societal stigma and health sector stigma.  It is expected that this intervention will able to influence the right people for creating changes for reducing stigma and discrimination and the affected TB/HIV persons will get due services and to contribute for reducing infection.  </w:t>
            </w:r>
          </w:p>
        </w:tc>
      </w:tr>
      <w:tr w:rsidR="00F86F94" w:rsidRPr="007F7A64" w14:paraId="19752410" w14:textId="77777777" w:rsidTr="00031E15">
        <w:trPr>
          <w:trHeight w:val="288"/>
        </w:trPr>
        <w:tc>
          <w:tcPr>
            <w:tcW w:w="2245" w:type="dxa"/>
            <w:shd w:val="clear" w:color="auto" w:fill="F2F2F2"/>
            <w:vAlign w:val="center"/>
          </w:tcPr>
          <w:p w14:paraId="1419BD6E" w14:textId="77777777" w:rsidR="00F86F94" w:rsidRPr="007F7A64" w:rsidRDefault="00F86F94" w:rsidP="00F86F94">
            <w:pPr>
              <w:spacing w:after="0"/>
              <w:rPr>
                <w:b/>
              </w:rPr>
            </w:pPr>
            <w:r w:rsidRPr="007F7A64">
              <w:rPr>
                <w:b/>
              </w:rPr>
              <w:t xml:space="preserve">Expected </w:t>
            </w:r>
            <w:r>
              <w:rPr>
                <w:b/>
              </w:rPr>
              <w:t>Outcome</w:t>
            </w:r>
          </w:p>
        </w:tc>
        <w:tc>
          <w:tcPr>
            <w:tcW w:w="8190" w:type="dxa"/>
          </w:tcPr>
          <w:p w14:paraId="3A84F343" w14:textId="549D8167" w:rsidR="00F86F94" w:rsidRPr="007C1A2B" w:rsidRDefault="00F86F94" w:rsidP="00F86F94">
            <w:pPr>
              <w:spacing w:after="0"/>
              <w:jc w:val="both"/>
              <w:rPr>
                <w:highlight w:val="yellow"/>
              </w:rPr>
            </w:pPr>
            <w:r w:rsidRPr="00270FC0">
              <w:t xml:space="preserve">Right awareness and enabling environment will </w:t>
            </w:r>
            <w:r w:rsidRPr="00F86F94">
              <w:t>be created</w:t>
            </w:r>
            <w:r w:rsidRPr="00270FC0">
              <w:t xml:space="preserve"> to support TB/HIV reducing stigma and group of public advocates will </w:t>
            </w:r>
          </w:p>
        </w:tc>
      </w:tr>
      <w:tr w:rsidR="00F86F94" w:rsidRPr="007F7A64" w14:paraId="64CB403C" w14:textId="77777777" w:rsidTr="00031E15">
        <w:trPr>
          <w:trHeight w:val="288"/>
        </w:trPr>
        <w:tc>
          <w:tcPr>
            <w:tcW w:w="2245" w:type="dxa"/>
            <w:shd w:val="clear" w:color="auto" w:fill="F2F2F2"/>
            <w:vAlign w:val="center"/>
          </w:tcPr>
          <w:p w14:paraId="3DF541AB" w14:textId="77777777" w:rsidR="00F86F94" w:rsidRPr="00C44844" w:rsidRDefault="00F86F94" w:rsidP="00F86F94">
            <w:pPr>
              <w:spacing w:after="0"/>
              <w:rPr>
                <w:b/>
              </w:rPr>
            </w:pPr>
            <w:r w:rsidRPr="007F7A64">
              <w:rPr>
                <w:b/>
              </w:rPr>
              <w:t>Expected Investment</w:t>
            </w:r>
          </w:p>
        </w:tc>
        <w:tc>
          <w:tcPr>
            <w:tcW w:w="8190" w:type="dxa"/>
          </w:tcPr>
          <w:p w14:paraId="04E51E62" w14:textId="1AAF1B87" w:rsidR="00F86F94" w:rsidRPr="007C1A2B" w:rsidRDefault="00F86F94" w:rsidP="00F86F94">
            <w:pPr>
              <w:spacing w:after="0"/>
              <w:jc w:val="both"/>
              <w:rPr>
                <w:highlight w:val="yellow"/>
              </w:rPr>
            </w:pPr>
            <w:r w:rsidRPr="00DE2B0D">
              <w:rPr>
                <w:highlight w:val="green"/>
              </w:rPr>
              <w:t>US $ 227,749 (ASP- US $ 18,806+ SC- US $ 100,800+ icddr,b US $ 108143)</w:t>
            </w:r>
          </w:p>
        </w:tc>
      </w:tr>
    </w:tbl>
    <w:p w14:paraId="5259AF58" w14:textId="55A8A460" w:rsidR="00460719" w:rsidRPr="00460719" w:rsidRDefault="00460719" w:rsidP="009B6C0D">
      <w:pPr>
        <w:spacing w:after="0"/>
        <w:rPr>
          <w:iCs/>
          <w:sz w:val="16"/>
          <w:szCs w:val="16"/>
        </w:rPr>
      </w:pPr>
    </w:p>
    <w:tbl>
      <w:tblPr>
        <w:tblStyle w:val="TableGrid30"/>
        <w:tblW w:w="10800" w:type="dxa"/>
        <w:tblLook w:val="04A0" w:firstRow="1" w:lastRow="0" w:firstColumn="1" w:lastColumn="0" w:noHBand="0" w:noVBand="1"/>
      </w:tblPr>
      <w:tblGrid>
        <w:gridCol w:w="2245"/>
        <w:gridCol w:w="8555"/>
      </w:tblGrid>
      <w:tr w:rsidR="0048390F" w:rsidRPr="007F7A64" w14:paraId="658C326C" w14:textId="77777777" w:rsidTr="00031E15">
        <w:trPr>
          <w:trHeight w:val="288"/>
        </w:trPr>
        <w:tc>
          <w:tcPr>
            <w:tcW w:w="2245" w:type="dxa"/>
            <w:shd w:val="clear" w:color="auto" w:fill="F2F2F2"/>
            <w:vAlign w:val="center"/>
          </w:tcPr>
          <w:p w14:paraId="66056174" w14:textId="7BBA14E9" w:rsidR="0048390F" w:rsidRPr="00E41EDC" w:rsidRDefault="0048390F" w:rsidP="00677732">
            <w:pPr>
              <w:spacing w:after="0"/>
              <w:rPr>
                <w:b/>
              </w:rPr>
            </w:pPr>
            <w:r>
              <w:rPr>
                <w:b/>
              </w:rPr>
              <w:t xml:space="preserve">Module # </w:t>
            </w:r>
            <w:r w:rsidR="009751BE">
              <w:rPr>
                <w:b/>
              </w:rPr>
              <w:t>6</w:t>
            </w:r>
          </w:p>
        </w:tc>
        <w:tc>
          <w:tcPr>
            <w:tcW w:w="8555" w:type="dxa"/>
          </w:tcPr>
          <w:p w14:paraId="777884D1" w14:textId="77777777" w:rsidR="0048390F" w:rsidRPr="007B45F4" w:rsidRDefault="0048390F" w:rsidP="00677732">
            <w:pPr>
              <w:spacing w:after="0"/>
              <w:rPr>
                <w:b/>
                <w:bCs/>
              </w:rPr>
            </w:pPr>
            <w:r w:rsidRPr="00957ECA">
              <w:rPr>
                <w:b/>
                <w:bCs/>
              </w:rPr>
              <w:t xml:space="preserve">Resilient and Sustainable System for Health </w:t>
            </w:r>
            <w:r>
              <w:rPr>
                <w:b/>
                <w:bCs/>
              </w:rPr>
              <w:t>(</w:t>
            </w:r>
            <w:r w:rsidRPr="007B45F4">
              <w:rPr>
                <w:b/>
                <w:bCs/>
              </w:rPr>
              <w:t>RSSH</w:t>
            </w:r>
            <w:r>
              <w:rPr>
                <w:b/>
                <w:bCs/>
              </w:rPr>
              <w:t>)</w:t>
            </w:r>
            <w:r w:rsidRPr="007B45F4">
              <w:rPr>
                <w:b/>
                <w:bCs/>
              </w:rPr>
              <w:t>: Health Management Information Systems and M&amp;E</w:t>
            </w:r>
          </w:p>
        </w:tc>
      </w:tr>
      <w:tr w:rsidR="0048390F" w:rsidRPr="007F7A64" w14:paraId="585448D8" w14:textId="77777777" w:rsidTr="00031E15">
        <w:trPr>
          <w:trHeight w:val="288"/>
        </w:trPr>
        <w:tc>
          <w:tcPr>
            <w:tcW w:w="2245" w:type="dxa"/>
            <w:shd w:val="clear" w:color="auto" w:fill="F2F2F2"/>
            <w:vAlign w:val="center"/>
          </w:tcPr>
          <w:p w14:paraId="4E7733AC" w14:textId="77777777" w:rsidR="0048390F" w:rsidRPr="007F7A64" w:rsidRDefault="0048390F" w:rsidP="00677732">
            <w:pPr>
              <w:spacing w:after="0"/>
              <w:rPr>
                <w:b/>
              </w:rPr>
            </w:pPr>
            <w:r w:rsidRPr="007F7A64">
              <w:rPr>
                <w:b/>
              </w:rPr>
              <w:t>Intervention(s)</w:t>
            </w:r>
            <w:r>
              <w:rPr>
                <w:b/>
              </w:rPr>
              <w:t xml:space="preserve"> &amp; Key Activities</w:t>
            </w:r>
          </w:p>
        </w:tc>
        <w:tc>
          <w:tcPr>
            <w:tcW w:w="8555" w:type="dxa"/>
          </w:tcPr>
          <w:p w14:paraId="4E06308A" w14:textId="77777777" w:rsidR="0048390F" w:rsidRPr="007B45F4" w:rsidRDefault="0048390F" w:rsidP="0048390F">
            <w:pPr>
              <w:spacing w:after="0"/>
              <w:jc w:val="both"/>
              <w:rPr>
                <w:b/>
                <w:bCs/>
              </w:rPr>
            </w:pPr>
            <w:r w:rsidRPr="007B45F4">
              <w:rPr>
                <w:b/>
                <w:bCs/>
              </w:rPr>
              <w:t>Intervention</w:t>
            </w:r>
            <w:r>
              <w:rPr>
                <w:b/>
                <w:bCs/>
              </w:rPr>
              <w:t xml:space="preserve">: </w:t>
            </w:r>
            <w:r w:rsidRPr="00F81C95">
              <w:t>Routine reporting</w:t>
            </w:r>
          </w:p>
          <w:p w14:paraId="5E80FCEA" w14:textId="493951AF" w:rsidR="0048390F" w:rsidRDefault="0048390F" w:rsidP="0048390F">
            <w:pPr>
              <w:spacing w:after="0"/>
              <w:jc w:val="both"/>
            </w:pPr>
            <w:r w:rsidRPr="00F81C95">
              <w:rPr>
                <w:b/>
                <w:bCs/>
              </w:rPr>
              <w:t>Activities</w:t>
            </w:r>
            <w:r w:rsidRPr="00F81C95">
              <w:t xml:space="preserve">: </w:t>
            </w:r>
            <w:r w:rsidR="00977695">
              <w:t>D</w:t>
            </w:r>
            <w:r>
              <w:t xml:space="preserve">ata quality will be ensured. ASP will lead the </w:t>
            </w:r>
            <w:r w:rsidRPr="00F81C95">
              <w:t xml:space="preserve">monthly reporting to DHIS2 and </w:t>
            </w:r>
            <w:r>
              <w:t xml:space="preserve">will </w:t>
            </w:r>
            <w:r w:rsidRPr="00F81C95">
              <w:t>increase the entity all facilities (GO-NGO)</w:t>
            </w:r>
            <w:r>
              <w:t>. It will</w:t>
            </w:r>
            <w:r w:rsidRPr="00F81C95">
              <w:t xml:space="preserve"> report on HIV testing services, antiretroviral therapy, tracking loss-to-follow-up, viral load testing, distribution of commodities such as condoms and lubricants, sterile injecting equipment, routine reporting of TB/HIV collaborative activities, analytical capacity building- training, mentoring and supervision of subnational staff on data analysis and use</w:t>
            </w:r>
            <w:r>
              <w:t>. Further, ASP will review data quality and will do</w:t>
            </w:r>
            <w:r w:rsidRPr="00F81C95">
              <w:t xml:space="preserve"> assessments and validations</w:t>
            </w:r>
            <w:r>
              <w:t xml:space="preserve"> systematically.</w:t>
            </w:r>
          </w:p>
          <w:p w14:paraId="223B204D" w14:textId="77777777" w:rsidR="00625E2D" w:rsidRPr="00625E2D" w:rsidRDefault="00625E2D" w:rsidP="00625E2D">
            <w:pPr>
              <w:spacing w:after="0"/>
              <w:jc w:val="both"/>
            </w:pPr>
            <w:r w:rsidRPr="00625E2D">
              <w:rPr>
                <w:b/>
              </w:rPr>
              <w:t xml:space="preserve">Intervention: </w:t>
            </w:r>
            <w:r w:rsidRPr="00625E2D">
              <w:t>Analysis, evaluation, reviews and transparency</w:t>
            </w:r>
          </w:p>
          <w:p w14:paraId="5152F1E7" w14:textId="716D7F4C" w:rsidR="00625E2D" w:rsidRDefault="00625E2D" w:rsidP="00625E2D">
            <w:pPr>
              <w:spacing w:after="0"/>
              <w:jc w:val="both"/>
            </w:pPr>
            <w:r w:rsidRPr="00625E2D">
              <w:rPr>
                <w:b/>
              </w:rPr>
              <w:t xml:space="preserve">Activity: </w:t>
            </w:r>
            <w:r w:rsidRPr="00625E2D">
              <w:t xml:space="preserve">Annual/ six monthly workshop for program review at national level, development and sharing periodic report (quarterly </w:t>
            </w:r>
            <w:r w:rsidR="004C0C84" w:rsidRPr="00625E2D">
              <w:t>newsletter</w:t>
            </w:r>
            <w:r w:rsidRPr="00625E2D">
              <w:t>)</w:t>
            </w:r>
          </w:p>
          <w:p w14:paraId="6E463F51" w14:textId="77777777" w:rsidR="00625E2D" w:rsidRPr="00625E2D" w:rsidRDefault="00625E2D" w:rsidP="00625E2D">
            <w:pPr>
              <w:spacing w:after="0"/>
              <w:jc w:val="both"/>
              <w:rPr>
                <w:b/>
              </w:rPr>
            </w:pPr>
            <w:r w:rsidRPr="00625E2D">
              <w:rPr>
                <w:b/>
              </w:rPr>
              <w:t xml:space="preserve">Intervention: </w:t>
            </w:r>
            <w:r w:rsidRPr="00625E2D">
              <w:t>Survey</w:t>
            </w:r>
          </w:p>
          <w:p w14:paraId="17F7EE5B" w14:textId="00CDCA94" w:rsidR="00625E2D" w:rsidRPr="000344E8" w:rsidRDefault="00625E2D" w:rsidP="00625E2D">
            <w:pPr>
              <w:pStyle w:val="NoSpacing"/>
              <w:rPr>
                <w:b/>
              </w:rPr>
            </w:pPr>
            <w:r w:rsidRPr="00625E2D">
              <w:rPr>
                <w:b/>
              </w:rPr>
              <w:t xml:space="preserve">Activity: </w:t>
            </w:r>
            <w:r w:rsidRPr="00625E2D">
              <w:t>Conduct client satisfaction survey among the prevention and treatment programme beneficiaries</w:t>
            </w:r>
            <w:r w:rsidR="00083E3F">
              <w:t xml:space="preserve"> in DICs and ART center through partnership with any government / semi government entity as single sourcing contract</w:t>
            </w:r>
            <w:r w:rsidRPr="000344E8">
              <w:rPr>
                <w:b/>
              </w:rPr>
              <w:t xml:space="preserve"> </w:t>
            </w:r>
          </w:p>
          <w:p w14:paraId="1D7FCA24" w14:textId="77777777" w:rsidR="00625E2D" w:rsidRDefault="00625E2D" w:rsidP="00625E2D">
            <w:pPr>
              <w:spacing w:after="0"/>
              <w:jc w:val="both"/>
            </w:pPr>
          </w:p>
          <w:p w14:paraId="15739499" w14:textId="77777777" w:rsidR="0048390F" w:rsidRDefault="0048390F" w:rsidP="0048390F">
            <w:pPr>
              <w:spacing w:after="0"/>
              <w:jc w:val="both"/>
            </w:pPr>
            <w:r w:rsidRPr="00454124">
              <w:rPr>
                <w:b/>
                <w:bCs/>
              </w:rPr>
              <w:t>Intervention</w:t>
            </w:r>
            <w:r>
              <w:t>: Programme Review</w:t>
            </w:r>
          </w:p>
          <w:p w14:paraId="0E18612A" w14:textId="3B579F42" w:rsidR="009A2E88" w:rsidRPr="00F81C95" w:rsidRDefault="0048390F" w:rsidP="004C0C84">
            <w:pPr>
              <w:spacing w:after="0"/>
              <w:jc w:val="both"/>
            </w:pPr>
            <w:r w:rsidRPr="00454124">
              <w:rPr>
                <w:b/>
                <w:bCs/>
              </w:rPr>
              <w:t>Activities</w:t>
            </w:r>
            <w:r>
              <w:t xml:space="preserve">: NGO PRs will do the </w:t>
            </w:r>
            <w:r w:rsidRPr="00401060">
              <w:t xml:space="preserve">Program review, and needs-based operations research (OR) with any KPs under the Global Fund project. Also, the Participatory monitoring and evaluation (PM&amp;E) will be operational. </w:t>
            </w:r>
            <w:r w:rsidR="004C0C84" w:rsidRPr="004C0C84">
              <w:t>PRs will report pragmatic progress quarterly to the Global Fund and National HMIS after data verification.</w:t>
            </w:r>
          </w:p>
        </w:tc>
      </w:tr>
      <w:tr w:rsidR="0048390F" w:rsidRPr="007F7A64" w14:paraId="2B9C19C2" w14:textId="77777777" w:rsidTr="00031E15">
        <w:trPr>
          <w:trHeight w:val="288"/>
        </w:trPr>
        <w:tc>
          <w:tcPr>
            <w:tcW w:w="2245" w:type="dxa"/>
            <w:shd w:val="clear" w:color="auto" w:fill="F2F2F2"/>
            <w:vAlign w:val="center"/>
          </w:tcPr>
          <w:p w14:paraId="347B7656" w14:textId="77777777" w:rsidR="0048390F" w:rsidRPr="007F7A64" w:rsidRDefault="0048390F" w:rsidP="00677732">
            <w:pPr>
              <w:spacing w:after="0"/>
              <w:rPr>
                <w:b/>
              </w:rPr>
            </w:pPr>
            <w:r>
              <w:rPr>
                <w:b/>
              </w:rPr>
              <w:t>Priority Population(s)</w:t>
            </w:r>
          </w:p>
        </w:tc>
        <w:tc>
          <w:tcPr>
            <w:tcW w:w="8555" w:type="dxa"/>
          </w:tcPr>
          <w:p w14:paraId="7F77A259" w14:textId="77777777" w:rsidR="0048390F" w:rsidRPr="005E58F1" w:rsidRDefault="0048390F" w:rsidP="0048390F">
            <w:pPr>
              <w:spacing w:after="0"/>
              <w:jc w:val="both"/>
            </w:pPr>
            <w:r w:rsidRPr="005E58F1">
              <w:t xml:space="preserve">All KPs, General population and health service providers  </w:t>
            </w:r>
          </w:p>
        </w:tc>
      </w:tr>
      <w:tr w:rsidR="0048390F" w:rsidRPr="007F7A64" w14:paraId="26B76287" w14:textId="77777777" w:rsidTr="00031E15">
        <w:trPr>
          <w:trHeight w:val="288"/>
        </w:trPr>
        <w:tc>
          <w:tcPr>
            <w:tcW w:w="2245" w:type="dxa"/>
            <w:shd w:val="clear" w:color="auto" w:fill="F2F2F2"/>
            <w:vAlign w:val="center"/>
          </w:tcPr>
          <w:p w14:paraId="1E94F0D5" w14:textId="77777777" w:rsidR="0048390F" w:rsidRDefault="0048390F" w:rsidP="00677732">
            <w:pPr>
              <w:spacing w:after="0"/>
              <w:rPr>
                <w:b/>
              </w:rPr>
            </w:pPr>
            <w:r>
              <w:rPr>
                <w:b/>
              </w:rPr>
              <w:t>Barriers and Inequities</w:t>
            </w:r>
          </w:p>
        </w:tc>
        <w:tc>
          <w:tcPr>
            <w:tcW w:w="8555" w:type="dxa"/>
          </w:tcPr>
          <w:p w14:paraId="52E7EE8C" w14:textId="77777777" w:rsidR="0048390F" w:rsidRPr="00BB1670" w:rsidRDefault="0048390F" w:rsidP="0048390F">
            <w:pPr>
              <w:spacing w:after="0"/>
              <w:jc w:val="both"/>
            </w:pPr>
            <w:r>
              <w:t xml:space="preserve">The current capacity of human resource is a barrier for quality data gathering and its reporting. The </w:t>
            </w:r>
            <w:r w:rsidRPr="00454124">
              <w:t>KP focused OR   and national reporting of health issues of KPs are inadequate</w:t>
            </w:r>
            <w:r>
              <w:t xml:space="preserve">. </w:t>
            </w:r>
          </w:p>
        </w:tc>
      </w:tr>
      <w:tr w:rsidR="0048390F" w:rsidRPr="007F7A64" w14:paraId="58722993" w14:textId="77777777" w:rsidTr="00031E15">
        <w:trPr>
          <w:trHeight w:val="288"/>
        </w:trPr>
        <w:tc>
          <w:tcPr>
            <w:tcW w:w="2245" w:type="dxa"/>
            <w:shd w:val="clear" w:color="auto" w:fill="F2F2F2"/>
            <w:vAlign w:val="center"/>
          </w:tcPr>
          <w:p w14:paraId="644B9D92" w14:textId="77777777" w:rsidR="0048390F" w:rsidRPr="007F7A64" w:rsidRDefault="0048390F" w:rsidP="00677732">
            <w:pPr>
              <w:spacing w:after="0"/>
              <w:rPr>
                <w:b/>
              </w:rPr>
            </w:pPr>
            <w:r>
              <w:rPr>
                <w:b/>
              </w:rPr>
              <w:t>Rationale</w:t>
            </w:r>
          </w:p>
        </w:tc>
        <w:tc>
          <w:tcPr>
            <w:tcW w:w="8555" w:type="dxa"/>
          </w:tcPr>
          <w:p w14:paraId="43E8E3A6" w14:textId="0E32740D" w:rsidR="0048390F" w:rsidRPr="007F7A64" w:rsidRDefault="0048390F" w:rsidP="0048390F">
            <w:pPr>
              <w:spacing w:after="0"/>
              <w:jc w:val="both"/>
            </w:pPr>
            <w:r>
              <w:t xml:space="preserve">Recently, </w:t>
            </w:r>
            <w:r w:rsidRPr="005E58F1">
              <w:t xml:space="preserve">ASP </w:t>
            </w:r>
            <w:r>
              <w:t xml:space="preserve">has </w:t>
            </w:r>
            <w:r w:rsidRPr="005E58F1">
              <w:t xml:space="preserve">expanded </w:t>
            </w:r>
            <w:r>
              <w:t xml:space="preserve">HTS to </w:t>
            </w:r>
            <w:r w:rsidRPr="005E58F1">
              <w:t xml:space="preserve">28 </w:t>
            </w:r>
            <w:r>
              <w:t>facilities including</w:t>
            </w:r>
            <w:r w:rsidRPr="005E58F1">
              <w:t xml:space="preserve"> 23 priority district hospital</w:t>
            </w:r>
            <w:r>
              <w:t>. All</w:t>
            </w:r>
            <w:r w:rsidRPr="005E58F1">
              <w:t xml:space="preserve"> center</w:t>
            </w:r>
            <w:r>
              <w:t>s</w:t>
            </w:r>
            <w:r w:rsidRPr="005E58F1">
              <w:t xml:space="preserve"> report</w:t>
            </w:r>
            <w:r>
              <w:t>s</w:t>
            </w:r>
            <w:r w:rsidRPr="005E58F1">
              <w:t xml:space="preserve"> </w:t>
            </w:r>
            <w:r>
              <w:t xml:space="preserve">are </w:t>
            </w:r>
            <w:r w:rsidRPr="005E58F1">
              <w:t>required to see the performance, trend of the epidemic through case detection</w:t>
            </w:r>
            <w:r>
              <w:t>.</w:t>
            </w:r>
            <w:r w:rsidRPr="005E58F1">
              <w:t xml:space="preserve"> The</w:t>
            </w:r>
            <w:r>
              <w:t xml:space="preserve"> management information is the key to program implementation and it monitoring and evaluation to measure 90-90-90 targets. </w:t>
            </w:r>
            <w:r w:rsidRPr="00454124">
              <w:t>Program</w:t>
            </w:r>
            <w:r>
              <w:t>me</w:t>
            </w:r>
            <w:r w:rsidRPr="00454124">
              <w:t xml:space="preserve"> review, need-based OR and programmatic progress reports are essential parts of program</w:t>
            </w:r>
            <w:r>
              <w:t>me</w:t>
            </w:r>
            <w:r w:rsidRPr="00454124">
              <w:t xml:space="preserve"> implementation to enhance the program</w:t>
            </w:r>
            <w:r>
              <w:t>me</w:t>
            </w:r>
            <w:r w:rsidRPr="00454124">
              <w:t xml:space="preserve"> and remove bottlenecks of the implementation.</w:t>
            </w:r>
          </w:p>
        </w:tc>
      </w:tr>
      <w:tr w:rsidR="0048390F" w:rsidRPr="007F7A64" w14:paraId="373074D8" w14:textId="77777777" w:rsidTr="00031E15">
        <w:trPr>
          <w:trHeight w:val="288"/>
        </w:trPr>
        <w:tc>
          <w:tcPr>
            <w:tcW w:w="2245" w:type="dxa"/>
            <w:shd w:val="clear" w:color="auto" w:fill="F2F2F2"/>
            <w:vAlign w:val="center"/>
          </w:tcPr>
          <w:p w14:paraId="2EB1D72D" w14:textId="77777777" w:rsidR="0048390F" w:rsidRPr="007F7A64" w:rsidRDefault="0048390F" w:rsidP="00677732">
            <w:pPr>
              <w:spacing w:after="0"/>
              <w:rPr>
                <w:b/>
              </w:rPr>
            </w:pPr>
            <w:r w:rsidRPr="007F7A64">
              <w:rPr>
                <w:b/>
              </w:rPr>
              <w:t xml:space="preserve">Expected </w:t>
            </w:r>
            <w:r>
              <w:rPr>
                <w:b/>
              </w:rPr>
              <w:t>Outcome</w:t>
            </w:r>
          </w:p>
        </w:tc>
        <w:tc>
          <w:tcPr>
            <w:tcW w:w="8555" w:type="dxa"/>
          </w:tcPr>
          <w:p w14:paraId="7798ACF7" w14:textId="77777777" w:rsidR="0048390F" w:rsidRPr="007C1A2B" w:rsidRDefault="0048390F" w:rsidP="0048390F">
            <w:pPr>
              <w:spacing w:after="0"/>
              <w:jc w:val="both"/>
              <w:rPr>
                <w:highlight w:val="yellow"/>
              </w:rPr>
            </w:pPr>
            <w:r w:rsidRPr="00FD131F">
              <w:t>28 HTS facilit</w:t>
            </w:r>
            <w:r>
              <w:t>ies</w:t>
            </w:r>
            <w:r w:rsidRPr="00FD131F">
              <w:t xml:space="preserve"> will submit </w:t>
            </w:r>
            <w:r>
              <w:t xml:space="preserve">monthly </w:t>
            </w:r>
            <w:r w:rsidRPr="00FD131F">
              <w:t>report to DHIS2</w:t>
            </w:r>
            <w:r>
              <w:t xml:space="preserve">; </w:t>
            </w:r>
            <w:r w:rsidRPr="00454124">
              <w:t>Enhanced service delivery through evidence-based decision making</w:t>
            </w:r>
          </w:p>
        </w:tc>
      </w:tr>
      <w:tr w:rsidR="0048390F" w:rsidRPr="007F7A64" w14:paraId="7A377F25" w14:textId="77777777" w:rsidTr="00031E15">
        <w:trPr>
          <w:trHeight w:val="288"/>
        </w:trPr>
        <w:tc>
          <w:tcPr>
            <w:tcW w:w="2245" w:type="dxa"/>
            <w:shd w:val="clear" w:color="auto" w:fill="F2F2F2"/>
            <w:vAlign w:val="center"/>
          </w:tcPr>
          <w:p w14:paraId="58FF58B6" w14:textId="77777777" w:rsidR="0048390F" w:rsidRPr="004C0C84" w:rsidRDefault="0048390F" w:rsidP="00677732">
            <w:pPr>
              <w:spacing w:after="0"/>
              <w:rPr>
                <w:b/>
              </w:rPr>
            </w:pPr>
            <w:r w:rsidRPr="004C0C84">
              <w:rPr>
                <w:b/>
              </w:rPr>
              <w:t>Expected Investment</w:t>
            </w:r>
          </w:p>
        </w:tc>
        <w:tc>
          <w:tcPr>
            <w:tcW w:w="8555" w:type="dxa"/>
          </w:tcPr>
          <w:p w14:paraId="56FB1A94" w14:textId="6BC82C2B" w:rsidR="0048390F" w:rsidRPr="004C0C84" w:rsidRDefault="004C0C84" w:rsidP="0048390F">
            <w:pPr>
              <w:spacing w:after="0"/>
              <w:jc w:val="both"/>
            </w:pPr>
            <w:r w:rsidRPr="00DE2B0D">
              <w:rPr>
                <w:highlight w:val="green"/>
              </w:rPr>
              <w:t>US $ 693,725 (icddr,b- US $ 315,765+ ASP-US $  136,259 + SC- US $ 241,701  )</w:t>
            </w:r>
          </w:p>
        </w:tc>
      </w:tr>
    </w:tbl>
    <w:p w14:paraId="2A30A25E" w14:textId="26D1C319" w:rsidR="00A020B5" w:rsidRPr="003662C7" w:rsidRDefault="00A020B5" w:rsidP="009B6C0D">
      <w:pPr>
        <w:spacing w:after="0"/>
        <w:rPr>
          <w:iCs/>
          <w:sz w:val="16"/>
          <w:szCs w:val="16"/>
        </w:rPr>
      </w:pPr>
    </w:p>
    <w:tbl>
      <w:tblPr>
        <w:tblStyle w:val="TableGrid30"/>
        <w:tblW w:w="10800" w:type="dxa"/>
        <w:tblLook w:val="04A0" w:firstRow="1" w:lastRow="0" w:firstColumn="1" w:lastColumn="0" w:noHBand="0" w:noVBand="1"/>
      </w:tblPr>
      <w:tblGrid>
        <w:gridCol w:w="2245"/>
        <w:gridCol w:w="8555"/>
      </w:tblGrid>
      <w:tr w:rsidR="00677732" w:rsidRPr="007F7A64" w14:paraId="6402E7F0" w14:textId="77777777" w:rsidTr="00031E15">
        <w:trPr>
          <w:trHeight w:val="288"/>
        </w:trPr>
        <w:tc>
          <w:tcPr>
            <w:tcW w:w="2245" w:type="dxa"/>
            <w:shd w:val="clear" w:color="auto" w:fill="F2F2F2"/>
            <w:vAlign w:val="center"/>
          </w:tcPr>
          <w:p w14:paraId="7289D608" w14:textId="09D310B9" w:rsidR="00677732" w:rsidRPr="00E41EDC" w:rsidRDefault="00677732" w:rsidP="00677732">
            <w:pPr>
              <w:spacing w:after="0"/>
              <w:rPr>
                <w:b/>
              </w:rPr>
            </w:pPr>
            <w:r>
              <w:rPr>
                <w:b/>
              </w:rPr>
              <w:t xml:space="preserve">Module # </w:t>
            </w:r>
            <w:r w:rsidR="009751BE">
              <w:rPr>
                <w:b/>
              </w:rPr>
              <w:t>7</w:t>
            </w:r>
          </w:p>
        </w:tc>
        <w:tc>
          <w:tcPr>
            <w:tcW w:w="8555" w:type="dxa"/>
            <w:shd w:val="clear" w:color="auto" w:fill="auto"/>
          </w:tcPr>
          <w:p w14:paraId="2CE4E3C6" w14:textId="77777777" w:rsidR="00677732" w:rsidRPr="00636A82" w:rsidRDefault="00677732" w:rsidP="00677732">
            <w:pPr>
              <w:spacing w:after="0"/>
              <w:rPr>
                <w:b/>
                <w:bCs/>
              </w:rPr>
            </w:pPr>
            <w:r w:rsidRPr="00636A82">
              <w:rPr>
                <w:b/>
                <w:bCs/>
              </w:rPr>
              <w:t xml:space="preserve">RSSH: Human resources for health, including community health workers program management </w:t>
            </w:r>
          </w:p>
        </w:tc>
      </w:tr>
      <w:tr w:rsidR="00677732" w:rsidRPr="007F7A64" w14:paraId="66A9EBF1" w14:textId="77777777" w:rsidTr="00031E15">
        <w:trPr>
          <w:trHeight w:val="288"/>
        </w:trPr>
        <w:tc>
          <w:tcPr>
            <w:tcW w:w="2245" w:type="dxa"/>
            <w:shd w:val="clear" w:color="auto" w:fill="F2F2F2"/>
            <w:vAlign w:val="center"/>
          </w:tcPr>
          <w:p w14:paraId="5E88C730" w14:textId="77777777" w:rsidR="00677732" w:rsidRPr="007F7A64" w:rsidRDefault="00677732" w:rsidP="00677732">
            <w:pPr>
              <w:spacing w:after="0"/>
              <w:rPr>
                <w:b/>
              </w:rPr>
            </w:pPr>
            <w:r w:rsidRPr="007F7A64">
              <w:rPr>
                <w:b/>
              </w:rPr>
              <w:t>Intervention(s)</w:t>
            </w:r>
            <w:r>
              <w:rPr>
                <w:b/>
              </w:rPr>
              <w:t xml:space="preserve"> &amp; Key Activities</w:t>
            </w:r>
          </w:p>
        </w:tc>
        <w:tc>
          <w:tcPr>
            <w:tcW w:w="8555" w:type="dxa"/>
            <w:shd w:val="clear" w:color="auto" w:fill="auto"/>
          </w:tcPr>
          <w:p w14:paraId="404E76F2" w14:textId="77777777" w:rsidR="00677732" w:rsidRPr="00636A82" w:rsidRDefault="00677732" w:rsidP="00677732">
            <w:pPr>
              <w:spacing w:after="0"/>
              <w:jc w:val="both"/>
            </w:pPr>
            <w:r w:rsidRPr="00636A82">
              <w:rPr>
                <w:b/>
                <w:bCs/>
              </w:rPr>
              <w:t xml:space="preserve">Intervention: </w:t>
            </w:r>
            <w:r w:rsidRPr="00636A82">
              <w:t>Remuneration &amp; deployment of existing/new staff (excluding</w:t>
            </w:r>
          </w:p>
          <w:p w14:paraId="1D35FB15" w14:textId="77777777" w:rsidR="00677732" w:rsidRPr="00636A82" w:rsidRDefault="00677732" w:rsidP="00677732">
            <w:pPr>
              <w:pStyle w:val="ListParagraph"/>
              <w:spacing w:after="0"/>
              <w:jc w:val="both"/>
            </w:pPr>
            <w:r w:rsidRPr="00636A82">
              <w:t>community health workers)</w:t>
            </w:r>
          </w:p>
          <w:p w14:paraId="3AEE0DF3" w14:textId="20C90E73" w:rsidR="00677732" w:rsidRPr="00636A82" w:rsidRDefault="00677732" w:rsidP="00677732">
            <w:pPr>
              <w:spacing w:after="0"/>
              <w:jc w:val="both"/>
            </w:pPr>
            <w:r w:rsidRPr="00636A82">
              <w:rPr>
                <w:b/>
                <w:bCs/>
              </w:rPr>
              <w:t>Activities</w:t>
            </w:r>
            <w:r w:rsidRPr="00636A82">
              <w:t>: ASP will provide salaries, monetary and non-monetary incentives to existing grant supported staff</w:t>
            </w:r>
            <w:r w:rsidR="009A2E88">
              <w:t xml:space="preserve"> based on annual performance review</w:t>
            </w:r>
            <w:r w:rsidRPr="00636A82">
              <w:t xml:space="preserve">. Due to programme expansion few additional staff will be recruited. Retention schemes and salary payments of current and new staff will be addressed. </w:t>
            </w:r>
          </w:p>
          <w:p w14:paraId="5999FB64" w14:textId="77777777" w:rsidR="00677732" w:rsidRPr="00636A82" w:rsidRDefault="00677732" w:rsidP="00677732">
            <w:pPr>
              <w:spacing w:after="0"/>
              <w:jc w:val="both"/>
            </w:pPr>
            <w:r w:rsidRPr="00636A82">
              <w:rPr>
                <w:b/>
                <w:bCs/>
              </w:rPr>
              <w:t>Interventions</w:t>
            </w:r>
            <w:r w:rsidRPr="00636A82">
              <w:t>: In-service training (excluding community health workers)</w:t>
            </w:r>
          </w:p>
          <w:p w14:paraId="034E1C8C" w14:textId="77777777" w:rsidR="00677732" w:rsidRPr="00636A82" w:rsidRDefault="00677732" w:rsidP="00677732">
            <w:pPr>
              <w:spacing w:after="0"/>
              <w:jc w:val="both"/>
            </w:pPr>
            <w:r w:rsidRPr="00636A82">
              <w:rPr>
                <w:b/>
                <w:bCs/>
              </w:rPr>
              <w:t>Activities</w:t>
            </w:r>
            <w:r w:rsidRPr="00636A82">
              <w:t xml:space="preserve">: training will include provision of quality treatment, care and support, preventive and related social services for HIV; </w:t>
            </w:r>
            <w:r>
              <w:t>training on l</w:t>
            </w:r>
            <w:r w:rsidRPr="00636A82">
              <w:t xml:space="preserve">eadership and management; </w:t>
            </w:r>
            <w:r>
              <w:t>supportive s</w:t>
            </w:r>
            <w:r w:rsidRPr="00636A82">
              <w:t xml:space="preserve">upervision </w:t>
            </w:r>
            <w:r>
              <w:t>to</w:t>
            </w:r>
            <w:r w:rsidRPr="00636A82">
              <w:t xml:space="preserve"> health workers; </w:t>
            </w:r>
            <w:r>
              <w:t>and updating, revision or new development of</w:t>
            </w:r>
            <w:r w:rsidRPr="00636A82">
              <w:t xml:space="preserve"> training curricula</w:t>
            </w:r>
          </w:p>
        </w:tc>
      </w:tr>
      <w:tr w:rsidR="00677732" w:rsidRPr="007F7A64" w14:paraId="1173C73B" w14:textId="77777777" w:rsidTr="00031E15">
        <w:trPr>
          <w:trHeight w:val="288"/>
        </w:trPr>
        <w:tc>
          <w:tcPr>
            <w:tcW w:w="2245" w:type="dxa"/>
            <w:shd w:val="clear" w:color="auto" w:fill="F2F2F2"/>
            <w:vAlign w:val="center"/>
          </w:tcPr>
          <w:p w14:paraId="1FCD6887" w14:textId="77777777" w:rsidR="00677732" w:rsidRPr="007F7A64" w:rsidRDefault="00677732" w:rsidP="00677732">
            <w:pPr>
              <w:spacing w:after="0"/>
              <w:rPr>
                <w:b/>
              </w:rPr>
            </w:pPr>
            <w:r>
              <w:rPr>
                <w:b/>
              </w:rPr>
              <w:t>Priority Population(s)</w:t>
            </w:r>
          </w:p>
        </w:tc>
        <w:tc>
          <w:tcPr>
            <w:tcW w:w="8555" w:type="dxa"/>
          </w:tcPr>
          <w:p w14:paraId="262FC3B5" w14:textId="77777777" w:rsidR="00677732" w:rsidRPr="00DC4FEF" w:rsidRDefault="00677732" w:rsidP="00677732">
            <w:pPr>
              <w:spacing w:after="0"/>
              <w:jc w:val="both"/>
            </w:pPr>
            <w:r w:rsidRPr="00DC4FEF">
              <w:t>Staff working at ASP and Service providers in government and NGOs sector</w:t>
            </w:r>
          </w:p>
        </w:tc>
      </w:tr>
      <w:tr w:rsidR="00677732" w:rsidRPr="007F7A64" w14:paraId="196BE53A" w14:textId="77777777" w:rsidTr="00031E15">
        <w:trPr>
          <w:trHeight w:val="288"/>
        </w:trPr>
        <w:tc>
          <w:tcPr>
            <w:tcW w:w="2245" w:type="dxa"/>
            <w:shd w:val="clear" w:color="auto" w:fill="F2F2F2"/>
            <w:vAlign w:val="center"/>
          </w:tcPr>
          <w:p w14:paraId="21AED90F" w14:textId="77777777" w:rsidR="00677732" w:rsidRDefault="00677732" w:rsidP="00677732">
            <w:pPr>
              <w:spacing w:after="0"/>
              <w:rPr>
                <w:b/>
              </w:rPr>
            </w:pPr>
            <w:r>
              <w:rPr>
                <w:b/>
              </w:rPr>
              <w:t>Barriers and Inequities</w:t>
            </w:r>
          </w:p>
        </w:tc>
        <w:tc>
          <w:tcPr>
            <w:tcW w:w="8555" w:type="dxa"/>
          </w:tcPr>
          <w:p w14:paraId="4BC9D7E2" w14:textId="77777777" w:rsidR="00677732" w:rsidRPr="00BB1670" w:rsidRDefault="00677732" w:rsidP="00677732">
            <w:pPr>
              <w:spacing w:after="0"/>
              <w:jc w:val="both"/>
            </w:pPr>
            <w:r>
              <w:t>Less number of staff against sanctioned posts in government system for optimum operationalization of interventions with relevant skills and frequent t</w:t>
            </w:r>
            <w:r w:rsidRPr="00DC4FEF">
              <w:t xml:space="preserve">ransfer of the government </w:t>
            </w:r>
            <w:r>
              <w:t xml:space="preserve">trained </w:t>
            </w:r>
            <w:r w:rsidRPr="00DC4FEF">
              <w:t>service provider</w:t>
            </w:r>
            <w:r>
              <w:t>s</w:t>
            </w:r>
            <w:r w:rsidRPr="00DC4FEF">
              <w:t xml:space="preserve"> from</w:t>
            </w:r>
            <w:r>
              <w:t xml:space="preserve"> particular</w:t>
            </w:r>
            <w:r w:rsidRPr="00DC4FEF">
              <w:t xml:space="preserve"> hospital</w:t>
            </w:r>
            <w:r>
              <w:t xml:space="preserve"> to other places</w:t>
            </w:r>
          </w:p>
        </w:tc>
      </w:tr>
      <w:tr w:rsidR="00677732" w:rsidRPr="007F7A64" w14:paraId="5F7413C8" w14:textId="77777777" w:rsidTr="00031E15">
        <w:trPr>
          <w:trHeight w:val="288"/>
        </w:trPr>
        <w:tc>
          <w:tcPr>
            <w:tcW w:w="2245" w:type="dxa"/>
            <w:shd w:val="clear" w:color="auto" w:fill="F2F2F2"/>
            <w:vAlign w:val="center"/>
          </w:tcPr>
          <w:p w14:paraId="5B4599AA" w14:textId="77777777" w:rsidR="00677732" w:rsidRPr="007F7A64" w:rsidRDefault="00677732" w:rsidP="00677732">
            <w:pPr>
              <w:spacing w:after="0"/>
              <w:rPr>
                <w:b/>
              </w:rPr>
            </w:pPr>
            <w:r>
              <w:rPr>
                <w:b/>
              </w:rPr>
              <w:t>Rationale</w:t>
            </w:r>
          </w:p>
        </w:tc>
        <w:tc>
          <w:tcPr>
            <w:tcW w:w="8555" w:type="dxa"/>
          </w:tcPr>
          <w:p w14:paraId="1825066C" w14:textId="77777777" w:rsidR="00677732" w:rsidRPr="007F7A64" w:rsidRDefault="00677732" w:rsidP="00677732">
            <w:pPr>
              <w:spacing w:after="0"/>
              <w:jc w:val="both"/>
            </w:pPr>
            <w:r>
              <w:t>Ensuring universal access to public facilities for the KPs and i</w:t>
            </w:r>
            <w:r w:rsidRPr="00DC4FEF">
              <w:t xml:space="preserve">mproving the quality </w:t>
            </w:r>
            <w:r>
              <w:t xml:space="preserve">of care </w:t>
            </w:r>
            <w:r w:rsidRPr="00DC4FEF">
              <w:t xml:space="preserve">for the KPs </w:t>
            </w:r>
            <w:r>
              <w:t xml:space="preserve">including </w:t>
            </w:r>
            <w:r w:rsidRPr="00DC4FEF">
              <w:t xml:space="preserve">general population </w:t>
            </w:r>
            <w:r>
              <w:t xml:space="preserve">is necessary on HIV. </w:t>
            </w:r>
          </w:p>
        </w:tc>
      </w:tr>
      <w:tr w:rsidR="00677732" w:rsidRPr="007F7A64" w14:paraId="35BA9779" w14:textId="77777777" w:rsidTr="00031E15">
        <w:trPr>
          <w:trHeight w:val="288"/>
        </w:trPr>
        <w:tc>
          <w:tcPr>
            <w:tcW w:w="2245" w:type="dxa"/>
            <w:shd w:val="clear" w:color="auto" w:fill="F2F2F2"/>
            <w:vAlign w:val="center"/>
          </w:tcPr>
          <w:p w14:paraId="0327C27E" w14:textId="77777777" w:rsidR="00677732" w:rsidRPr="007F7A64" w:rsidRDefault="00677732" w:rsidP="00677732">
            <w:pPr>
              <w:spacing w:after="0"/>
              <w:rPr>
                <w:b/>
              </w:rPr>
            </w:pPr>
            <w:r w:rsidRPr="007F7A64">
              <w:rPr>
                <w:b/>
              </w:rPr>
              <w:t xml:space="preserve">Expected </w:t>
            </w:r>
            <w:r>
              <w:rPr>
                <w:b/>
              </w:rPr>
              <w:t>Outcome</w:t>
            </w:r>
          </w:p>
        </w:tc>
        <w:tc>
          <w:tcPr>
            <w:tcW w:w="8555" w:type="dxa"/>
          </w:tcPr>
          <w:p w14:paraId="275CFF4B" w14:textId="77777777" w:rsidR="00677732" w:rsidRPr="007C1A2B" w:rsidRDefault="00677732" w:rsidP="00677732">
            <w:pPr>
              <w:spacing w:after="0"/>
              <w:jc w:val="both"/>
              <w:rPr>
                <w:highlight w:val="yellow"/>
              </w:rPr>
            </w:pPr>
            <w:r w:rsidRPr="00DC4FEF">
              <w:t>Increase accessibility of the health and HIV services for the KPs in govt hospital</w:t>
            </w:r>
          </w:p>
        </w:tc>
      </w:tr>
      <w:tr w:rsidR="00677732" w:rsidRPr="007F7A64" w14:paraId="770E4CC8" w14:textId="77777777" w:rsidTr="00031E15">
        <w:trPr>
          <w:trHeight w:val="288"/>
        </w:trPr>
        <w:tc>
          <w:tcPr>
            <w:tcW w:w="2245" w:type="dxa"/>
            <w:shd w:val="clear" w:color="auto" w:fill="F2F2F2"/>
            <w:vAlign w:val="center"/>
          </w:tcPr>
          <w:p w14:paraId="5251C26A" w14:textId="77777777" w:rsidR="00677732" w:rsidRPr="00C44844" w:rsidRDefault="00677732" w:rsidP="00677732">
            <w:pPr>
              <w:spacing w:after="0"/>
              <w:rPr>
                <w:b/>
              </w:rPr>
            </w:pPr>
            <w:r w:rsidRPr="007F7A64">
              <w:rPr>
                <w:b/>
              </w:rPr>
              <w:t>Expected Investment</w:t>
            </w:r>
          </w:p>
        </w:tc>
        <w:tc>
          <w:tcPr>
            <w:tcW w:w="8555" w:type="dxa"/>
          </w:tcPr>
          <w:p w14:paraId="259C44F6" w14:textId="67B608AF" w:rsidR="00677732" w:rsidRPr="007C1A2B" w:rsidRDefault="00677732" w:rsidP="00677732">
            <w:pPr>
              <w:spacing w:after="0"/>
              <w:jc w:val="both"/>
              <w:rPr>
                <w:highlight w:val="yellow"/>
              </w:rPr>
            </w:pPr>
            <w:r w:rsidRPr="00DE2B0D">
              <w:rPr>
                <w:highlight w:val="green"/>
              </w:rPr>
              <w:t xml:space="preserve">US </w:t>
            </w:r>
            <w:r w:rsidR="00FB6215" w:rsidRPr="00DE2B0D">
              <w:rPr>
                <w:highlight w:val="green"/>
              </w:rPr>
              <w:t>$ 840,481</w:t>
            </w:r>
          </w:p>
        </w:tc>
      </w:tr>
    </w:tbl>
    <w:p w14:paraId="58364C7B" w14:textId="1C3B8B76" w:rsidR="00A020B5" w:rsidRDefault="00A020B5" w:rsidP="009B6C0D">
      <w:pPr>
        <w:spacing w:after="0"/>
        <w:rPr>
          <w:i/>
          <w:sz w:val="16"/>
          <w:szCs w:val="16"/>
        </w:rPr>
      </w:pPr>
    </w:p>
    <w:tbl>
      <w:tblPr>
        <w:tblStyle w:val="TableGrid30"/>
        <w:tblW w:w="10800" w:type="dxa"/>
        <w:tblLook w:val="04A0" w:firstRow="1" w:lastRow="0" w:firstColumn="1" w:lastColumn="0" w:noHBand="0" w:noVBand="1"/>
      </w:tblPr>
      <w:tblGrid>
        <w:gridCol w:w="2245"/>
        <w:gridCol w:w="8555"/>
      </w:tblGrid>
      <w:tr w:rsidR="00FF65E6" w:rsidRPr="007F7A64" w14:paraId="663BD7D4" w14:textId="77777777" w:rsidTr="00031E15">
        <w:trPr>
          <w:trHeight w:val="288"/>
        </w:trPr>
        <w:tc>
          <w:tcPr>
            <w:tcW w:w="2245" w:type="dxa"/>
            <w:shd w:val="clear" w:color="auto" w:fill="F2F2F2"/>
            <w:vAlign w:val="center"/>
          </w:tcPr>
          <w:p w14:paraId="47B17E4D" w14:textId="706F633B" w:rsidR="00FF65E6" w:rsidRPr="00E41EDC" w:rsidRDefault="00FF65E6" w:rsidP="003E74DA">
            <w:pPr>
              <w:spacing w:after="0"/>
              <w:rPr>
                <w:b/>
              </w:rPr>
            </w:pPr>
            <w:r>
              <w:rPr>
                <w:b/>
              </w:rPr>
              <w:t>Module # 8</w:t>
            </w:r>
          </w:p>
        </w:tc>
        <w:tc>
          <w:tcPr>
            <w:tcW w:w="8555" w:type="dxa"/>
            <w:shd w:val="clear" w:color="auto" w:fill="auto"/>
          </w:tcPr>
          <w:p w14:paraId="7F471D4C" w14:textId="643DF70D" w:rsidR="00FF65E6" w:rsidRPr="00636A82" w:rsidRDefault="00FF65E6" w:rsidP="00FF65E6">
            <w:pPr>
              <w:spacing w:after="0"/>
              <w:rPr>
                <w:b/>
                <w:bCs/>
              </w:rPr>
            </w:pPr>
            <w:r w:rsidRPr="00FF65E6">
              <w:rPr>
                <w:b/>
                <w:bCs/>
              </w:rPr>
              <w:t>RSSH:</w:t>
            </w:r>
            <w:r>
              <w:rPr>
                <w:b/>
                <w:bCs/>
              </w:rPr>
              <w:t xml:space="preserve"> </w:t>
            </w:r>
            <w:r w:rsidRPr="00FF65E6">
              <w:rPr>
                <w:b/>
                <w:bCs/>
              </w:rPr>
              <w:t>Integrated</w:t>
            </w:r>
            <w:r>
              <w:rPr>
                <w:b/>
                <w:bCs/>
              </w:rPr>
              <w:t xml:space="preserve"> </w:t>
            </w:r>
            <w:r w:rsidRPr="00FF65E6">
              <w:rPr>
                <w:b/>
                <w:bCs/>
              </w:rPr>
              <w:t>service</w:t>
            </w:r>
            <w:r>
              <w:rPr>
                <w:b/>
                <w:bCs/>
              </w:rPr>
              <w:t xml:space="preserve"> </w:t>
            </w:r>
            <w:r w:rsidRPr="00FF65E6">
              <w:rPr>
                <w:b/>
                <w:bCs/>
              </w:rPr>
              <w:t>delivery and</w:t>
            </w:r>
            <w:r>
              <w:rPr>
                <w:b/>
                <w:bCs/>
              </w:rPr>
              <w:t xml:space="preserve"> </w:t>
            </w:r>
            <w:r w:rsidRPr="00FF65E6">
              <w:rPr>
                <w:b/>
                <w:bCs/>
              </w:rPr>
              <w:t>quality</w:t>
            </w:r>
            <w:r>
              <w:rPr>
                <w:b/>
                <w:bCs/>
              </w:rPr>
              <w:t xml:space="preserve"> </w:t>
            </w:r>
            <w:r w:rsidRPr="00FF65E6">
              <w:rPr>
                <w:b/>
                <w:bCs/>
              </w:rPr>
              <w:t>improvement</w:t>
            </w:r>
          </w:p>
        </w:tc>
      </w:tr>
      <w:tr w:rsidR="00FF65E6" w:rsidRPr="007F7A64" w14:paraId="582AB85B" w14:textId="77777777" w:rsidTr="00031E15">
        <w:trPr>
          <w:trHeight w:val="288"/>
        </w:trPr>
        <w:tc>
          <w:tcPr>
            <w:tcW w:w="2245" w:type="dxa"/>
            <w:shd w:val="clear" w:color="auto" w:fill="F2F2F2"/>
            <w:vAlign w:val="center"/>
          </w:tcPr>
          <w:p w14:paraId="20D3DD86" w14:textId="77777777" w:rsidR="00FF65E6" w:rsidRPr="007F7A64" w:rsidRDefault="00FF65E6" w:rsidP="003E74DA">
            <w:pPr>
              <w:spacing w:after="0"/>
              <w:rPr>
                <w:b/>
              </w:rPr>
            </w:pPr>
            <w:r w:rsidRPr="007F7A64">
              <w:rPr>
                <w:b/>
              </w:rPr>
              <w:t>Intervention(s)</w:t>
            </w:r>
            <w:r>
              <w:rPr>
                <w:b/>
              </w:rPr>
              <w:t xml:space="preserve"> &amp; Key Activities</w:t>
            </w:r>
          </w:p>
        </w:tc>
        <w:tc>
          <w:tcPr>
            <w:tcW w:w="8555" w:type="dxa"/>
            <w:shd w:val="clear" w:color="auto" w:fill="auto"/>
          </w:tcPr>
          <w:p w14:paraId="00AA6D95" w14:textId="3C1353C4" w:rsidR="00991924" w:rsidRPr="00991924" w:rsidRDefault="00FF65E6" w:rsidP="00991924">
            <w:pPr>
              <w:spacing w:after="0"/>
              <w:jc w:val="both"/>
            </w:pPr>
            <w:r w:rsidRPr="00636A82">
              <w:rPr>
                <w:b/>
                <w:bCs/>
              </w:rPr>
              <w:t xml:space="preserve">Intervention: </w:t>
            </w:r>
            <w:r w:rsidR="00991924" w:rsidRPr="00991924">
              <w:t>Service organization and facility management</w:t>
            </w:r>
          </w:p>
          <w:p w14:paraId="74E1AFFC" w14:textId="745A0CDE" w:rsidR="00FF65E6" w:rsidRDefault="00991924" w:rsidP="0066449C">
            <w:pPr>
              <w:spacing w:after="0"/>
              <w:jc w:val="both"/>
            </w:pPr>
            <w:r w:rsidRPr="00991924">
              <w:rPr>
                <w:b/>
                <w:bCs/>
              </w:rPr>
              <w:t>Activities</w:t>
            </w:r>
            <w:r w:rsidR="0066449C">
              <w:rPr>
                <w:b/>
                <w:bCs/>
              </w:rPr>
              <w:t xml:space="preserve">: </w:t>
            </w:r>
            <w:r w:rsidR="0066449C" w:rsidRPr="0066449C">
              <w:t>ASP will support 28 districts for strengthening district management systems</w:t>
            </w:r>
            <w:r w:rsidR="0066449C">
              <w:t xml:space="preserve"> for HIV prevention, testing and treatment. It will increase monitoring and </w:t>
            </w:r>
            <w:r w:rsidR="0066449C" w:rsidRPr="0066449C">
              <w:t>supervision</w:t>
            </w:r>
            <w:r w:rsidR="0066449C">
              <w:t xml:space="preserve"> visit to districts for improving HIV</w:t>
            </w:r>
            <w:r w:rsidR="0066449C" w:rsidRPr="0066449C">
              <w:t xml:space="preserve"> service delivery </w:t>
            </w:r>
            <w:r w:rsidR="0066449C">
              <w:t xml:space="preserve">and </w:t>
            </w:r>
            <w:r w:rsidR="0066449C" w:rsidRPr="0066449C">
              <w:t>for</w:t>
            </w:r>
            <w:r w:rsidR="0066449C">
              <w:t xml:space="preserve"> </w:t>
            </w:r>
            <w:r w:rsidR="0066449C" w:rsidRPr="0066449C">
              <w:t>integrat</w:t>
            </w:r>
            <w:r w:rsidR="0066449C">
              <w:t>ion of</w:t>
            </w:r>
            <w:r w:rsidR="0066449C" w:rsidRPr="0066449C">
              <w:t xml:space="preserve"> services </w:t>
            </w:r>
            <w:r w:rsidR="0066449C">
              <w:t xml:space="preserve">with SRH and MNCH </w:t>
            </w:r>
            <w:r w:rsidR="0066449C" w:rsidRPr="0066449C">
              <w:t xml:space="preserve">at </w:t>
            </w:r>
            <w:r w:rsidR="0066449C">
              <w:t>public hospitals.</w:t>
            </w:r>
          </w:p>
          <w:p w14:paraId="20D1F1E5" w14:textId="77777777" w:rsidR="0066449C" w:rsidRDefault="0066449C" w:rsidP="0066449C">
            <w:pPr>
              <w:spacing w:after="0"/>
              <w:jc w:val="both"/>
            </w:pPr>
            <w:r w:rsidRPr="0066449C">
              <w:rPr>
                <w:b/>
                <w:bCs/>
              </w:rPr>
              <w:t>Intervention</w:t>
            </w:r>
            <w:r>
              <w:t xml:space="preserve">: </w:t>
            </w:r>
            <w:r w:rsidRPr="0066449C">
              <w:t>Service delivery infrastructure</w:t>
            </w:r>
          </w:p>
          <w:p w14:paraId="3820AA1C" w14:textId="23DC25D2" w:rsidR="0066449C" w:rsidRPr="00636A82" w:rsidRDefault="0066449C" w:rsidP="00113B1C">
            <w:pPr>
              <w:spacing w:after="0"/>
              <w:jc w:val="both"/>
            </w:pPr>
            <w:r w:rsidRPr="0066449C">
              <w:rPr>
                <w:b/>
                <w:bCs/>
              </w:rPr>
              <w:t>Activities</w:t>
            </w:r>
            <w:r>
              <w:t xml:space="preserve">: ASP will support 28 district hospitals for upgrading service delivery infrastructure for KPs and for HTS and treatment and care. </w:t>
            </w:r>
            <w:r w:rsidR="00113B1C">
              <w:t>The facilities will need</w:t>
            </w:r>
            <w:r>
              <w:t xml:space="preserve"> </w:t>
            </w:r>
            <w:r w:rsidR="00113B1C">
              <w:t>r</w:t>
            </w:r>
            <w:r>
              <w:t>efurbishing</w:t>
            </w:r>
            <w:r w:rsidR="00113B1C">
              <w:t xml:space="preserve">, </w:t>
            </w:r>
            <w:r>
              <w:t>furniture</w:t>
            </w:r>
            <w:r w:rsidR="00113B1C">
              <w:t xml:space="preserve"> and other equipment supports for developing an enabling environment for KPs to ensure privacy and </w:t>
            </w:r>
            <w:r w:rsidR="00113B1C" w:rsidRPr="004C0C84">
              <w:t>confidentiality</w:t>
            </w:r>
            <w:r w:rsidR="004C0C84" w:rsidRPr="004C0C84">
              <w:t xml:space="preserve"> in 4 district hospital where KPs will be integrated for prevention services</w:t>
            </w:r>
            <w:r w:rsidR="00113B1C" w:rsidRPr="004C0C84">
              <w:t>.</w:t>
            </w:r>
            <w:r w:rsidR="00113B1C">
              <w:t xml:space="preserve"> </w:t>
            </w:r>
          </w:p>
        </w:tc>
      </w:tr>
      <w:tr w:rsidR="00FF65E6" w:rsidRPr="007F7A64" w14:paraId="37480F0F" w14:textId="77777777" w:rsidTr="00031E15">
        <w:trPr>
          <w:trHeight w:val="288"/>
        </w:trPr>
        <w:tc>
          <w:tcPr>
            <w:tcW w:w="2245" w:type="dxa"/>
            <w:shd w:val="clear" w:color="auto" w:fill="F2F2F2"/>
            <w:vAlign w:val="center"/>
          </w:tcPr>
          <w:p w14:paraId="79EF6022" w14:textId="77777777" w:rsidR="00FF65E6" w:rsidRPr="007F7A64" w:rsidRDefault="00FF65E6" w:rsidP="003E74DA">
            <w:pPr>
              <w:spacing w:after="0"/>
              <w:rPr>
                <w:b/>
              </w:rPr>
            </w:pPr>
            <w:r>
              <w:rPr>
                <w:b/>
              </w:rPr>
              <w:t>Priority Population(s)</w:t>
            </w:r>
          </w:p>
        </w:tc>
        <w:tc>
          <w:tcPr>
            <w:tcW w:w="8555" w:type="dxa"/>
          </w:tcPr>
          <w:p w14:paraId="6F47F9D3" w14:textId="262175C8" w:rsidR="00FF65E6" w:rsidRPr="00DC4FEF" w:rsidRDefault="005278EF" w:rsidP="003E74DA">
            <w:pPr>
              <w:spacing w:after="0"/>
              <w:jc w:val="both"/>
            </w:pPr>
            <w:r w:rsidRPr="005278EF">
              <w:t xml:space="preserve">Staff working at ASP and Service providers in government </w:t>
            </w:r>
          </w:p>
        </w:tc>
      </w:tr>
      <w:tr w:rsidR="00FF65E6" w:rsidRPr="007F7A64" w14:paraId="76CC13CA" w14:textId="77777777" w:rsidTr="00031E15">
        <w:trPr>
          <w:trHeight w:val="288"/>
        </w:trPr>
        <w:tc>
          <w:tcPr>
            <w:tcW w:w="2245" w:type="dxa"/>
            <w:shd w:val="clear" w:color="auto" w:fill="F2F2F2"/>
            <w:vAlign w:val="center"/>
          </w:tcPr>
          <w:p w14:paraId="62769295" w14:textId="77777777" w:rsidR="00FF65E6" w:rsidRDefault="00FF65E6" w:rsidP="003E74DA">
            <w:pPr>
              <w:spacing w:after="0"/>
              <w:rPr>
                <w:b/>
              </w:rPr>
            </w:pPr>
            <w:r>
              <w:rPr>
                <w:b/>
              </w:rPr>
              <w:t>Barriers and Inequities</w:t>
            </w:r>
          </w:p>
        </w:tc>
        <w:tc>
          <w:tcPr>
            <w:tcW w:w="8555" w:type="dxa"/>
          </w:tcPr>
          <w:p w14:paraId="79E239B0" w14:textId="43BD2221" w:rsidR="00FF65E6" w:rsidRPr="00BB1670" w:rsidRDefault="00E639A4" w:rsidP="003E74DA">
            <w:pPr>
              <w:spacing w:after="0"/>
              <w:jc w:val="both"/>
            </w:pPr>
            <w:r>
              <w:t xml:space="preserve">Government </w:t>
            </w:r>
            <w:r w:rsidR="00113B1C">
              <w:t xml:space="preserve">facilities are not ready for </w:t>
            </w:r>
            <w:r>
              <w:t xml:space="preserve">providing services to KPs and HIV testing, treatment and care. The infrastructure </w:t>
            </w:r>
            <w:r w:rsidR="00113B1C">
              <w:t>is</w:t>
            </w:r>
            <w:r>
              <w:t xml:space="preserve"> not always </w:t>
            </w:r>
            <w:r w:rsidR="00113B1C">
              <w:t>enabling</w:t>
            </w:r>
            <w:r>
              <w:t xml:space="preserve"> to provide quality of care. </w:t>
            </w:r>
            <w:r w:rsidR="00113B1C">
              <w:t>Over burden of patients in district hospitals is not friendly for KPs.</w:t>
            </w:r>
          </w:p>
        </w:tc>
      </w:tr>
      <w:tr w:rsidR="00FF65E6" w:rsidRPr="007F7A64" w14:paraId="68456B6A" w14:textId="77777777" w:rsidTr="00031E15">
        <w:trPr>
          <w:trHeight w:val="288"/>
        </w:trPr>
        <w:tc>
          <w:tcPr>
            <w:tcW w:w="2245" w:type="dxa"/>
            <w:shd w:val="clear" w:color="auto" w:fill="F2F2F2"/>
            <w:vAlign w:val="center"/>
          </w:tcPr>
          <w:p w14:paraId="0E201A28" w14:textId="77777777" w:rsidR="00FF65E6" w:rsidRPr="007F7A64" w:rsidRDefault="00FF65E6" w:rsidP="003E74DA">
            <w:pPr>
              <w:spacing w:after="0"/>
              <w:rPr>
                <w:b/>
              </w:rPr>
            </w:pPr>
            <w:r>
              <w:rPr>
                <w:b/>
              </w:rPr>
              <w:t>Rationale</w:t>
            </w:r>
          </w:p>
        </w:tc>
        <w:tc>
          <w:tcPr>
            <w:tcW w:w="8555" w:type="dxa"/>
          </w:tcPr>
          <w:p w14:paraId="0098280F" w14:textId="776D33D9" w:rsidR="00FF65E6" w:rsidRPr="007F7A64" w:rsidRDefault="00E639A4" w:rsidP="003E74DA">
            <w:pPr>
              <w:spacing w:after="0"/>
              <w:jc w:val="both"/>
            </w:pPr>
            <w:r>
              <w:t>ASP has been extending its services to 28 districts which needs supports to ensure quality of care for HIV prevention, testing, treatment and care. The providers in public sector is very important to train w</w:t>
            </w:r>
            <w:r w:rsidR="00113B1C">
              <w:t xml:space="preserve">ith improvement of infrastructure of facilities.  Increase monitoring and supervision is required for quality improvement. </w:t>
            </w:r>
          </w:p>
        </w:tc>
      </w:tr>
      <w:tr w:rsidR="00FF65E6" w:rsidRPr="007F7A64" w14:paraId="6BEBBC78" w14:textId="77777777" w:rsidTr="00031E15">
        <w:trPr>
          <w:trHeight w:val="288"/>
        </w:trPr>
        <w:tc>
          <w:tcPr>
            <w:tcW w:w="2245" w:type="dxa"/>
            <w:shd w:val="clear" w:color="auto" w:fill="F2F2F2"/>
            <w:vAlign w:val="center"/>
          </w:tcPr>
          <w:p w14:paraId="4A36A28A" w14:textId="77777777" w:rsidR="00FF65E6" w:rsidRPr="007F7A64" w:rsidRDefault="00FF65E6" w:rsidP="003E74DA">
            <w:pPr>
              <w:spacing w:after="0"/>
              <w:rPr>
                <w:b/>
              </w:rPr>
            </w:pPr>
            <w:r w:rsidRPr="007F7A64">
              <w:rPr>
                <w:b/>
              </w:rPr>
              <w:t xml:space="preserve">Expected </w:t>
            </w:r>
            <w:r>
              <w:rPr>
                <w:b/>
              </w:rPr>
              <w:t>Outcome</w:t>
            </w:r>
          </w:p>
        </w:tc>
        <w:tc>
          <w:tcPr>
            <w:tcW w:w="8555" w:type="dxa"/>
          </w:tcPr>
          <w:p w14:paraId="2D06760E" w14:textId="366FF955" w:rsidR="00FF65E6" w:rsidRPr="007C1A2B" w:rsidRDefault="00E639A4" w:rsidP="003E74DA">
            <w:pPr>
              <w:spacing w:after="0"/>
              <w:jc w:val="both"/>
              <w:rPr>
                <w:highlight w:val="yellow"/>
              </w:rPr>
            </w:pPr>
            <w:r w:rsidRPr="00E639A4">
              <w:t>More number of people/KPs will access public facilities for HTS. Enabling environment will be created at public health facilities for PLHIV and quality of care will be improved.</w:t>
            </w:r>
          </w:p>
        </w:tc>
      </w:tr>
      <w:tr w:rsidR="00FF65E6" w:rsidRPr="007F7A64" w14:paraId="77F9D0BE" w14:textId="77777777" w:rsidTr="00031E15">
        <w:trPr>
          <w:trHeight w:val="288"/>
        </w:trPr>
        <w:tc>
          <w:tcPr>
            <w:tcW w:w="2245" w:type="dxa"/>
            <w:shd w:val="clear" w:color="auto" w:fill="F2F2F2"/>
            <w:vAlign w:val="center"/>
          </w:tcPr>
          <w:p w14:paraId="4DAA2913" w14:textId="77777777" w:rsidR="00FF65E6" w:rsidRPr="00DE2B0D" w:rsidRDefault="00FF65E6" w:rsidP="003E74DA">
            <w:pPr>
              <w:spacing w:after="0"/>
              <w:rPr>
                <w:b/>
                <w:highlight w:val="green"/>
              </w:rPr>
            </w:pPr>
            <w:r w:rsidRPr="00DE2B0D">
              <w:rPr>
                <w:b/>
                <w:highlight w:val="green"/>
              </w:rPr>
              <w:t>Expected Investment</w:t>
            </w:r>
          </w:p>
        </w:tc>
        <w:tc>
          <w:tcPr>
            <w:tcW w:w="8555" w:type="dxa"/>
          </w:tcPr>
          <w:p w14:paraId="13F6A3E2" w14:textId="6A5B9A68" w:rsidR="00FF65E6" w:rsidRPr="00DE2B0D" w:rsidRDefault="00A676BA" w:rsidP="003E74DA">
            <w:pPr>
              <w:spacing w:after="0"/>
              <w:jc w:val="both"/>
              <w:rPr>
                <w:highlight w:val="green"/>
              </w:rPr>
            </w:pPr>
            <w:r w:rsidRPr="00DE2B0D">
              <w:rPr>
                <w:highlight w:val="green"/>
              </w:rPr>
              <w:t>U</w:t>
            </w:r>
            <w:r w:rsidR="00DE2B0D" w:rsidRPr="00DE2B0D">
              <w:rPr>
                <w:highlight w:val="green"/>
              </w:rPr>
              <w:t>S</w:t>
            </w:r>
            <w:r w:rsidRPr="00DE2B0D">
              <w:rPr>
                <w:highlight w:val="green"/>
              </w:rPr>
              <w:t xml:space="preserve"> $ 76,408</w:t>
            </w:r>
          </w:p>
        </w:tc>
      </w:tr>
    </w:tbl>
    <w:p w14:paraId="31C0ACCA" w14:textId="77777777" w:rsidR="00FF65E6" w:rsidRDefault="00FF65E6" w:rsidP="009B6C0D">
      <w:pPr>
        <w:spacing w:after="0"/>
        <w:rPr>
          <w:i/>
          <w:sz w:val="16"/>
          <w:szCs w:val="16"/>
        </w:rPr>
      </w:pPr>
    </w:p>
    <w:tbl>
      <w:tblPr>
        <w:tblStyle w:val="TableGrid30"/>
        <w:tblW w:w="10800" w:type="dxa"/>
        <w:tblLook w:val="04A0" w:firstRow="1" w:lastRow="0" w:firstColumn="1" w:lastColumn="0" w:noHBand="0" w:noVBand="1"/>
      </w:tblPr>
      <w:tblGrid>
        <w:gridCol w:w="2245"/>
        <w:gridCol w:w="8555"/>
      </w:tblGrid>
      <w:tr w:rsidR="00677732" w:rsidRPr="007F7A64" w14:paraId="1745096D" w14:textId="77777777" w:rsidTr="00031E15">
        <w:trPr>
          <w:trHeight w:val="288"/>
        </w:trPr>
        <w:tc>
          <w:tcPr>
            <w:tcW w:w="2245" w:type="dxa"/>
            <w:shd w:val="clear" w:color="auto" w:fill="F2F2F2"/>
            <w:vAlign w:val="center"/>
          </w:tcPr>
          <w:p w14:paraId="466C9C80" w14:textId="1AF341C4" w:rsidR="00677732" w:rsidRPr="00E41EDC" w:rsidRDefault="00677732" w:rsidP="00677732">
            <w:pPr>
              <w:spacing w:after="0"/>
              <w:rPr>
                <w:b/>
              </w:rPr>
            </w:pPr>
            <w:r>
              <w:rPr>
                <w:b/>
              </w:rPr>
              <w:t xml:space="preserve">Module # </w:t>
            </w:r>
            <w:r w:rsidR="004D2817">
              <w:rPr>
                <w:b/>
              </w:rPr>
              <w:t>9</w:t>
            </w:r>
          </w:p>
        </w:tc>
        <w:tc>
          <w:tcPr>
            <w:tcW w:w="8555" w:type="dxa"/>
          </w:tcPr>
          <w:p w14:paraId="4FBCC100" w14:textId="292143BC" w:rsidR="00677732" w:rsidRPr="00863864" w:rsidRDefault="00677732" w:rsidP="00677732">
            <w:pPr>
              <w:spacing w:after="0"/>
              <w:rPr>
                <w:b/>
                <w:bCs/>
              </w:rPr>
            </w:pPr>
            <w:r w:rsidRPr="00863864">
              <w:rPr>
                <w:b/>
                <w:bCs/>
              </w:rPr>
              <w:t xml:space="preserve">RSSH: </w:t>
            </w:r>
            <w:r w:rsidRPr="00203AF3">
              <w:rPr>
                <w:b/>
                <w:bCs/>
              </w:rPr>
              <w:t xml:space="preserve">Community systems </w:t>
            </w:r>
            <w:r w:rsidR="00AE0D3B" w:rsidRPr="00203AF3">
              <w:rPr>
                <w:b/>
                <w:bCs/>
              </w:rPr>
              <w:t>strengthening</w:t>
            </w:r>
            <w:r w:rsidR="00AE0D3B">
              <w:rPr>
                <w:b/>
                <w:bCs/>
              </w:rPr>
              <w:t xml:space="preserve">: </w:t>
            </w:r>
            <w:r w:rsidR="00AE0D3B" w:rsidRPr="00AE0D3B">
              <w:rPr>
                <w:b/>
                <w:bCs/>
              </w:rPr>
              <w:t>MSM and transgender women (Hijra)</w:t>
            </w:r>
          </w:p>
        </w:tc>
      </w:tr>
      <w:tr w:rsidR="004C0C84" w:rsidRPr="007F7A64" w14:paraId="346D0780" w14:textId="77777777" w:rsidTr="00031E15">
        <w:trPr>
          <w:trHeight w:val="288"/>
        </w:trPr>
        <w:tc>
          <w:tcPr>
            <w:tcW w:w="2245" w:type="dxa"/>
            <w:shd w:val="clear" w:color="auto" w:fill="F2F2F2"/>
            <w:vAlign w:val="center"/>
          </w:tcPr>
          <w:p w14:paraId="4E8747B4" w14:textId="77777777" w:rsidR="004C0C84" w:rsidRPr="007F7A64" w:rsidRDefault="004C0C84" w:rsidP="004C0C84">
            <w:pPr>
              <w:spacing w:after="0"/>
              <w:rPr>
                <w:b/>
              </w:rPr>
            </w:pPr>
            <w:r w:rsidRPr="007F7A64">
              <w:rPr>
                <w:b/>
              </w:rPr>
              <w:t>Intervention(s)</w:t>
            </w:r>
            <w:r>
              <w:rPr>
                <w:b/>
              </w:rPr>
              <w:t xml:space="preserve"> &amp; Key Activities</w:t>
            </w:r>
          </w:p>
        </w:tc>
        <w:tc>
          <w:tcPr>
            <w:tcW w:w="8555" w:type="dxa"/>
          </w:tcPr>
          <w:p w14:paraId="50A19C64" w14:textId="77777777" w:rsidR="004C0C84" w:rsidRPr="004C0C84" w:rsidRDefault="004C0C84" w:rsidP="004C0C84">
            <w:pPr>
              <w:spacing w:after="0"/>
              <w:jc w:val="both"/>
            </w:pPr>
            <w:r w:rsidRPr="004C0C84">
              <w:rPr>
                <w:b/>
                <w:bCs/>
              </w:rPr>
              <w:t>Intervention</w:t>
            </w:r>
            <w:r w:rsidRPr="004C0C84">
              <w:t xml:space="preserve">: Community-based monitoring </w:t>
            </w:r>
          </w:p>
          <w:p w14:paraId="62F97B46" w14:textId="77777777" w:rsidR="004C0C84" w:rsidRPr="004C0C84" w:rsidRDefault="004C0C84" w:rsidP="004C0C84">
            <w:pPr>
              <w:spacing w:after="0"/>
              <w:jc w:val="both"/>
            </w:pPr>
            <w:r w:rsidRPr="004C0C84">
              <w:rPr>
                <w:b/>
                <w:bCs/>
              </w:rPr>
              <w:t>Activities</w:t>
            </w:r>
            <w:r w:rsidRPr="004C0C84">
              <w:t>: Community-based monitoring (CBM) will be performed to understand and address the barriers to accessing services by KPs. Tools will be developed for CBM and KPs will be trained on the CBM system. In addition, Participatory M&amp;E (PM&amp;E), which had been appreciated by TRP before, will be continued for improving the program implementation and process monitoring.</w:t>
            </w:r>
          </w:p>
          <w:p w14:paraId="17FB0932" w14:textId="77777777" w:rsidR="004C0C84" w:rsidRPr="004C0C84" w:rsidRDefault="004C0C84" w:rsidP="004C0C84">
            <w:pPr>
              <w:spacing w:after="0"/>
              <w:jc w:val="both"/>
            </w:pPr>
            <w:r w:rsidRPr="004C0C84">
              <w:rPr>
                <w:b/>
                <w:bCs/>
              </w:rPr>
              <w:t>Intervention</w:t>
            </w:r>
            <w:r w:rsidRPr="004C0C84">
              <w:t>: Community-led advocacy and research</w:t>
            </w:r>
          </w:p>
          <w:p w14:paraId="149C71B3" w14:textId="77777777" w:rsidR="004C0C84" w:rsidRPr="004C0C84" w:rsidRDefault="004C0C84" w:rsidP="004C0C84">
            <w:pPr>
              <w:spacing w:after="0"/>
              <w:jc w:val="both"/>
            </w:pPr>
            <w:r w:rsidRPr="004C0C84">
              <w:rPr>
                <w:b/>
                <w:bCs/>
              </w:rPr>
              <w:t>Activities</w:t>
            </w:r>
            <w:r w:rsidRPr="004C0C84">
              <w:t>: icddr,b and SRs/SSRs have been facilitating the community-led mapping of legal, policy and other barriers that hinder/limit community responses. In this process, the reporting system of gender-based violence (GBV) and human rights issues had been developed, and data collection and analysis will be done to inform relevant stakeholders.</w:t>
            </w:r>
          </w:p>
          <w:p w14:paraId="50C28BC9" w14:textId="77777777" w:rsidR="004C0C84" w:rsidRPr="004C0C84" w:rsidRDefault="004C0C84" w:rsidP="004C0C84">
            <w:pPr>
              <w:spacing w:after="0"/>
              <w:jc w:val="both"/>
            </w:pPr>
            <w:r w:rsidRPr="004C0C84">
              <w:rPr>
                <w:b/>
                <w:bCs/>
              </w:rPr>
              <w:t>Intervention</w:t>
            </w:r>
            <w:r w:rsidRPr="004C0C84">
              <w:t xml:space="preserve">: Institutional capacity building, planning and leadership development </w:t>
            </w:r>
          </w:p>
          <w:p w14:paraId="1C744AFA" w14:textId="414012CE" w:rsidR="004C0C84" w:rsidRPr="004C0C84" w:rsidRDefault="004C0C84" w:rsidP="004C0C84">
            <w:pPr>
              <w:spacing w:after="0"/>
              <w:jc w:val="both"/>
            </w:pPr>
            <w:r w:rsidRPr="004C0C84">
              <w:rPr>
                <w:b/>
                <w:bCs/>
              </w:rPr>
              <w:t>Activities</w:t>
            </w:r>
            <w:r w:rsidRPr="004C0C84">
              <w:t>: icddr,b has worked with community systems strengthening under the Global Fund grant in 2010-2015 and formed/strengthened 20 CBOs operated by MSM and hijra community. icddr,b will assess the status of these CBOs and work with them so that the potential CBOs can contribute to the intervention. A workshop will be organized and a plan of action will be developed.  Few training sessions with the CBOs and KPs will be arranged so that they can be linked with the SRs/SSRs to be involved in rendering services to its own community</w:t>
            </w:r>
            <w:r w:rsidRPr="004C0C84">
              <w:rPr>
                <w:b/>
                <w:bCs/>
              </w:rPr>
              <w:t xml:space="preserve">. </w:t>
            </w:r>
          </w:p>
        </w:tc>
      </w:tr>
      <w:tr w:rsidR="004C0C84" w:rsidRPr="007F7A64" w14:paraId="6D79CC1B" w14:textId="77777777" w:rsidTr="00031E15">
        <w:trPr>
          <w:trHeight w:val="288"/>
        </w:trPr>
        <w:tc>
          <w:tcPr>
            <w:tcW w:w="2245" w:type="dxa"/>
            <w:shd w:val="clear" w:color="auto" w:fill="F2F2F2"/>
            <w:vAlign w:val="center"/>
          </w:tcPr>
          <w:p w14:paraId="55C5998F" w14:textId="77777777" w:rsidR="004C0C84" w:rsidRPr="007F7A64" w:rsidRDefault="004C0C84" w:rsidP="004C0C84">
            <w:pPr>
              <w:spacing w:after="0"/>
              <w:rPr>
                <w:b/>
              </w:rPr>
            </w:pPr>
            <w:r>
              <w:rPr>
                <w:b/>
              </w:rPr>
              <w:t>Priority Population(s)</w:t>
            </w:r>
          </w:p>
        </w:tc>
        <w:tc>
          <w:tcPr>
            <w:tcW w:w="8555" w:type="dxa"/>
          </w:tcPr>
          <w:p w14:paraId="18A0D78C" w14:textId="2A609063" w:rsidR="004C0C84" w:rsidRPr="00203AF3" w:rsidRDefault="004C0C84" w:rsidP="004C0C84">
            <w:pPr>
              <w:spacing w:after="0"/>
              <w:jc w:val="both"/>
            </w:pPr>
            <w:r w:rsidRPr="00203AF3">
              <w:t>Men who have sex with men and transgender women (hijra</w:t>
            </w:r>
          </w:p>
        </w:tc>
      </w:tr>
      <w:tr w:rsidR="004C0C84" w:rsidRPr="007F7A64" w14:paraId="12C5D1BB" w14:textId="77777777" w:rsidTr="00031E15">
        <w:trPr>
          <w:trHeight w:val="288"/>
        </w:trPr>
        <w:tc>
          <w:tcPr>
            <w:tcW w:w="2245" w:type="dxa"/>
            <w:shd w:val="clear" w:color="auto" w:fill="F2F2F2"/>
            <w:vAlign w:val="center"/>
          </w:tcPr>
          <w:p w14:paraId="74981520" w14:textId="77777777" w:rsidR="004C0C84" w:rsidRDefault="004C0C84" w:rsidP="004C0C84">
            <w:pPr>
              <w:spacing w:after="0"/>
              <w:rPr>
                <w:b/>
              </w:rPr>
            </w:pPr>
            <w:r>
              <w:rPr>
                <w:b/>
              </w:rPr>
              <w:t>Barriers and Inequities</w:t>
            </w:r>
          </w:p>
        </w:tc>
        <w:tc>
          <w:tcPr>
            <w:tcW w:w="8555" w:type="dxa"/>
          </w:tcPr>
          <w:p w14:paraId="096F6D6E" w14:textId="77777777" w:rsidR="004C0C84" w:rsidRPr="00BB1670" w:rsidRDefault="004C0C84" w:rsidP="004C0C84">
            <w:pPr>
              <w:spacing w:after="0"/>
              <w:jc w:val="both"/>
            </w:pPr>
            <w:r w:rsidRPr="00203AF3">
              <w:t>MSM and hijra are disproportionately affected by heteronormative gender norms leading to gender inequalities, violence, and discrimination.</w:t>
            </w:r>
            <w:r>
              <w:t xml:space="preserve"> Similarly, FSW and PWID are affected by punitive laws in this country.</w:t>
            </w:r>
          </w:p>
        </w:tc>
      </w:tr>
      <w:tr w:rsidR="004C0C84" w:rsidRPr="007F7A64" w14:paraId="45E87EEE" w14:textId="77777777" w:rsidTr="00031E15">
        <w:trPr>
          <w:trHeight w:val="288"/>
        </w:trPr>
        <w:tc>
          <w:tcPr>
            <w:tcW w:w="2245" w:type="dxa"/>
            <w:shd w:val="clear" w:color="auto" w:fill="F2F2F2"/>
            <w:vAlign w:val="center"/>
          </w:tcPr>
          <w:p w14:paraId="4A0BB253" w14:textId="77777777" w:rsidR="004C0C84" w:rsidRPr="007F7A64" w:rsidRDefault="004C0C84" w:rsidP="004C0C84">
            <w:pPr>
              <w:spacing w:after="0"/>
              <w:rPr>
                <w:b/>
              </w:rPr>
            </w:pPr>
            <w:r>
              <w:rPr>
                <w:b/>
              </w:rPr>
              <w:t>Rationale</w:t>
            </w:r>
          </w:p>
        </w:tc>
        <w:tc>
          <w:tcPr>
            <w:tcW w:w="8555" w:type="dxa"/>
          </w:tcPr>
          <w:p w14:paraId="3DC4E741" w14:textId="77777777" w:rsidR="004C0C84" w:rsidRPr="007F7A64" w:rsidRDefault="004C0C84" w:rsidP="004C0C84">
            <w:pPr>
              <w:spacing w:after="0"/>
              <w:jc w:val="both"/>
            </w:pPr>
            <w:r w:rsidRPr="00203AF3">
              <w:t>Programmatic experiences suggest that community participation helps the beneficiaries raising their voices against any form of abuse and violence, demand their rights be protected</w:t>
            </w:r>
            <w:r>
              <w:t xml:space="preserve">. </w:t>
            </w:r>
            <w:r w:rsidRPr="00203AF3">
              <w:t xml:space="preserve">The reporting mechanism on GBV is first of its kind in Bangladesh, which will help in addressing challenges faced by the community-based on </w:t>
            </w:r>
            <w:r>
              <w:t>sc</w:t>
            </w:r>
            <w:r w:rsidRPr="00203AF3">
              <w:t>ientific evidence.</w:t>
            </w:r>
          </w:p>
        </w:tc>
      </w:tr>
      <w:tr w:rsidR="004C0C84" w:rsidRPr="007F7A64" w14:paraId="343BAE56" w14:textId="77777777" w:rsidTr="00031E15">
        <w:trPr>
          <w:trHeight w:val="288"/>
        </w:trPr>
        <w:tc>
          <w:tcPr>
            <w:tcW w:w="2245" w:type="dxa"/>
            <w:shd w:val="clear" w:color="auto" w:fill="F2F2F2"/>
            <w:vAlign w:val="center"/>
          </w:tcPr>
          <w:p w14:paraId="035A53E5" w14:textId="77777777" w:rsidR="004C0C84" w:rsidRPr="007F7A64" w:rsidRDefault="004C0C84" w:rsidP="004C0C84">
            <w:pPr>
              <w:spacing w:after="0"/>
              <w:rPr>
                <w:b/>
              </w:rPr>
            </w:pPr>
            <w:r w:rsidRPr="007F7A64">
              <w:rPr>
                <w:b/>
              </w:rPr>
              <w:t xml:space="preserve">Expected </w:t>
            </w:r>
            <w:r>
              <w:rPr>
                <w:b/>
              </w:rPr>
              <w:t>Outcome</w:t>
            </w:r>
          </w:p>
        </w:tc>
        <w:tc>
          <w:tcPr>
            <w:tcW w:w="8555" w:type="dxa"/>
          </w:tcPr>
          <w:p w14:paraId="3B512D17" w14:textId="77777777" w:rsidR="004C0C84" w:rsidRPr="007C1A2B" w:rsidRDefault="004C0C84" w:rsidP="004C0C84">
            <w:pPr>
              <w:spacing w:after="0"/>
              <w:jc w:val="both"/>
              <w:rPr>
                <w:highlight w:val="yellow"/>
              </w:rPr>
            </w:pPr>
            <w:r w:rsidRPr="00203AF3">
              <w:t>Enhanced HIV related service uptake among KPs and reflect voices and expertise of the community in research, advocacy and program implementation</w:t>
            </w:r>
          </w:p>
        </w:tc>
      </w:tr>
      <w:tr w:rsidR="004C0C84" w:rsidRPr="007F7A64" w14:paraId="06FABE65" w14:textId="77777777" w:rsidTr="00031E15">
        <w:trPr>
          <w:trHeight w:val="288"/>
        </w:trPr>
        <w:tc>
          <w:tcPr>
            <w:tcW w:w="2245" w:type="dxa"/>
            <w:shd w:val="clear" w:color="auto" w:fill="F2F2F2"/>
            <w:vAlign w:val="center"/>
          </w:tcPr>
          <w:p w14:paraId="709BF10E" w14:textId="77777777" w:rsidR="004C0C84" w:rsidRPr="00C44844" w:rsidRDefault="004C0C84" w:rsidP="004C0C84">
            <w:pPr>
              <w:spacing w:after="0"/>
              <w:rPr>
                <w:b/>
              </w:rPr>
            </w:pPr>
            <w:r w:rsidRPr="007F7A64">
              <w:rPr>
                <w:b/>
              </w:rPr>
              <w:t>Expected Investment</w:t>
            </w:r>
          </w:p>
        </w:tc>
        <w:tc>
          <w:tcPr>
            <w:tcW w:w="8555" w:type="dxa"/>
          </w:tcPr>
          <w:p w14:paraId="297BA1CB" w14:textId="77777777" w:rsidR="004C0C84" w:rsidRPr="007C1A2B" w:rsidRDefault="004C0C84" w:rsidP="004C0C84">
            <w:pPr>
              <w:spacing w:after="0"/>
              <w:rPr>
                <w:highlight w:val="yellow"/>
              </w:rPr>
            </w:pPr>
            <w:r w:rsidRPr="00DE2B0D">
              <w:rPr>
                <w:highlight w:val="green"/>
              </w:rPr>
              <w:t>US $ 291,097</w:t>
            </w:r>
          </w:p>
        </w:tc>
      </w:tr>
    </w:tbl>
    <w:p w14:paraId="486A8BE7" w14:textId="43452838" w:rsidR="00677732" w:rsidRDefault="00677732" w:rsidP="009B6C0D">
      <w:pPr>
        <w:spacing w:after="0"/>
        <w:rPr>
          <w:iCs/>
          <w:sz w:val="16"/>
          <w:szCs w:val="16"/>
        </w:rPr>
      </w:pPr>
    </w:p>
    <w:tbl>
      <w:tblPr>
        <w:tblStyle w:val="TableGrid31"/>
        <w:tblW w:w="5000" w:type="pct"/>
        <w:tblLook w:val="04A0" w:firstRow="1" w:lastRow="0" w:firstColumn="1" w:lastColumn="0" w:noHBand="0" w:noVBand="1"/>
      </w:tblPr>
      <w:tblGrid>
        <w:gridCol w:w="2246"/>
        <w:gridCol w:w="8210"/>
      </w:tblGrid>
      <w:tr w:rsidR="002D700A" w:rsidRPr="003108F0" w14:paraId="2FDB2586" w14:textId="77777777" w:rsidTr="00031E15">
        <w:trPr>
          <w:trHeight w:val="288"/>
        </w:trPr>
        <w:tc>
          <w:tcPr>
            <w:tcW w:w="1074" w:type="pct"/>
            <w:shd w:val="clear" w:color="auto" w:fill="F2F2F2"/>
            <w:vAlign w:val="center"/>
          </w:tcPr>
          <w:p w14:paraId="515DD000" w14:textId="77777777" w:rsidR="002D700A" w:rsidRPr="003108F0" w:rsidRDefault="002D700A" w:rsidP="009B0847">
            <w:pPr>
              <w:rPr>
                <w:rFonts w:ascii="Arial" w:hAnsi="Arial" w:cs="Arial"/>
                <w:b/>
              </w:rPr>
            </w:pPr>
            <w:r w:rsidRPr="003108F0">
              <w:rPr>
                <w:rFonts w:ascii="Arial" w:hAnsi="Arial" w:cs="Arial"/>
                <w:b/>
              </w:rPr>
              <w:t>Module # 10</w:t>
            </w:r>
          </w:p>
        </w:tc>
        <w:tc>
          <w:tcPr>
            <w:tcW w:w="3926" w:type="pct"/>
          </w:tcPr>
          <w:p w14:paraId="170181BE" w14:textId="7A0DCFB1" w:rsidR="002D700A" w:rsidRPr="003108F0" w:rsidRDefault="002D700A" w:rsidP="009B0847">
            <w:pPr>
              <w:rPr>
                <w:rFonts w:ascii="Arial" w:hAnsi="Arial" w:cs="Arial"/>
                <w:b/>
                <w:bCs/>
              </w:rPr>
            </w:pPr>
            <w:r w:rsidRPr="003108F0">
              <w:rPr>
                <w:rFonts w:ascii="Arial" w:hAnsi="Arial" w:cs="Arial"/>
                <w:b/>
                <w:bCs/>
              </w:rPr>
              <w:t>RSSH: Community systems strengthening</w:t>
            </w:r>
            <w:r w:rsidR="00AE0D3B">
              <w:rPr>
                <w:rFonts w:ascii="Arial" w:hAnsi="Arial" w:cs="Arial"/>
                <w:b/>
                <w:bCs/>
              </w:rPr>
              <w:t>: FSW, its clients, PWID and PLHIV</w:t>
            </w:r>
          </w:p>
        </w:tc>
      </w:tr>
      <w:tr w:rsidR="002D700A" w:rsidRPr="003108F0" w14:paraId="758220E5" w14:textId="77777777" w:rsidTr="00031E15">
        <w:trPr>
          <w:trHeight w:val="288"/>
        </w:trPr>
        <w:tc>
          <w:tcPr>
            <w:tcW w:w="1074" w:type="pct"/>
            <w:shd w:val="clear" w:color="auto" w:fill="F2F2F2"/>
            <w:vAlign w:val="center"/>
          </w:tcPr>
          <w:p w14:paraId="053B54CF" w14:textId="77777777" w:rsidR="002D700A" w:rsidRPr="003108F0" w:rsidRDefault="002D700A" w:rsidP="009B0847">
            <w:pPr>
              <w:rPr>
                <w:rFonts w:ascii="Arial" w:hAnsi="Arial" w:cs="Arial"/>
                <w:b/>
              </w:rPr>
            </w:pPr>
            <w:r w:rsidRPr="003108F0">
              <w:rPr>
                <w:rFonts w:ascii="Arial" w:hAnsi="Arial" w:cs="Arial"/>
                <w:b/>
              </w:rPr>
              <w:t>Intervention(s) &amp; Key Activities</w:t>
            </w:r>
          </w:p>
        </w:tc>
        <w:tc>
          <w:tcPr>
            <w:tcW w:w="3926" w:type="pct"/>
          </w:tcPr>
          <w:p w14:paraId="5031357B" w14:textId="77777777" w:rsidR="002D700A" w:rsidRPr="003108F0" w:rsidRDefault="002D700A" w:rsidP="009B0847">
            <w:pPr>
              <w:jc w:val="both"/>
              <w:rPr>
                <w:rFonts w:ascii="Arial" w:hAnsi="Arial" w:cs="Arial"/>
              </w:rPr>
            </w:pPr>
            <w:r w:rsidRPr="003108F0">
              <w:rPr>
                <w:rFonts w:ascii="Arial" w:hAnsi="Arial" w:cs="Arial"/>
                <w:b/>
                <w:bCs/>
              </w:rPr>
              <w:t>Intervention</w:t>
            </w:r>
            <w:r w:rsidRPr="003108F0">
              <w:rPr>
                <w:rFonts w:ascii="Arial" w:hAnsi="Arial" w:cs="Arial"/>
              </w:rPr>
              <w:t xml:space="preserve">: Community-based monitoring </w:t>
            </w:r>
          </w:p>
          <w:p w14:paraId="71F43433" w14:textId="65F771AB" w:rsidR="002D700A" w:rsidRDefault="002D700A" w:rsidP="009B0847">
            <w:pPr>
              <w:jc w:val="both"/>
              <w:rPr>
                <w:rFonts w:ascii="Arial" w:hAnsi="Arial" w:cs="Arial"/>
                <w:b/>
                <w:bCs/>
              </w:rPr>
            </w:pPr>
            <w:r w:rsidRPr="003108F0">
              <w:rPr>
                <w:rFonts w:ascii="Arial" w:hAnsi="Arial" w:cs="Arial"/>
                <w:b/>
                <w:bCs/>
              </w:rPr>
              <w:t>Activities</w:t>
            </w:r>
            <w:r w:rsidRPr="003108F0">
              <w:rPr>
                <w:rFonts w:ascii="Arial" w:hAnsi="Arial" w:cs="Arial"/>
              </w:rPr>
              <w:t xml:space="preserve">: </w:t>
            </w:r>
            <w:r w:rsidRPr="00DE0608">
              <w:rPr>
                <w:rFonts w:ascii="Arial" w:hAnsi="Arial" w:cs="Arial"/>
              </w:rPr>
              <w:t xml:space="preserve">Community Networks (PWID, FSW, PLHIV) will lead and implement the Community-based monitoring. </w:t>
            </w:r>
            <w:r w:rsidRPr="00650F4E">
              <w:rPr>
                <w:rFonts w:ascii="Arial" w:hAnsi="Arial" w:cs="Arial"/>
                <w:i/>
                <w:iCs/>
                <w:u w:val="single"/>
              </w:rPr>
              <w:t>PR-SC</w:t>
            </w:r>
            <w:r w:rsidRPr="00DE0608">
              <w:rPr>
                <w:rFonts w:ascii="Arial" w:hAnsi="Arial" w:cs="Arial"/>
              </w:rPr>
              <w:t xml:space="preserve"> will take appropriate capacity building initiatives, i.e. development of guideline, tools and reporting mechanism; orientation and trainin</w:t>
            </w:r>
            <w:r>
              <w:rPr>
                <w:rFonts w:ascii="Arial" w:hAnsi="Arial" w:cs="Arial"/>
              </w:rPr>
              <w:t>g of networks and their members</w:t>
            </w:r>
            <w:r w:rsidRPr="00DE0608">
              <w:rPr>
                <w:rFonts w:ascii="Arial" w:hAnsi="Arial" w:cs="Arial"/>
              </w:rPr>
              <w:t xml:space="preserve">. </w:t>
            </w:r>
            <w:r>
              <w:rPr>
                <w:rFonts w:ascii="Arial" w:hAnsi="Arial" w:cs="Arial"/>
              </w:rPr>
              <w:t>There will be</w:t>
            </w:r>
            <w:r w:rsidRPr="00DE0608">
              <w:rPr>
                <w:rFonts w:ascii="Arial" w:hAnsi="Arial" w:cs="Arial"/>
              </w:rPr>
              <w:t xml:space="preserve"> joint monitoring visits by </w:t>
            </w:r>
            <w:r>
              <w:rPr>
                <w:rFonts w:ascii="Arial" w:hAnsi="Arial" w:cs="Arial"/>
              </w:rPr>
              <w:t>the C</w:t>
            </w:r>
            <w:r w:rsidRPr="00DE0608">
              <w:rPr>
                <w:rFonts w:ascii="Arial" w:hAnsi="Arial" w:cs="Arial"/>
              </w:rPr>
              <w:t>ommuni</w:t>
            </w:r>
            <w:r>
              <w:rPr>
                <w:rFonts w:ascii="Arial" w:hAnsi="Arial" w:cs="Arial"/>
              </w:rPr>
              <w:t>ty Networks</w:t>
            </w:r>
          </w:p>
          <w:p w14:paraId="40837F84" w14:textId="77777777" w:rsidR="002D700A" w:rsidRPr="003108F0" w:rsidRDefault="002D700A" w:rsidP="009B0847">
            <w:pPr>
              <w:jc w:val="both"/>
              <w:rPr>
                <w:rFonts w:ascii="Arial" w:hAnsi="Arial" w:cs="Arial"/>
              </w:rPr>
            </w:pPr>
            <w:r w:rsidRPr="003108F0">
              <w:rPr>
                <w:rFonts w:ascii="Arial" w:hAnsi="Arial" w:cs="Arial"/>
                <w:b/>
                <w:bCs/>
              </w:rPr>
              <w:t>Intervention</w:t>
            </w:r>
            <w:r w:rsidRPr="003108F0">
              <w:rPr>
                <w:rFonts w:ascii="Arial" w:hAnsi="Arial" w:cs="Arial"/>
              </w:rPr>
              <w:t>: Community-led advocacy and research</w:t>
            </w:r>
          </w:p>
          <w:p w14:paraId="0FBFAF84" w14:textId="77777777" w:rsidR="002D700A" w:rsidRDefault="002D700A" w:rsidP="009B0847">
            <w:pPr>
              <w:contextualSpacing/>
              <w:jc w:val="both"/>
              <w:rPr>
                <w:rFonts w:ascii="Arial" w:hAnsi="Arial" w:cs="Arial"/>
              </w:rPr>
            </w:pPr>
            <w:r w:rsidRPr="003108F0">
              <w:rPr>
                <w:rFonts w:ascii="Arial" w:hAnsi="Arial" w:cs="Arial"/>
                <w:b/>
                <w:bCs/>
              </w:rPr>
              <w:t>Activities</w:t>
            </w:r>
            <w:r w:rsidRPr="003108F0">
              <w:rPr>
                <w:rFonts w:ascii="Arial" w:hAnsi="Arial" w:cs="Arial"/>
              </w:rPr>
              <w:t xml:space="preserve">: Community-led mapping of legal, policy and other barriers that hinder/limit community responses </w:t>
            </w:r>
            <w:r>
              <w:rPr>
                <w:rFonts w:ascii="Arial" w:hAnsi="Arial" w:cs="Arial"/>
              </w:rPr>
              <w:t>will be done to d</w:t>
            </w:r>
            <w:r w:rsidRPr="003108F0">
              <w:rPr>
                <w:rFonts w:ascii="Arial" w:hAnsi="Arial" w:cs="Arial"/>
              </w:rPr>
              <w:t>evelop</w:t>
            </w:r>
            <w:r>
              <w:rPr>
                <w:rFonts w:ascii="Arial" w:hAnsi="Arial" w:cs="Arial"/>
              </w:rPr>
              <w:t xml:space="preserve"> </w:t>
            </w:r>
            <w:r w:rsidRPr="003108F0">
              <w:rPr>
                <w:rFonts w:ascii="Arial" w:hAnsi="Arial" w:cs="Arial"/>
              </w:rPr>
              <w:t>advocacy strategy</w:t>
            </w:r>
            <w:r>
              <w:rPr>
                <w:rFonts w:ascii="Arial" w:hAnsi="Arial" w:cs="Arial"/>
              </w:rPr>
              <w:t xml:space="preserve">, </w:t>
            </w:r>
            <w:r w:rsidRPr="003108F0">
              <w:rPr>
                <w:rFonts w:ascii="Arial" w:hAnsi="Arial" w:cs="Arial"/>
              </w:rPr>
              <w:t>population specific policy brief</w:t>
            </w:r>
            <w:r>
              <w:rPr>
                <w:rFonts w:ascii="Arial" w:hAnsi="Arial" w:cs="Arial"/>
              </w:rPr>
              <w:t>, etc.</w:t>
            </w:r>
          </w:p>
          <w:p w14:paraId="47BD1625" w14:textId="77777777" w:rsidR="002D700A" w:rsidRDefault="002D700A" w:rsidP="009B0847">
            <w:pPr>
              <w:contextualSpacing/>
              <w:jc w:val="both"/>
              <w:rPr>
                <w:rFonts w:ascii="Arial" w:hAnsi="Arial" w:cs="Arial"/>
                <w:b/>
                <w:bCs/>
              </w:rPr>
            </w:pPr>
          </w:p>
          <w:p w14:paraId="3C077650" w14:textId="77777777" w:rsidR="002D700A" w:rsidRPr="003108F0" w:rsidRDefault="002D700A" w:rsidP="009B0847">
            <w:pPr>
              <w:contextualSpacing/>
              <w:jc w:val="both"/>
              <w:rPr>
                <w:rFonts w:ascii="Arial" w:hAnsi="Arial" w:cs="Arial"/>
                <w:b/>
                <w:bCs/>
              </w:rPr>
            </w:pPr>
            <w:r w:rsidRPr="003108F0">
              <w:rPr>
                <w:rFonts w:ascii="Arial" w:hAnsi="Arial" w:cs="Arial"/>
                <w:b/>
                <w:bCs/>
              </w:rPr>
              <w:t>Intervention</w:t>
            </w:r>
            <w:r w:rsidRPr="003108F0">
              <w:rPr>
                <w:rFonts w:ascii="Arial" w:hAnsi="Arial" w:cs="Arial"/>
              </w:rPr>
              <w:t>: Social mobilization, building community linkages and coordination</w:t>
            </w:r>
          </w:p>
          <w:p w14:paraId="5082B8A2" w14:textId="60D08AC8" w:rsidR="002D700A" w:rsidRPr="003108F0" w:rsidRDefault="002D700A" w:rsidP="009B0847">
            <w:pPr>
              <w:jc w:val="both"/>
              <w:rPr>
                <w:rFonts w:ascii="Arial" w:hAnsi="Arial" w:cs="Arial"/>
              </w:rPr>
            </w:pPr>
            <w:r w:rsidRPr="003108F0">
              <w:rPr>
                <w:rFonts w:ascii="Arial" w:hAnsi="Arial" w:cs="Arial"/>
                <w:b/>
                <w:bCs/>
              </w:rPr>
              <w:t>Activities</w:t>
            </w:r>
            <w:r w:rsidRPr="003108F0">
              <w:rPr>
                <w:rFonts w:ascii="Arial" w:hAnsi="Arial" w:cs="Arial"/>
              </w:rPr>
              <w:t>: Microplanning initiatives will be strengthened through social mapping, spot analysis and contact mapping by engaging community. The individual need will be identified and differentiate</w:t>
            </w:r>
            <w:r>
              <w:rPr>
                <w:rFonts w:ascii="Arial" w:hAnsi="Arial" w:cs="Arial"/>
              </w:rPr>
              <w:t>d</w:t>
            </w:r>
            <w:r w:rsidRPr="003108F0">
              <w:rPr>
                <w:rFonts w:ascii="Arial" w:hAnsi="Arial" w:cs="Arial"/>
              </w:rPr>
              <w:t xml:space="preserve"> service delivery modalities will be developed. The community groups will engage in extended outreach where ongoing approach is not appropriate. </w:t>
            </w:r>
          </w:p>
          <w:p w14:paraId="41F1FF82" w14:textId="77777777" w:rsidR="002D700A" w:rsidRPr="003108F0" w:rsidRDefault="002D700A" w:rsidP="009B0847">
            <w:pPr>
              <w:jc w:val="both"/>
              <w:rPr>
                <w:rFonts w:ascii="Arial" w:hAnsi="Arial" w:cs="Arial"/>
              </w:rPr>
            </w:pPr>
            <w:r w:rsidRPr="003108F0">
              <w:rPr>
                <w:rFonts w:ascii="Arial" w:hAnsi="Arial" w:cs="Arial"/>
                <w:b/>
                <w:bCs/>
              </w:rPr>
              <w:t>Intervention</w:t>
            </w:r>
            <w:r w:rsidRPr="003108F0">
              <w:rPr>
                <w:rFonts w:ascii="Arial" w:hAnsi="Arial" w:cs="Arial"/>
              </w:rPr>
              <w:t xml:space="preserve">: Institutional capacity building and leadership development </w:t>
            </w:r>
          </w:p>
          <w:p w14:paraId="7BE40433" w14:textId="77777777" w:rsidR="002D700A" w:rsidRPr="003108F0" w:rsidRDefault="002D700A" w:rsidP="009B0847">
            <w:pPr>
              <w:jc w:val="both"/>
              <w:rPr>
                <w:rFonts w:ascii="Arial" w:hAnsi="Arial" w:cs="Arial"/>
              </w:rPr>
            </w:pPr>
            <w:r w:rsidRPr="003108F0">
              <w:rPr>
                <w:rFonts w:ascii="Arial" w:hAnsi="Arial" w:cs="Arial"/>
                <w:b/>
                <w:bCs/>
              </w:rPr>
              <w:t>Activities</w:t>
            </w:r>
            <w:r w:rsidRPr="003108F0">
              <w:rPr>
                <w:rFonts w:ascii="Arial" w:hAnsi="Arial" w:cs="Arial"/>
              </w:rPr>
              <w:t xml:space="preserve">: </w:t>
            </w:r>
            <w:r w:rsidRPr="00112AFD">
              <w:rPr>
                <w:rFonts w:ascii="Arial" w:hAnsi="Arial" w:cs="Arial"/>
                <w:i/>
                <w:iCs/>
                <w:u w:val="single"/>
              </w:rPr>
              <w:t>PR-SC</w:t>
            </w:r>
            <w:r w:rsidRPr="003108F0">
              <w:rPr>
                <w:rFonts w:ascii="Arial" w:hAnsi="Arial" w:cs="Arial"/>
              </w:rPr>
              <w:t xml:space="preserve"> will take capacity building initiatives for community networks and their members. Proposed key activities</w:t>
            </w:r>
            <w:r>
              <w:rPr>
                <w:rFonts w:ascii="Arial" w:hAnsi="Arial" w:cs="Arial"/>
              </w:rPr>
              <w:t xml:space="preserve"> include </w:t>
            </w:r>
            <w:r w:rsidRPr="003108F0">
              <w:rPr>
                <w:rFonts w:ascii="Arial" w:hAnsi="Arial" w:cs="Arial"/>
              </w:rPr>
              <w:t>developing relevant policies</w:t>
            </w:r>
            <w:r>
              <w:rPr>
                <w:rFonts w:ascii="Arial" w:hAnsi="Arial" w:cs="Arial"/>
              </w:rPr>
              <w:t xml:space="preserve">; </w:t>
            </w:r>
            <w:r w:rsidRPr="003108F0">
              <w:rPr>
                <w:rFonts w:ascii="Arial" w:hAnsi="Arial" w:cs="Arial"/>
              </w:rPr>
              <w:t>orientation to network office bearers on relevant polic</w:t>
            </w:r>
            <w:r>
              <w:rPr>
                <w:rFonts w:ascii="Arial" w:hAnsi="Arial" w:cs="Arial"/>
              </w:rPr>
              <w:t>ies</w:t>
            </w:r>
            <w:r w:rsidRPr="003108F0">
              <w:rPr>
                <w:rFonts w:ascii="Arial" w:hAnsi="Arial" w:cs="Arial"/>
              </w:rPr>
              <w:t xml:space="preserve"> and procedures</w:t>
            </w:r>
            <w:r>
              <w:rPr>
                <w:rFonts w:ascii="Arial" w:hAnsi="Arial" w:cs="Arial"/>
              </w:rPr>
              <w:t xml:space="preserve">; supporting </w:t>
            </w:r>
            <w:r w:rsidRPr="003108F0">
              <w:rPr>
                <w:rFonts w:ascii="Arial" w:hAnsi="Arial" w:cs="Arial"/>
              </w:rPr>
              <w:t>H</w:t>
            </w:r>
            <w:r>
              <w:rPr>
                <w:rFonts w:ascii="Arial" w:hAnsi="Arial" w:cs="Arial"/>
              </w:rPr>
              <w:t xml:space="preserve">uman </w:t>
            </w:r>
            <w:r w:rsidRPr="003108F0">
              <w:rPr>
                <w:rFonts w:ascii="Arial" w:hAnsi="Arial" w:cs="Arial"/>
              </w:rPr>
              <w:t>R</w:t>
            </w:r>
            <w:r>
              <w:rPr>
                <w:rFonts w:ascii="Arial" w:hAnsi="Arial" w:cs="Arial"/>
              </w:rPr>
              <w:t>esources; c</w:t>
            </w:r>
            <w:r w:rsidRPr="003108F0">
              <w:rPr>
                <w:rFonts w:ascii="Arial" w:hAnsi="Arial" w:cs="Arial"/>
              </w:rPr>
              <w:t>onduct</w:t>
            </w:r>
            <w:r>
              <w:rPr>
                <w:rFonts w:ascii="Arial" w:hAnsi="Arial" w:cs="Arial"/>
              </w:rPr>
              <w:t>ing</w:t>
            </w:r>
            <w:r w:rsidRPr="003108F0">
              <w:rPr>
                <w:rFonts w:ascii="Arial" w:hAnsi="Arial" w:cs="Arial"/>
              </w:rPr>
              <w:t xml:space="preserve"> meeting</w:t>
            </w:r>
            <w:r>
              <w:rPr>
                <w:rFonts w:ascii="Arial" w:hAnsi="Arial" w:cs="Arial"/>
              </w:rPr>
              <w:t>s</w:t>
            </w:r>
            <w:r w:rsidRPr="003108F0">
              <w:rPr>
                <w:rFonts w:ascii="Arial" w:hAnsi="Arial" w:cs="Arial"/>
              </w:rPr>
              <w:t xml:space="preserve"> </w:t>
            </w:r>
            <w:r>
              <w:rPr>
                <w:rFonts w:ascii="Arial" w:hAnsi="Arial" w:cs="Arial"/>
              </w:rPr>
              <w:t xml:space="preserve">including </w:t>
            </w:r>
            <w:r w:rsidRPr="003108F0">
              <w:rPr>
                <w:rFonts w:ascii="Arial" w:hAnsi="Arial" w:cs="Arial"/>
              </w:rPr>
              <w:t>annual general meeting</w:t>
            </w:r>
            <w:r>
              <w:rPr>
                <w:rFonts w:ascii="Arial" w:hAnsi="Arial" w:cs="Arial"/>
              </w:rPr>
              <w:t xml:space="preserve"> and cross learning visits.</w:t>
            </w:r>
          </w:p>
        </w:tc>
      </w:tr>
      <w:tr w:rsidR="002D700A" w:rsidRPr="003108F0" w14:paraId="52ABD539" w14:textId="77777777" w:rsidTr="00031E15">
        <w:trPr>
          <w:trHeight w:val="288"/>
        </w:trPr>
        <w:tc>
          <w:tcPr>
            <w:tcW w:w="1074" w:type="pct"/>
            <w:shd w:val="clear" w:color="auto" w:fill="F2F2F2"/>
            <w:vAlign w:val="center"/>
          </w:tcPr>
          <w:p w14:paraId="1C34E183" w14:textId="77777777" w:rsidR="002D700A" w:rsidRPr="003108F0" w:rsidRDefault="002D700A" w:rsidP="009B0847">
            <w:pPr>
              <w:jc w:val="both"/>
              <w:rPr>
                <w:rFonts w:ascii="Arial" w:hAnsi="Arial" w:cs="Arial"/>
                <w:b/>
              </w:rPr>
            </w:pPr>
            <w:r w:rsidRPr="003108F0">
              <w:rPr>
                <w:rFonts w:ascii="Arial" w:hAnsi="Arial" w:cs="Arial"/>
                <w:b/>
              </w:rPr>
              <w:t>Priority Population(s)</w:t>
            </w:r>
          </w:p>
        </w:tc>
        <w:tc>
          <w:tcPr>
            <w:tcW w:w="3926" w:type="pct"/>
          </w:tcPr>
          <w:p w14:paraId="33BC1CDB" w14:textId="77777777" w:rsidR="002D700A" w:rsidRPr="003108F0" w:rsidRDefault="002D700A" w:rsidP="009B0847">
            <w:pPr>
              <w:jc w:val="both"/>
              <w:rPr>
                <w:rFonts w:ascii="Arial" w:hAnsi="Arial" w:cs="Arial"/>
              </w:rPr>
            </w:pPr>
            <w:r w:rsidRPr="003108F0">
              <w:rPr>
                <w:rFonts w:ascii="Arial" w:hAnsi="Arial" w:cs="Arial"/>
              </w:rPr>
              <w:t>Female Sex Workers and their clients; People who inject drugs and their partners</w:t>
            </w:r>
            <w:r>
              <w:rPr>
                <w:rFonts w:ascii="Arial" w:hAnsi="Arial" w:cs="Arial"/>
              </w:rPr>
              <w:t>; All people living with HIV</w:t>
            </w:r>
          </w:p>
        </w:tc>
      </w:tr>
      <w:tr w:rsidR="002D700A" w:rsidRPr="003108F0" w14:paraId="253D0AB7" w14:textId="77777777" w:rsidTr="00031E15">
        <w:trPr>
          <w:trHeight w:val="288"/>
        </w:trPr>
        <w:tc>
          <w:tcPr>
            <w:tcW w:w="1074" w:type="pct"/>
            <w:shd w:val="clear" w:color="auto" w:fill="F2F2F2"/>
            <w:vAlign w:val="center"/>
          </w:tcPr>
          <w:p w14:paraId="251FD97B" w14:textId="77777777" w:rsidR="002D700A" w:rsidRPr="003108F0" w:rsidRDefault="002D700A" w:rsidP="009B0847">
            <w:pPr>
              <w:jc w:val="both"/>
              <w:rPr>
                <w:rFonts w:ascii="Arial" w:hAnsi="Arial" w:cs="Arial"/>
                <w:b/>
              </w:rPr>
            </w:pPr>
            <w:r w:rsidRPr="003108F0">
              <w:rPr>
                <w:rFonts w:ascii="Arial" w:hAnsi="Arial" w:cs="Arial"/>
                <w:b/>
              </w:rPr>
              <w:t>Barriers and Inequities</w:t>
            </w:r>
          </w:p>
        </w:tc>
        <w:tc>
          <w:tcPr>
            <w:tcW w:w="3926" w:type="pct"/>
          </w:tcPr>
          <w:p w14:paraId="51E6FB21" w14:textId="77777777" w:rsidR="002D700A" w:rsidRPr="003108F0" w:rsidRDefault="002D700A" w:rsidP="009B0847">
            <w:pPr>
              <w:jc w:val="both"/>
              <w:rPr>
                <w:rFonts w:ascii="Arial" w:hAnsi="Arial" w:cs="Arial"/>
              </w:rPr>
            </w:pPr>
            <w:r w:rsidRPr="003108F0">
              <w:rPr>
                <w:rFonts w:ascii="Arial" w:hAnsi="Arial" w:cs="Arial"/>
              </w:rPr>
              <w:t>Street</w:t>
            </w:r>
            <w:r>
              <w:rPr>
                <w:rFonts w:ascii="Arial" w:hAnsi="Arial" w:cs="Arial"/>
              </w:rPr>
              <w:t>-</w:t>
            </w:r>
            <w:r w:rsidRPr="003108F0">
              <w:rPr>
                <w:rFonts w:ascii="Arial" w:hAnsi="Arial" w:cs="Arial"/>
              </w:rPr>
              <w:t xml:space="preserve">based PWID </w:t>
            </w:r>
            <w:r>
              <w:rPr>
                <w:rFonts w:ascii="Arial" w:hAnsi="Arial" w:cs="Arial"/>
              </w:rPr>
              <w:t>in</w:t>
            </w:r>
            <w:r w:rsidRPr="003108F0">
              <w:rPr>
                <w:rFonts w:ascii="Arial" w:hAnsi="Arial" w:cs="Arial"/>
              </w:rPr>
              <w:t xml:space="preserve"> Dhaka City lack shelter and </w:t>
            </w:r>
            <w:r>
              <w:rPr>
                <w:rFonts w:ascii="Arial" w:hAnsi="Arial" w:cs="Arial"/>
              </w:rPr>
              <w:t xml:space="preserve">suffer from </w:t>
            </w:r>
            <w:r w:rsidRPr="003108F0">
              <w:rPr>
                <w:rFonts w:ascii="Arial" w:hAnsi="Arial" w:cs="Arial"/>
              </w:rPr>
              <w:t>severe hunger. Aged FSWs are victim</w:t>
            </w:r>
            <w:r>
              <w:rPr>
                <w:rFonts w:ascii="Arial" w:hAnsi="Arial" w:cs="Arial"/>
              </w:rPr>
              <w:t>s</w:t>
            </w:r>
            <w:r w:rsidRPr="003108F0">
              <w:rPr>
                <w:rFonts w:ascii="Arial" w:hAnsi="Arial" w:cs="Arial"/>
              </w:rPr>
              <w:t xml:space="preserve"> of poverty. Stigma and </w:t>
            </w:r>
            <w:r>
              <w:rPr>
                <w:rFonts w:ascii="Arial" w:hAnsi="Arial" w:cs="Arial"/>
              </w:rPr>
              <w:t>d</w:t>
            </w:r>
            <w:r w:rsidRPr="003108F0">
              <w:rPr>
                <w:rFonts w:ascii="Arial" w:hAnsi="Arial" w:cs="Arial"/>
              </w:rPr>
              <w:t xml:space="preserve">iscrimination </w:t>
            </w:r>
            <w:r>
              <w:rPr>
                <w:rFonts w:ascii="Arial" w:hAnsi="Arial" w:cs="Arial"/>
              </w:rPr>
              <w:t>are</w:t>
            </w:r>
            <w:r w:rsidRPr="003108F0">
              <w:rPr>
                <w:rFonts w:ascii="Arial" w:hAnsi="Arial" w:cs="Arial"/>
              </w:rPr>
              <w:t xml:space="preserve"> major concern</w:t>
            </w:r>
            <w:r>
              <w:rPr>
                <w:rFonts w:ascii="Arial" w:hAnsi="Arial" w:cs="Arial"/>
              </w:rPr>
              <w:t>s</w:t>
            </w:r>
            <w:r w:rsidRPr="003108F0">
              <w:rPr>
                <w:rFonts w:ascii="Arial" w:hAnsi="Arial" w:cs="Arial"/>
              </w:rPr>
              <w:t xml:space="preserve"> of PLHIV. </w:t>
            </w:r>
            <w:r>
              <w:rPr>
                <w:rFonts w:ascii="Arial" w:hAnsi="Arial" w:cs="Arial"/>
              </w:rPr>
              <w:t xml:space="preserve">Legal barriers affect the lives of the </w:t>
            </w:r>
            <w:r w:rsidRPr="003108F0">
              <w:rPr>
                <w:rFonts w:ascii="Arial" w:hAnsi="Arial" w:cs="Arial"/>
              </w:rPr>
              <w:t>KP.  The spot scenarios are changing frequently</w:t>
            </w:r>
            <w:r>
              <w:rPr>
                <w:rFonts w:ascii="Arial" w:hAnsi="Arial" w:cs="Arial"/>
              </w:rPr>
              <w:t>, and</w:t>
            </w:r>
            <w:r w:rsidRPr="003108F0">
              <w:rPr>
                <w:rFonts w:ascii="Arial" w:hAnsi="Arial" w:cs="Arial"/>
              </w:rPr>
              <w:t xml:space="preserve"> quality service</w:t>
            </w:r>
            <w:r>
              <w:rPr>
                <w:rFonts w:ascii="Arial" w:hAnsi="Arial" w:cs="Arial"/>
              </w:rPr>
              <w:t xml:space="preserve"> delivery i</w:t>
            </w:r>
            <w:r w:rsidRPr="003108F0">
              <w:rPr>
                <w:rFonts w:ascii="Arial" w:hAnsi="Arial" w:cs="Arial"/>
              </w:rPr>
              <w:t xml:space="preserve">s </w:t>
            </w:r>
            <w:r>
              <w:rPr>
                <w:rFonts w:ascii="Arial" w:hAnsi="Arial" w:cs="Arial"/>
              </w:rPr>
              <w:t>becoming challenging</w:t>
            </w:r>
            <w:r w:rsidRPr="003108F0">
              <w:rPr>
                <w:rFonts w:ascii="Arial" w:hAnsi="Arial" w:cs="Arial"/>
              </w:rPr>
              <w:t xml:space="preserve"> through </w:t>
            </w:r>
            <w:r>
              <w:rPr>
                <w:rFonts w:ascii="Arial" w:hAnsi="Arial" w:cs="Arial"/>
              </w:rPr>
              <w:t xml:space="preserve">the </w:t>
            </w:r>
            <w:r w:rsidRPr="003108F0">
              <w:rPr>
                <w:rFonts w:ascii="Arial" w:hAnsi="Arial" w:cs="Arial"/>
              </w:rPr>
              <w:t>existing approach. Appropriate record keeping and reporting mechanism on Human Right</w:t>
            </w:r>
            <w:r>
              <w:rPr>
                <w:rFonts w:ascii="Arial" w:hAnsi="Arial" w:cs="Arial"/>
              </w:rPr>
              <w:t>s</w:t>
            </w:r>
            <w:r w:rsidRPr="003108F0">
              <w:rPr>
                <w:rFonts w:ascii="Arial" w:hAnsi="Arial" w:cs="Arial"/>
              </w:rPr>
              <w:t xml:space="preserve"> issue for KPs is absent. Mechanism for getting service recipients requirements is currently inadequate. Due to lack of capacity, community networks are not able to properly negotiate with stakeholders for their needs and rights.</w:t>
            </w:r>
          </w:p>
        </w:tc>
      </w:tr>
      <w:tr w:rsidR="002D700A" w:rsidRPr="003108F0" w14:paraId="1C422CBB" w14:textId="77777777" w:rsidTr="00031E15">
        <w:trPr>
          <w:trHeight w:val="288"/>
        </w:trPr>
        <w:tc>
          <w:tcPr>
            <w:tcW w:w="1074" w:type="pct"/>
            <w:shd w:val="clear" w:color="auto" w:fill="F2F2F2"/>
            <w:vAlign w:val="center"/>
          </w:tcPr>
          <w:p w14:paraId="31D0CD46" w14:textId="77777777" w:rsidR="002D700A" w:rsidRPr="003108F0" w:rsidRDefault="002D700A" w:rsidP="009B0847">
            <w:pPr>
              <w:jc w:val="both"/>
              <w:rPr>
                <w:rFonts w:ascii="Arial" w:hAnsi="Arial" w:cs="Arial"/>
                <w:b/>
              </w:rPr>
            </w:pPr>
            <w:r w:rsidRPr="003108F0">
              <w:rPr>
                <w:rFonts w:ascii="Arial" w:hAnsi="Arial" w:cs="Arial"/>
                <w:b/>
              </w:rPr>
              <w:t>Rationale</w:t>
            </w:r>
          </w:p>
        </w:tc>
        <w:tc>
          <w:tcPr>
            <w:tcW w:w="3926" w:type="pct"/>
          </w:tcPr>
          <w:p w14:paraId="325FB226" w14:textId="77777777" w:rsidR="002D700A" w:rsidRPr="003108F0" w:rsidRDefault="002D700A" w:rsidP="009B0847">
            <w:pPr>
              <w:jc w:val="both"/>
              <w:rPr>
                <w:rFonts w:ascii="Arial" w:hAnsi="Arial" w:cs="Arial"/>
              </w:rPr>
            </w:pPr>
            <w:r w:rsidRPr="003108F0">
              <w:rPr>
                <w:rFonts w:ascii="Arial" w:hAnsi="Arial" w:cs="Arial"/>
              </w:rPr>
              <w:t xml:space="preserve">Community based monitoring will help understand the </w:t>
            </w:r>
            <w:r>
              <w:rPr>
                <w:rFonts w:ascii="Arial" w:hAnsi="Arial" w:cs="Arial"/>
              </w:rPr>
              <w:t xml:space="preserve">community </w:t>
            </w:r>
            <w:r w:rsidRPr="003108F0">
              <w:rPr>
                <w:rFonts w:ascii="Arial" w:hAnsi="Arial" w:cs="Arial"/>
              </w:rPr>
              <w:t>need</w:t>
            </w:r>
            <w:r>
              <w:rPr>
                <w:rFonts w:ascii="Arial" w:hAnsi="Arial" w:cs="Arial"/>
              </w:rPr>
              <w:t>s</w:t>
            </w:r>
            <w:r w:rsidRPr="003108F0">
              <w:rPr>
                <w:rFonts w:ascii="Arial" w:hAnsi="Arial" w:cs="Arial"/>
              </w:rPr>
              <w:t xml:space="preserve"> and their human right</w:t>
            </w:r>
            <w:r>
              <w:rPr>
                <w:rFonts w:ascii="Arial" w:hAnsi="Arial" w:cs="Arial"/>
              </w:rPr>
              <w:t>s</w:t>
            </w:r>
            <w:r w:rsidRPr="003108F0">
              <w:rPr>
                <w:rFonts w:ascii="Arial" w:hAnsi="Arial" w:cs="Arial"/>
              </w:rPr>
              <w:t xml:space="preserve"> status. </w:t>
            </w:r>
            <w:r w:rsidRPr="00EF2664">
              <w:rPr>
                <w:rFonts w:ascii="Arial" w:hAnsi="Arial" w:cs="Arial"/>
                <w:i/>
                <w:iCs/>
                <w:u w:val="single"/>
              </w:rPr>
              <w:t>PR-SC</w:t>
            </w:r>
            <w:r w:rsidRPr="003108F0">
              <w:rPr>
                <w:rFonts w:ascii="Arial" w:hAnsi="Arial" w:cs="Arial"/>
              </w:rPr>
              <w:t xml:space="preserve"> has built partnerships with community networks under existing Global Fund grants. So, ‘Community Networks’ can engage </w:t>
            </w:r>
            <w:r>
              <w:rPr>
                <w:rFonts w:ascii="Arial" w:hAnsi="Arial" w:cs="Arial"/>
              </w:rPr>
              <w:t xml:space="preserve">in a </w:t>
            </w:r>
            <w:r w:rsidRPr="003108F0">
              <w:rPr>
                <w:rFonts w:ascii="Arial" w:hAnsi="Arial" w:cs="Arial"/>
              </w:rPr>
              <w:t>more meaningful way for community-based monitoring. Functional engagement of DIC based’ Community Group’ will be helpful for social mobilization for receiving services, identify</w:t>
            </w:r>
            <w:r>
              <w:rPr>
                <w:rFonts w:ascii="Arial" w:hAnsi="Arial" w:cs="Arial"/>
              </w:rPr>
              <w:t>ing</w:t>
            </w:r>
            <w:r w:rsidRPr="003108F0">
              <w:rPr>
                <w:rFonts w:ascii="Arial" w:hAnsi="Arial" w:cs="Arial"/>
              </w:rPr>
              <w:t xml:space="preserve"> new KPs in the community and </w:t>
            </w:r>
            <w:r>
              <w:rPr>
                <w:rFonts w:ascii="Arial" w:hAnsi="Arial" w:cs="Arial"/>
              </w:rPr>
              <w:t xml:space="preserve">for </w:t>
            </w:r>
            <w:r w:rsidRPr="003108F0">
              <w:rPr>
                <w:rFonts w:ascii="Arial" w:hAnsi="Arial" w:cs="Arial"/>
              </w:rPr>
              <w:t xml:space="preserve">coordination between community and project staff. </w:t>
            </w:r>
          </w:p>
        </w:tc>
      </w:tr>
      <w:tr w:rsidR="002D700A" w:rsidRPr="003108F0" w14:paraId="07E6E7B3" w14:textId="77777777" w:rsidTr="00031E15">
        <w:trPr>
          <w:trHeight w:val="288"/>
        </w:trPr>
        <w:tc>
          <w:tcPr>
            <w:tcW w:w="1074" w:type="pct"/>
            <w:shd w:val="clear" w:color="auto" w:fill="F2F2F2"/>
            <w:vAlign w:val="center"/>
          </w:tcPr>
          <w:p w14:paraId="31BABC01" w14:textId="77777777" w:rsidR="002D700A" w:rsidRPr="003108F0" w:rsidRDefault="002D700A" w:rsidP="009B0847">
            <w:pPr>
              <w:jc w:val="both"/>
              <w:rPr>
                <w:rFonts w:ascii="Arial" w:hAnsi="Arial" w:cs="Arial"/>
                <w:b/>
              </w:rPr>
            </w:pPr>
            <w:r w:rsidRPr="003108F0">
              <w:rPr>
                <w:rFonts w:ascii="Arial" w:hAnsi="Arial" w:cs="Arial"/>
                <w:b/>
              </w:rPr>
              <w:t>Expected Outcome</w:t>
            </w:r>
          </w:p>
        </w:tc>
        <w:tc>
          <w:tcPr>
            <w:tcW w:w="3926" w:type="pct"/>
          </w:tcPr>
          <w:p w14:paraId="63CB436F" w14:textId="77777777" w:rsidR="002D700A" w:rsidRPr="003108F0" w:rsidRDefault="002D700A" w:rsidP="009B0847">
            <w:pPr>
              <w:jc w:val="both"/>
              <w:rPr>
                <w:rFonts w:ascii="Arial" w:hAnsi="Arial" w:cs="Arial"/>
                <w:highlight w:val="yellow"/>
              </w:rPr>
            </w:pPr>
            <w:r w:rsidRPr="003108F0">
              <w:rPr>
                <w:rFonts w:ascii="Arial" w:hAnsi="Arial" w:cs="Arial"/>
              </w:rPr>
              <w:t xml:space="preserve">Functional engagement of community networks and organizations will lead </w:t>
            </w:r>
            <w:r>
              <w:rPr>
                <w:rFonts w:ascii="Arial" w:hAnsi="Arial" w:cs="Arial"/>
              </w:rPr>
              <w:t>to</w:t>
            </w:r>
            <w:r w:rsidRPr="003108F0">
              <w:rPr>
                <w:rFonts w:ascii="Arial" w:hAnsi="Arial" w:cs="Arial"/>
              </w:rPr>
              <w:t xml:space="preserve"> sustainability of some activities </w:t>
            </w:r>
            <w:r>
              <w:rPr>
                <w:rFonts w:ascii="Arial" w:hAnsi="Arial" w:cs="Arial"/>
              </w:rPr>
              <w:t xml:space="preserve">for KPs </w:t>
            </w:r>
            <w:r w:rsidRPr="003108F0">
              <w:rPr>
                <w:rFonts w:ascii="Arial" w:hAnsi="Arial" w:cs="Arial"/>
              </w:rPr>
              <w:t xml:space="preserve">for reducing HIV </w:t>
            </w:r>
            <w:r>
              <w:rPr>
                <w:rFonts w:ascii="Arial" w:hAnsi="Arial" w:cs="Arial"/>
              </w:rPr>
              <w:t>transmission</w:t>
            </w:r>
            <w:r w:rsidRPr="003108F0">
              <w:rPr>
                <w:rFonts w:ascii="Arial" w:hAnsi="Arial" w:cs="Arial"/>
              </w:rPr>
              <w:t>.</w:t>
            </w:r>
          </w:p>
        </w:tc>
      </w:tr>
      <w:tr w:rsidR="002D700A" w:rsidRPr="003108F0" w14:paraId="5DF402FA" w14:textId="77777777" w:rsidTr="00031E15">
        <w:trPr>
          <w:trHeight w:val="288"/>
        </w:trPr>
        <w:tc>
          <w:tcPr>
            <w:tcW w:w="1074" w:type="pct"/>
            <w:shd w:val="clear" w:color="auto" w:fill="F2F2F2"/>
            <w:vAlign w:val="center"/>
          </w:tcPr>
          <w:p w14:paraId="4053607F" w14:textId="77777777" w:rsidR="002D700A" w:rsidRPr="003108F0" w:rsidRDefault="002D700A" w:rsidP="009B0847">
            <w:pPr>
              <w:jc w:val="both"/>
              <w:rPr>
                <w:rFonts w:ascii="Arial" w:hAnsi="Arial" w:cs="Arial"/>
                <w:b/>
              </w:rPr>
            </w:pPr>
            <w:r w:rsidRPr="003108F0">
              <w:rPr>
                <w:rFonts w:ascii="Arial" w:hAnsi="Arial" w:cs="Arial"/>
                <w:b/>
              </w:rPr>
              <w:t>Expected Investment</w:t>
            </w:r>
          </w:p>
        </w:tc>
        <w:tc>
          <w:tcPr>
            <w:tcW w:w="3926" w:type="pct"/>
          </w:tcPr>
          <w:p w14:paraId="59A9B0E4" w14:textId="77777777" w:rsidR="002D700A" w:rsidRPr="003108F0" w:rsidRDefault="002D700A" w:rsidP="009B0847">
            <w:pPr>
              <w:jc w:val="both"/>
              <w:rPr>
                <w:rFonts w:ascii="Arial" w:hAnsi="Arial" w:cs="Arial"/>
                <w:highlight w:val="yellow"/>
              </w:rPr>
            </w:pPr>
            <w:r w:rsidRPr="003108F0">
              <w:rPr>
                <w:rFonts w:ascii="Arial" w:hAnsi="Arial" w:cs="Arial"/>
              </w:rPr>
              <w:t>US $ 303,329</w:t>
            </w:r>
          </w:p>
        </w:tc>
      </w:tr>
    </w:tbl>
    <w:p w14:paraId="4F24C9C8" w14:textId="77777777" w:rsidR="002D700A" w:rsidRDefault="002D700A" w:rsidP="009B6C0D">
      <w:pPr>
        <w:spacing w:after="0"/>
        <w:rPr>
          <w:iCs/>
          <w:sz w:val="16"/>
          <w:szCs w:val="16"/>
        </w:rPr>
      </w:pPr>
    </w:p>
    <w:tbl>
      <w:tblPr>
        <w:tblStyle w:val="TableGrid32"/>
        <w:tblW w:w="10435" w:type="dxa"/>
        <w:tblLook w:val="04A0" w:firstRow="1" w:lastRow="0" w:firstColumn="1" w:lastColumn="0" w:noHBand="0" w:noVBand="1"/>
      </w:tblPr>
      <w:tblGrid>
        <w:gridCol w:w="2245"/>
        <w:gridCol w:w="8190"/>
      </w:tblGrid>
      <w:tr w:rsidR="00AA0E17" w:rsidRPr="00AA0E17" w14:paraId="4EDC1379" w14:textId="77777777" w:rsidTr="00031E15">
        <w:trPr>
          <w:trHeight w:val="332"/>
        </w:trPr>
        <w:tc>
          <w:tcPr>
            <w:tcW w:w="2245" w:type="dxa"/>
            <w:shd w:val="clear" w:color="auto" w:fill="F2F2F2"/>
            <w:vAlign w:val="center"/>
          </w:tcPr>
          <w:p w14:paraId="7DE724A0" w14:textId="7B102247" w:rsidR="00AA0E17" w:rsidRPr="00AA0E17" w:rsidRDefault="00AA0E17" w:rsidP="00AA0E17">
            <w:pPr>
              <w:spacing w:after="0"/>
              <w:rPr>
                <w:b/>
              </w:rPr>
            </w:pPr>
            <w:r w:rsidRPr="00AA0E17">
              <w:rPr>
                <w:b/>
              </w:rPr>
              <w:t xml:space="preserve">Module # </w:t>
            </w:r>
            <w:r w:rsidR="009751BE">
              <w:rPr>
                <w:b/>
              </w:rPr>
              <w:t>1</w:t>
            </w:r>
            <w:r w:rsidR="004D2817">
              <w:rPr>
                <w:b/>
              </w:rPr>
              <w:t>1</w:t>
            </w:r>
          </w:p>
        </w:tc>
        <w:tc>
          <w:tcPr>
            <w:tcW w:w="8190" w:type="dxa"/>
          </w:tcPr>
          <w:p w14:paraId="2775020A" w14:textId="77777777" w:rsidR="00AA0E17" w:rsidRPr="00AA0E17" w:rsidRDefault="00AA0E17" w:rsidP="00AA0E17">
            <w:pPr>
              <w:spacing w:after="0"/>
              <w:rPr>
                <w:b/>
                <w:bCs/>
              </w:rPr>
            </w:pPr>
            <w:r w:rsidRPr="00AA0E17">
              <w:rPr>
                <w:b/>
                <w:bCs/>
              </w:rPr>
              <w:t xml:space="preserve">RSSH: Program Management </w:t>
            </w:r>
          </w:p>
        </w:tc>
      </w:tr>
      <w:tr w:rsidR="00AA0E17" w:rsidRPr="00AA0E17" w14:paraId="3C4C8F44" w14:textId="77777777" w:rsidTr="00031E15">
        <w:trPr>
          <w:trHeight w:val="288"/>
        </w:trPr>
        <w:tc>
          <w:tcPr>
            <w:tcW w:w="2245" w:type="dxa"/>
            <w:shd w:val="clear" w:color="auto" w:fill="F2F2F2"/>
            <w:vAlign w:val="center"/>
          </w:tcPr>
          <w:p w14:paraId="6BE3DAA0" w14:textId="77777777" w:rsidR="00AA0E17" w:rsidRPr="00AA0E17" w:rsidRDefault="00AA0E17" w:rsidP="000B412F">
            <w:pPr>
              <w:spacing w:after="0"/>
              <w:jc w:val="both"/>
              <w:rPr>
                <w:b/>
              </w:rPr>
            </w:pPr>
            <w:r w:rsidRPr="00AA0E17">
              <w:rPr>
                <w:b/>
              </w:rPr>
              <w:t>Intervention(s) &amp; Key Activities</w:t>
            </w:r>
          </w:p>
        </w:tc>
        <w:tc>
          <w:tcPr>
            <w:tcW w:w="8190" w:type="dxa"/>
          </w:tcPr>
          <w:p w14:paraId="1F472BE1" w14:textId="77777777" w:rsidR="00AA0E17" w:rsidRPr="00AA0E17" w:rsidRDefault="00AA0E17" w:rsidP="000B412F">
            <w:pPr>
              <w:spacing w:after="0"/>
              <w:contextualSpacing/>
              <w:jc w:val="both"/>
            </w:pPr>
            <w:r w:rsidRPr="00AA0E17">
              <w:rPr>
                <w:b/>
                <w:bCs/>
              </w:rPr>
              <w:t xml:space="preserve">Intervention: </w:t>
            </w:r>
            <w:r w:rsidRPr="00AA0E17">
              <w:t>Coordination and management of national disease control programs</w:t>
            </w:r>
          </w:p>
          <w:p w14:paraId="086B250B" w14:textId="77777777" w:rsidR="00AA0E17" w:rsidRPr="00AA0E17" w:rsidRDefault="00AA0E17" w:rsidP="000B412F">
            <w:pPr>
              <w:spacing w:after="0"/>
              <w:jc w:val="both"/>
            </w:pPr>
            <w:r w:rsidRPr="00AA0E17">
              <w:rPr>
                <w:b/>
                <w:bCs/>
              </w:rPr>
              <w:t>Activities</w:t>
            </w:r>
            <w:r w:rsidRPr="00AA0E17">
              <w:t xml:space="preserve">: ASP will do the coordination and management of national disease control programme by doing oversight, monitoring/ supervision and technical assistance from national to sub national levels includes DICs and other intervention sites; it will do coordination with district/ local authorities between DICs. ASP will organize Quarterly coordination meetings among stakeholders centrally.  </w:t>
            </w:r>
          </w:p>
          <w:p w14:paraId="1178C35B" w14:textId="77777777" w:rsidR="00AA0E17" w:rsidRPr="00AA0E17" w:rsidRDefault="00AA0E17" w:rsidP="000B412F">
            <w:pPr>
              <w:spacing w:after="0"/>
              <w:jc w:val="both"/>
            </w:pPr>
            <w:r w:rsidRPr="00AA0E17">
              <w:rPr>
                <w:b/>
                <w:bCs/>
              </w:rPr>
              <w:t>Intervention</w:t>
            </w:r>
            <w:r w:rsidRPr="00AA0E17">
              <w:t xml:space="preserve">: Grant management: </w:t>
            </w:r>
          </w:p>
          <w:p w14:paraId="60EB41EA" w14:textId="122CFDA1" w:rsidR="00AA0E17" w:rsidRPr="00AA0E17" w:rsidRDefault="00AA0E17" w:rsidP="000B412F">
            <w:pPr>
              <w:spacing w:after="0"/>
              <w:jc w:val="both"/>
            </w:pPr>
            <w:r w:rsidRPr="00AA0E17">
              <w:rPr>
                <w:b/>
                <w:bCs/>
              </w:rPr>
              <w:t>Activities</w:t>
            </w:r>
            <w:r w:rsidRPr="00AA0E17">
              <w:t>: Supervision of SRs/SSRs by the NGO PRs, timely submission of the reports and related grant documents, oversight and technical assistance related to effective and efficient Global Fund grant implementation and management will be conducted. Human resource for program management, training for the staff of SRs/SSRs, PRs and community members will be organized if needed. PRs will incur overheads cost. The regular coordination with ASP, district and local authorities, regular coordination meetings with SRs/SSRs/CBOs, quarterly meeting, office rent and costs related to office management, procure required IT equipment for PR, SRs/SSRs will be</w:t>
            </w:r>
            <w:r w:rsidR="004C0C84">
              <w:t xml:space="preserve"> procured by the PRs</w:t>
            </w:r>
            <w:r w:rsidRPr="00AA0E17">
              <w:t>.</w:t>
            </w:r>
          </w:p>
        </w:tc>
      </w:tr>
      <w:tr w:rsidR="00AA0E17" w:rsidRPr="00AA0E17" w14:paraId="382B6EEA" w14:textId="77777777" w:rsidTr="00031E15">
        <w:trPr>
          <w:trHeight w:val="288"/>
        </w:trPr>
        <w:tc>
          <w:tcPr>
            <w:tcW w:w="2245" w:type="dxa"/>
            <w:shd w:val="clear" w:color="auto" w:fill="F2F2F2"/>
            <w:vAlign w:val="center"/>
          </w:tcPr>
          <w:p w14:paraId="6020F4B3" w14:textId="77777777" w:rsidR="00AA0E17" w:rsidRPr="00AA0E17" w:rsidRDefault="00AA0E17" w:rsidP="000B412F">
            <w:pPr>
              <w:spacing w:after="0"/>
              <w:jc w:val="both"/>
              <w:rPr>
                <w:b/>
              </w:rPr>
            </w:pPr>
            <w:r w:rsidRPr="00AA0E17">
              <w:rPr>
                <w:b/>
              </w:rPr>
              <w:t>Priority Population(s)</w:t>
            </w:r>
          </w:p>
        </w:tc>
        <w:tc>
          <w:tcPr>
            <w:tcW w:w="8190" w:type="dxa"/>
          </w:tcPr>
          <w:p w14:paraId="6B585E6D" w14:textId="77777777" w:rsidR="00AA0E17" w:rsidRPr="00AA0E17" w:rsidRDefault="00AA0E17" w:rsidP="000B412F">
            <w:pPr>
              <w:spacing w:after="0"/>
              <w:jc w:val="both"/>
            </w:pPr>
            <w:r w:rsidRPr="00AA0E17">
              <w:t>All KPs, Services providers and all stakeholders</w:t>
            </w:r>
          </w:p>
        </w:tc>
      </w:tr>
      <w:tr w:rsidR="00AA0E17" w:rsidRPr="00AA0E17" w14:paraId="44B655C5" w14:textId="77777777" w:rsidTr="00031E15">
        <w:trPr>
          <w:trHeight w:val="288"/>
        </w:trPr>
        <w:tc>
          <w:tcPr>
            <w:tcW w:w="2245" w:type="dxa"/>
            <w:shd w:val="clear" w:color="auto" w:fill="F2F2F2"/>
            <w:vAlign w:val="center"/>
          </w:tcPr>
          <w:p w14:paraId="754ACF76" w14:textId="77777777" w:rsidR="00AA0E17" w:rsidRPr="00AA0E17" w:rsidRDefault="00AA0E17" w:rsidP="009E08D0">
            <w:pPr>
              <w:spacing w:after="0"/>
              <w:rPr>
                <w:b/>
              </w:rPr>
            </w:pPr>
            <w:r w:rsidRPr="00AA0E17">
              <w:rPr>
                <w:b/>
              </w:rPr>
              <w:t>Barriers and Inequities</w:t>
            </w:r>
          </w:p>
        </w:tc>
        <w:tc>
          <w:tcPr>
            <w:tcW w:w="8190" w:type="dxa"/>
          </w:tcPr>
          <w:p w14:paraId="5205D482" w14:textId="77777777" w:rsidR="00AA0E17" w:rsidRPr="00AA0E17" w:rsidRDefault="00AA0E17" w:rsidP="000B412F">
            <w:pPr>
              <w:spacing w:after="0"/>
              <w:jc w:val="both"/>
            </w:pPr>
            <w:r w:rsidRPr="00AA0E17">
              <w:t xml:space="preserve">District health manger/ civil surgeons’ engagement is challenging due to its multiple works and involvement at the district and other priority areas.  </w:t>
            </w:r>
          </w:p>
        </w:tc>
      </w:tr>
      <w:tr w:rsidR="00AA0E17" w:rsidRPr="00AA0E17" w14:paraId="47377803" w14:textId="77777777" w:rsidTr="00031E15">
        <w:trPr>
          <w:trHeight w:val="288"/>
        </w:trPr>
        <w:tc>
          <w:tcPr>
            <w:tcW w:w="2245" w:type="dxa"/>
            <w:shd w:val="clear" w:color="auto" w:fill="F2F2F2"/>
            <w:vAlign w:val="center"/>
          </w:tcPr>
          <w:p w14:paraId="2205388A" w14:textId="77777777" w:rsidR="00AA0E17" w:rsidRPr="00AA0E17" w:rsidRDefault="00AA0E17" w:rsidP="009E08D0">
            <w:pPr>
              <w:spacing w:after="0"/>
              <w:rPr>
                <w:b/>
              </w:rPr>
            </w:pPr>
            <w:r w:rsidRPr="00AA0E17">
              <w:rPr>
                <w:b/>
              </w:rPr>
              <w:t>Rationale</w:t>
            </w:r>
          </w:p>
        </w:tc>
        <w:tc>
          <w:tcPr>
            <w:tcW w:w="8190" w:type="dxa"/>
          </w:tcPr>
          <w:p w14:paraId="3D56D508" w14:textId="77777777" w:rsidR="00AA0E17" w:rsidRPr="00AA0E17" w:rsidRDefault="00AA0E17" w:rsidP="000B412F">
            <w:pPr>
              <w:spacing w:after="0"/>
              <w:jc w:val="both"/>
            </w:pPr>
            <w:r w:rsidRPr="00AA0E17">
              <w:t xml:space="preserve">Program management is mandatory to ensure grant compliance in terms of program, M&amp;E, Finance, governance, and PSM. It is crucial to achieving grant outputs, outcomes and impact as agreed. It is important to note that under program management, besides the HR cost category, many other costs are included as Global Fund guidelines. Ensuring engagement of the national and sub national level health manager is important for coordination. </w:t>
            </w:r>
          </w:p>
        </w:tc>
      </w:tr>
      <w:tr w:rsidR="00AA0E17" w:rsidRPr="00AA0E17" w14:paraId="3443841C" w14:textId="77777777" w:rsidTr="00031E15">
        <w:trPr>
          <w:trHeight w:val="288"/>
        </w:trPr>
        <w:tc>
          <w:tcPr>
            <w:tcW w:w="2245" w:type="dxa"/>
            <w:shd w:val="clear" w:color="auto" w:fill="F2F2F2"/>
            <w:vAlign w:val="center"/>
          </w:tcPr>
          <w:p w14:paraId="3603D858" w14:textId="77777777" w:rsidR="00AA0E17" w:rsidRPr="00AA0E17" w:rsidRDefault="00AA0E17" w:rsidP="000B412F">
            <w:pPr>
              <w:spacing w:after="0"/>
              <w:jc w:val="both"/>
              <w:rPr>
                <w:b/>
              </w:rPr>
            </w:pPr>
            <w:r w:rsidRPr="00AA0E17">
              <w:rPr>
                <w:b/>
              </w:rPr>
              <w:t>Expected Outcome</w:t>
            </w:r>
          </w:p>
        </w:tc>
        <w:tc>
          <w:tcPr>
            <w:tcW w:w="8190" w:type="dxa"/>
          </w:tcPr>
          <w:p w14:paraId="4C8F65DC" w14:textId="137A35A0" w:rsidR="00AA0E17" w:rsidRPr="00AA0E17" w:rsidRDefault="004C0C84" w:rsidP="000B412F">
            <w:pPr>
              <w:spacing w:after="0"/>
              <w:jc w:val="both"/>
              <w:rPr>
                <w:highlight w:val="yellow"/>
              </w:rPr>
            </w:pPr>
            <w:r w:rsidRPr="00270FC0">
              <w:t xml:space="preserve">Ensured smooth implementation of the Global Fund program. Improved programme quality and increase </w:t>
            </w:r>
            <w:r w:rsidRPr="004C0C84">
              <w:t xml:space="preserve">accountability of the implementers. </w:t>
            </w:r>
          </w:p>
        </w:tc>
      </w:tr>
      <w:tr w:rsidR="00AA0E17" w:rsidRPr="00AA0E17" w14:paraId="3FBDC50F" w14:textId="77777777" w:rsidTr="00031E15">
        <w:trPr>
          <w:trHeight w:val="288"/>
        </w:trPr>
        <w:tc>
          <w:tcPr>
            <w:tcW w:w="2245" w:type="dxa"/>
            <w:shd w:val="clear" w:color="auto" w:fill="F2F2F2"/>
            <w:vAlign w:val="center"/>
          </w:tcPr>
          <w:p w14:paraId="1D300230" w14:textId="77777777" w:rsidR="00AA0E17" w:rsidRPr="00AA0E17" w:rsidRDefault="00AA0E17" w:rsidP="000B412F">
            <w:pPr>
              <w:spacing w:after="0"/>
              <w:jc w:val="both"/>
              <w:rPr>
                <w:b/>
              </w:rPr>
            </w:pPr>
            <w:r w:rsidRPr="00AA0E17">
              <w:rPr>
                <w:b/>
              </w:rPr>
              <w:t>Expected Investment</w:t>
            </w:r>
          </w:p>
        </w:tc>
        <w:tc>
          <w:tcPr>
            <w:tcW w:w="8190" w:type="dxa"/>
          </w:tcPr>
          <w:p w14:paraId="55D0A103" w14:textId="763DED15" w:rsidR="00AA0E17" w:rsidRPr="00AA0E17" w:rsidRDefault="001A04EB" w:rsidP="000B412F">
            <w:pPr>
              <w:spacing w:after="0"/>
              <w:jc w:val="both"/>
              <w:rPr>
                <w:highlight w:val="yellow"/>
              </w:rPr>
            </w:pPr>
            <w:r w:rsidRPr="00270FC0">
              <w:t xml:space="preserve">US $ 3,101,104 (ASP-US $ 163,954 + </w:t>
            </w:r>
            <w:r w:rsidRPr="001A04EB">
              <w:t>icddr,b US $ ,655,855+</w:t>
            </w:r>
            <w:r w:rsidRPr="00270FC0">
              <w:t xml:space="preserve"> SC- US $ 2,937,150    )</w:t>
            </w:r>
          </w:p>
        </w:tc>
      </w:tr>
    </w:tbl>
    <w:p w14:paraId="0F693174" w14:textId="58099DC7" w:rsidR="00357159" w:rsidRPr="008C21CF" w:rsidRDefault="00357159" w:rsidP="000B412F">
      <w:pPr>
        <w:spacing w:after="0"/>
        <w:jc w:val="both"/>
        <w:rPr>
          <w:i/>
          <w:sz w:val="16"/>
          <w:szCs w:val="16"/>
        </w:rPr>
      </w:pPr>
      <w:r w:rsidRPr="008C21CF">
        <w:rPr>
          <w:i/>
          <w:sz w:val="16"/>
          <w:szCs w:val="16"/>
        </w:rPr>
        <w:t>(Add additional tables as relevant)</w:t>
      </w:r>
    </w:p>
    <w:p w14:paraId="3A68BD05" w14:textId="77777777" w:rsidR="00F22610" w:rsidRDefault="00F22610" w:rsidP="009B6C0D">
      <w:pPr>
        <w:spacing w:after="0" w:line="0" w:lineRule="auto"/>
        <w:rPr>
          <w:rFonts w:eastAsia="Calibri"/>
          <w:b/>
        </w:rPr>
      </w:pPr>
      <w:r>
        <w:rPr>
          <w:rFonts w:eastAsia="Calibri"/>
          <w:b/>
        </w:rPr>
        <w:br w:type="page"/>
      </w:r>
    </w:p>
    <w:p w14:paraId="152E54C8" w14:textId="113D1D2A" w:rsidR="0017600E" w:rsidRPr="009B6C0D" w:rsidRDefault="0017600E" w:rsidP="00C57762">
      <w:pPr>
        <w:pStyle w:val="ListParagraph"/>
        <w:numPr>
          <w:ilvl w:val="0"/>
          <w:numId w:val="20"/>
        </w:numPr>
        <w:spacing w:after="0" w:line="240" w:lineRule="auto"/>
        <w:ind w:left="450" w:hanging="450"/>
        <w:jc w:val="both"/>
        <w:rPr>
          <w:bCs/>
          <w:iCs/>
        </w:rPr>
      </w:pPr>
      <w:r w:rsidRPr="004F1255">
        <w:t xml:space="preserve">Does any aspect of this funding request </w:t>
      </w:r>
      <w:r w:rsidR="000D0B32" w:rsidRPr="004F1255">
        <w:t xml:space="preserve">use </w:t>
      </w:r>
      <w:r w:rsidRPr="004F1255">
        <w:t xml:space="preserve">a </w:t>
      </w:r>
      <w:r w:rsidR="00CA301B" w:rsidRPr="002F3609">
        <w:rPr>
          <w:b/>
        </w:rPr>
        <w:t>P</w:t>
      </w:r>
      <w:r w:rsidRPr="002F3609">
        <w:rPr>
          <w:b/>
        </w:rPr>
        <w:t>ayment</w:t>
      </w:r>
      <w:r w:rsidR="00CA301B" w:rsidRPr="002F3609">
        <w:rPr>
          <w:b/>
        </w:rPr>
        <w:t xml:space="preserve"> </w:t>
      </w:r>
      <w:r w:rsidRPr="002F3609">
        <w:rPr>
          <w:b/>
        </w:rPr>
        <w:t>for</w:t>
      </w:r>
      <w:r w:rsidR="00CA301B" w:rsidRPr="002F3609">
        <w:rPr>
          <w:b/>
        </w:rPr>
        <w:t xml:space="preserve"> R</w:t>
      </w:r>
      <w:r w:rsidRPr="002F3609">
        <w:rPr>
          <w:b/>
        </w:rPr>
        <w:t>esults</w:t>
      </w:r>
      <w:r w:rsidRPr="004F1255">
        <w:t xml:space="preserve"> </w:t>
      </w:r>
      <w:r w:rsidR="00172A9E">
        <w:t>modality</w:t>
      </w:r>
      <w:r w:rsidRPr="004F1255">
        <w:t xml:space="preserve">? </w:t>
      </w:r>
    </w:p>
    <w:p w14:paraId="3970E730" w14:textId="77777777" w:rsidR="009B6C0D" w:rsidRPr="004F1255" w:rsidRDefault="009B6C0D" w:rsidP="009B6C0D">
      <w:pPr>
        <w:pStyle w:val="ListParagraph"/>
        <w:spacing w:after="0" w:line="240" w:lineRule="auto"/>
        <w:ind w:left="450"/>
        <w:jc w:val="both"/>
        <w:rPr>
          <w:bCs/>
          <w:iCs/>
        </w:rPr>
      </w:pPr>
    </w:p>
    <w:p w14:paraId="2D773E12" w14:textId="393663C8" w:rsidR="0017600E" w:rsidRDefault="004535E1" w:rsidP="009B6C0D">
      <w:pPr>
        <w:pStyle w:val="ListParagraph"/>
        <w:spacing w:after="0"/>
      </w:pPr>
      <w:sdt>
        <w:sdtPr>
          <w:rPr>
            <w:rFonts w:eastAsia="MS Gothic"/>
          </w:rPr>
          <w:id w:val="1477947221"/>
          <w14:checkbox>
            <w14:checked w14:val="0"/>
            <w14:checkedState w14:val="2612" w14:font="MS Gothic"/>
            <w14:uncheckedState w14:val="2610" w14:font="MS Gothic"/>
          </w14:checkbox>
        </w:sdtPr>
        <w:sdtEndPr/>
        <w:sdtContent>
          <w:r w:rsidR="009B6C0D">
            <w:rPr>
              <w:rFonts w:ascii="MS Gothic" w:eastAsia="MS Gothic" w:hAnsi="MS Gothic" w:hint="eastAsia"/>
            </w:rPr>
            <w:t>☐</w:t>
          </w:r>
        </w:sdtContent>
      </w:sdt>
      <w:r w:rsidR="0017600E" w:rsidRPr="005305D5">
        <w:t xml:space="preserve"> Yes         </w:t>
      </w:r>
      <w:sdt>
        <w:sdtPr>
          <w:id w:val="-1054162004"/>
          <w14:checkbox>
            <w14:checked w14:val="1"/>
            <w14:checkedState w14:val="2612" w14:font="MS Gothic"/>
            <w14:uncheckedState w14:val="2610" w14:font="MS Gothic"/>
          </w14:checkbox>
        </w:sdtPr>
        <w:sdtEndPr/>
        <w:sdtContent>
          <w:r w:rsidR="000B412F">
            <w:rPr>
              <w:rFonts w:ascii="MS Gothic" w:eastAsia="MS Gothic" w:hAnsi="MS Gothic" w:hint="eastAsia"/>
            </w:rPr>
            <w:t>☒</w:t>
          </w:r>
        </w:sdtContent>
      </w:sdt>
      <w:r w:rsidR="0017600E" w:rsidRPr="005305D5">
        <w:t xml:space="preserve"> No</w:t>
      </w:r>
    </w:p>
    <w:p w14:paraId="296220E8" w14:textId="77777777" w:rsidR="009B6C0D" w:rsidRDefault="009B6C0D" w:rsidP="009B6C0D">
      <w:pPr>
        <w:pStyle w:val="ListParagraph"/>
        <w:spacing w:after="0"/>
      </w:pPr>
    </w:p>
    <w:p w14:paraId="529501F8" w14:textId="327039E2" w:rsidR="0017600E" w:rsidRDefault="0017600E" w:rsidP="009B6C0D">
      <w:pPr>
        <w:tabs>
          <w:tab w:val="left" w:pos="360"/>
        </w:tabs>
        <w:spacing w:after="0" w:line="240" w:lineRule="auto"/>
        <w:ind w:left="360"/>
        <w:jc w:val="both"/>
      </w:pPr>
      <w:r w:rsidRPr="00B271DB">
        <w:rPr>
          <w:b/>
        </w:rPr>
        <w:t>If yes</w:t>
      </w:r>
      <w:r w:rsidRPr="00B271DB">
        <w:t>, in the table below</w:t>
      </w:r>
      <w:r w:rsidR="00CA301B">
        <w:t>, indicate</w:t>
      </w:r>
      <w:r w:rsidRPr="00B271DB">
        <w:t xml:space="preserve"> the relevant performance indicators</w:t>
      </w:r>
      <w:r w:rsidR="008D252C">
        <w:t xml:space="preserve"> and</w:t>
      </w:r>
      <w:r w:rsidRPr="00B271DB">
        <w:t xml:space="preserve"> rationale for the choice of performance indicators and</w:t>
      </w:r>
      <w:r w:rsidR="00E97A2E">
        <w:t>/or milestones.</w:t>
      </w:r>
      <w:r w:rsidRPr="00B271DB">
        <w:t xml:space="preserve"> </w:t>
      </w:r>
    </w:p>
    <w:p w14:paraId="16695AA9" w14:textId="77777777" w:rsidR="009B6C0D" w:rsidRPr="00B271DB" w:rsidRDefault="009B6C0D" w:rsidP="009B6C0D">
      <w:pPr>
        <w:tabs>
          <w:tab w:val="left" w:pos="360"/>
        </w:tabs>
        <w:spacing w:after="0" w:line="240" w:lineRule="auto"/>
        <w:ind w:left="360"/>
        <w:jc w:val="both"/>
        <w:rPr>
          <w:bCs/>
          <w:iCs/>
        </w:rPr>
      </w:pPr>
    </w:p>
    <w:tbl>
      <w:tblPr>
        <w:tblW w:w="10774"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2136"/>
        <w:gridCol w:w="1183"/>
        <w:gridCol w:w="1183"/>
        <w:gridCol w:w="1183"/>
        <w:gridCol w:w="1184"/>
        <w:gridCol w:w="1170"/>
        <w:gridCol w:w="2735"/>
      </w:tblGrid>
      <w:tr w:rsidR="0017600E" w:rsidRPr="005305D5" w14:paraId="7A5003C1" w14:textId="77777777" w:rsidTr="00EC4612">
        <w:trPr>
          <w:trHeight w:val="323"/>
        </w:trPr>
        <w:tc>
          <w:tcPr>
            <w:tcW w:w="2136" w:type="dxa"/>
            <w:vMerge w:val="restart"/>
            <w:tcBorders>
              <w:top w:val="single" w:sz="4" w:space="0" w:color="808080" w:themeColor="background1" w:themeShade="80"/>
              <w:left w:val="single" w:sz="4" w:space="0" w:color="808080" w:themeColor="background1" w:themeShade="80"/>
            </w:tcBorders>
            <w:shd w:val="clear" w:color="auto" w:fill="D9D9D9" w:themeFill="background1" w:themeFillShade="D9"/>
            <w:vAlign w:val="center"/>
          </w:tcPr>
          <w:p w14:paraId="009401FC" w14:textId="77777777" w:rsidR="0017600E" w:rsidRPr="00EC4612" w:rsidRDefault="0017600E" w:rsidP="009B6C0D">
            <w:pPr>
              <w:spacing w:after="0"/>
              <w:jc w:val="center"/>
              <w:rPr>
                <w:b/>
              </w:rPr>
            </w:pPr>
            <w:r w:rsidRPr="00EC4612">
              <w:rPr>
                <w:b/>
              </w:rPr>
              <w:t>Performance indicator or milestone</w:t>
            </w:r>
          </w:p>
        </w:tc>
        <w:tc>
          <w:tcPr>
            <w:tcW w:w="4733" w:type="dxa"/>
            <w:gridSpan w:val="4"/>
            <w:tcBorders>
              <w:top w:val="single" w:sz="4" w:space="0" w:color="808080" w:themeColor="background1" w:themeShade="80"/>
            </w:tcBorders>
            <w:shd w:val="clear" w:color="auto" w:fill="D9D9D9" w:themeFill="background1" w:themeFillShade="D9"/>
            <w:vAlign w:val="center"/>
          </w:tcPr>
          <w:p w14:paraId="491CC317" w14:textId="77777777" w:rsidR="0017600E" w:rsidRPr="00EC4612" w:rsidRDefault="0017600E" w:rsidP="009B6C0D">
            <w:pPr>
              <w:spacing w:after="0"/>
              <w:jc w:val="center"/>
              <w:rPr>
                <w:b/>
              </w:rPr>
            </w:pPr>
            <w:r w:rsidRPr="00EC4612">
              <w:rPr>
                <w:b/>
              </w:rPr>
              <w:t>Target</w:t>
            </w:r>
          </w:p>
        </w:tc>
        <w:tc>
          <w:tcPr>
            <w:tcW w:w="3905" w:type="dxa"/>
            <w:gridSpan w:val="2"/>
            <w:vMerge w:val="restart"/>
            <w:tcBorders>
              <w:top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F751914" w14:textId="77777777" w:rsidR="0017600E" w:rsidRPr="00EC4612" w:rsidRDefault="0017600E" w:rsidP="009B6C0D">
            <w:pPr>
              <w:spacing w:after="0"/>
              <w:jc w:val="center"/>
              <w:rPr>
                <w:b/>
              </w:rPr>
            </w:pPr>
            <w:r w:rsidRPr="00EC4612">
              <w:rPr>
                <w:b/>
              </w:rPr>
              <w:t>Rationale for the indicator/milestone selection for Global Fund funding</w:t>
            </w:r>
          </w:p>
        </w:tc>
      </w:tr>
      <w:tr w:rsidR="0017600E" w:rsidRPr="005305D5" w14:paraId="7291844D" w14:textId="77777777" w:rsidTr="00EC4612">
        <w:trPr>
          <w:trHeight w:val="322"/>
        </w:trPr>
        <w:tc>
          <w:tcPr>
            <w:tcW w:w="2136" w:type="dxa"/>
            <w:vMerge/>
            <w:tcBorders>
              <w:left w:val="single" w:sz="4" w:space="0" w:color="808080" w:themeColor="background1" w:themeShade="80"/>
            </w:tcBorders>
            <w:shd w:val="clear" w:color="auto" w:fill="F2F2F2" w:themeFill="background1" w:themeFillShade="F2"/>
            <w:vAlign w:val="center"/>
          </w:tcPr>
          <w:p w14:paraId="6AAD0E1A" w14:textId="77777777" w:rsidR="0017600E" w:rsidRPr="005305D5" w:rsidRDefault="0017600E" w:rsidP="009B6C0D">
            <w:pPr>
              <w:spacing w:after="0"/>
            </w:pPr>
          </w:p>
        </w:tc>
        <w:tc>
          <w:tcPr>
            <w:tcW w:w="1183" w:type="dxa"/>
            <w:shd w:val="clear" w:color="auto" w:fill="D9D9D9" w:themeFill="background1" w:themeFillShade="D9"/>
            <w:vAlign w:val="center"/>
          </w:tcPr>
          <w:p w14:paraId="0C02F98E" w14:textId="77777777" w:rsidR="0017600E" w:rsidRPr="00EC4612" w:rsidRDefault="0017600E" w:rsidP="009B6C0D">
            <w:pPr>
              <w:spacing w:after="0"/>
              <w:jc w:val="center"/>
              <w:rPr>
                <w:b/>
              </w:rPr>
            </w:pPr>
            <w:r w:rsidRPr="00EC4612">
              <w:rPr>
                <w:b/>
              </w:rPr>
              <w:t>Baseline</w:t>
            </w:r>
          </w:p>
        </w:tc>
        <w:tc>
          <w:tcPr>
            <w:tcW w:w="1183" w:type="dxa"/>
            <w:shd w:val="clear" w:color="auto" w:fill="D9D9D9" w:themeFill="background1" w:themeFillShade="D9"/>
            <w:vAlign w:val="center"/>
          </w:tcPr>
          <w:p w14:paraId="692C6498" w14:textId="77777777" w:rsidR="0017600E" w:rsidRPr="00EC4612" w:rsidRDefault="0017600E" w:rsidP="009B6C0D">
            <w:pPr>
              <w:spacing w:after="0"/>
              <w:jc w:val="center"/>
              <w:rPr>
                <w:b/>
              </w:rPr>
            </w:pPr>
            <w:r w:rsidRPr="00EC4612">
              <w:rPr>
                <w:b/>
              </w:rPr>
              <w:t>Y1</w:t>
            </w:r>
          </w:p>
        </w:tc>
        <w:tc>
          <w:tcPr>
            <w:tcW w:w="1183" w:type="dxa"/>
            <w:shd w:val="clear" w:color="auto" w:fill="D9D9D9" w:themeFill="background1" w:themeFillShade="D9"/>
            <w:vAlign w:val="center"/>
          </w:tcPr>
          <w:p w14:paraId="671C1B45" w14:textId="77777777" w:rsidR="0017600E" w:rsidRPr="00EC4612" w:rsidRDefault="0017600E" w:rsidP="009B6C0D">
            <w:pPr>
              <w:spacing w:after="0"/>
              <w:jc w:val="center"/>
              <w:rPr>
                <w:b/>
              </w:rPr>
            </w:pPr>
            <w:r w:rsidRPr="00EC4612">
              <w:rPr>
                <w:b/>
              </w:rPr>
              <w:t>Y2</w:t>
            </w:r>
          </w:p>
        </w:tc>
        <w:tc>
          <w:tcPr>
            <w:tcW w:w="1184" w:type="dxa"/>
            <w:shd w:val="clear" w:color="auto" w:fill="D9D9D9" w:themeFill="background1" w:themeFillShade="D9"/>
            <w:vAlign w:val="center"/>
          </w:tcPr>
          <w:p w14:paraId="3C4F102A" w14:textId="77777777" w:rsidR="0017600E" w:rsidRPr="00EC4612" w:rsidRDefault="0017600E" w:rsidP="009B6C0D">
            <w:pPr>
              <w:spacing w:after="0"/>
              <w:jc w:val="center"/>
              <w:rPr>
                <w:b/>
              </w:rPr>
            </w:pPr>
            <w:r w:rsidRPr="00EC4612">
              <w:rPr>
                <w:b/>
              </w:rPr>
              <w:t>Y3</w:t>
            </w:r>
          </w:p>
        </w:tc>
        <w:tc>
          <w:tcPr>
            <w:tcW w:w="3905" w:type="dxa"/>
            <w:gridSpan w:val="2"/>
            <w:vMerge/>
            <w:tcBorders>
              <w:right w:val="single" w:sz="4" w:space="0" w:color="808080" w:themeColor="background1" w:themeShade="80"/>
            </w:tcBorders>
            <w:shd w:val="clear" w:color="auto" w:fill="F2F2F2" w:themeFill="background1" w:themeFillShade="F2"/>
          </w:tcPr>
          <w:p w14:paraId="402BFCE4" w14:textId="77777777" w:rsidR="0017600E" w:rsidRPr="005305D5" w:rsidRDefault="0017600E" w:rsidP="009B6C0D">
            <w:pPr>
              <w:spacing w:after="0"/>
            </w:pPr>
          </w:p>
        </w:tc>
      </w:tr>
      <w:tr w:rsidR="0017600E" w:rsidRPr="005305D5" w14:paraId="39980912" w14:textId="77777777" w:rsidTr="007543E4">
        <w:trPr>
          <w:trHeight w:val="522"/>
        </w:trPr>
        <w:tc>
          <w:tcPr>
            <w:tcW w:w="2136" w:type="dxa"/>
            <w:tcBorders>
              <w:left w:val="single" w:sz="4" w:space="0" w:color="808080" w:themeColor="background1" w:themeShade="80"/>
            </w:tcBorders>
            <w:vAlign w:val="center"/>
          </w:tcPr>
          <w:p w14:paraId="538D7721"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75202240"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6CCED55A"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55DBD14F" w14:textId="77777777" w:rsidR="0017600E" w:rsidRPr="005305D5" w:rsidRDefault="0017600E" w:rsidP="009B6C0D">
            <w:pPr>
              <w:pStyle w:val="ListParagraph"/>
              <w:spacing w:after="0"/>
            </w:pPr>
          </w:p>
        </w:tc>
        <w:tc>
          <w:tcPr>
            <w:tcW w:w="1184" w:type="dxa"/>
            <w:shd w:val="clear" w:color="auto" w:fill="FFFFFF" w:themeFill="text2" w:themeFillTint="33"/>
            <w:vAlign w:val="center"/>
          </w:tcPr>
          <w:p w14:paraId="6CF9A807" w14:textId="77777777" w:rsidR="0017600E" w:rsidRPr="005305D5" w:rsidRDefault="0017600E" w:rsidP="009B6C0D">
            <w:pPr>
              <w:pStyle w:val="ListParagraph"/>
              <w:spacing w:after="0"/>
            </w:pPr>
          </w:p>
        </w:tc>
        <w:tc>
          <w:tcPr>
            <w:tcW w:w="3905" w:type="dxa"/>
            <w:gridSpan w:val="2"/>
            <w:tcBorders>
              <w:right w:val="single" w:sz="4" w:space="0" w:color="808080" w:themeColor="background1" w:themeShade="80"/>
            </w:tcBorders>
            <w:vAlign w:val="center"/>
          </w:tcPr>
          <w:p w14:paraId="40AFF6B3" w14:textId="77777777" w:rsidR="0017600E" w:rsidRPr="005305D5" w:rsidRDefault="0017600E" w:rsidP="009B6C0D">
            <w:pPr>
              <w:spacing w:after="0"/>
            </w:pPr>
          </w:p>
        </w:tc>
      </w:tr>
      <w:tr w:rsidR="0017600E" w:rsidRPr="005305D5" w14:paraId="724B5D76" w14:textId="77777777" w:rsidTr="007543E4">
        <w:trPr>
          <w:trHeight w:val="559"/>
        </w:trPr>
        <w:tc>
          <w:tcPr>
            <w:tcW w:w="2136" w:type="dxa"/>
            <w:tcBorders>
              <w:left w:val="single" w:sz="4" w:space="0" w:color="808080" w:themeColor="background1" w:themeShade="80"/>
            </w:tcBorders>
            <w:vAlign w:val="center"/>
          </w:tcPr>
          <w:p w14:paraId="18A0BB6D"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69430DCD"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4C755D12"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4D804F15" w14:textId="77777777" w:rsidR="0017600E" w:rsidRPr="005305D5" w:rsidRDefault="0017600E" w:rsidP="009B6C0D">
            <w:pPr>
              <w:pStyle w:val="ListParagraph"/>
              <w:spacing w:after="0"/>
            </w:pPr>
          </w:p>
        </w:tc>
        <w:tc>
          <w:tcPr>
            <w:tcW w:w="1184" w:type="dxa"/>
            <w:shd w:val="clear" w:color="auto" w:fill="FFFFFF" w:themeFill="text2" w:themeFillTint="33"/>
            <w:vAlign w:val="center"/>
          </w:tcPr>
          <w:p w14:paraId="4E66C6C6" w14:textId="77777777" w:rsidR="0017600E" w:rsidRPr="005305D5" w:rsidRDefault="0017600E" w:rsidP="009B6C0D">
            <w:pPr>
              <w:pStyle w:val="ListParagraph"/>
              <w:spacing w:after="0"/>
            </w:pPr>
          </w:p>
        </w:tc>
        <w:tc>
          <w:tcPr>
            <w:tcW w:w="3905" w:type="dxa"/>
            <w:gridSpan w:val="2"/>
            <w:tcBorders>
              <w:right w:val="single" w:sz="4" w:space="0" w:color="808080" w:themeColor="background1" w:themeShade="80"/>
            </w:tcBorders>
            <w:vAlign w:val="center"/>
          </w:tcPr>
          <w:p w14:paraId="57E47438" w14:textId="77777777" w:rsidR="0017600E" w:rsidRPr="005305D5" w:rsidRDefault="0017600E" w:rsidP="009B6C0D">
            <w:pPr>
              <w:spacing w:after="0"/>
            </w:pPr>
          </w:p>
        </w:tc>
      </w:tr>
      <w:tr w:rsidR="0017600E" w:rsidRPr="005305D5" w14:paraId="6B767103" w14:textId="77777777" w:rsidTr="007543E4">
        <w:trPr>
          <w:trHeight w:val="553"/>
        </w:trPr>
        <w:tc>
          <w:tcPr>
            <w:tcW w:w="2136" w:type="dxa"/>
            <w:tcBorders>
              <w:left w:val="single" w:sz="4" w:space="0" w:color="808080" w:themeColor="background1" w:themeShade="80"/>
            </w:tcBorders>
            <w:vAlign w:val="center"/>
          </w:tcPr>
          <w:p w14:paraId="504D5EE5" w14:textId="77777777" w:rsidR="0017600E" w:rsidRPr="005305D5" w:rsidRDefault="0017600E" w:rsidP="009B6C0D">
            <w:pPr>
              <w:pStyle w:val="ListParagraph"/>
              <w:spacing w:after="0"/>
              <w:rPr>
                <w:b/>
                <w:bCs/>
                <w:i/>
                <w:iCs/>
              </w:rPr>
            </w:pPr>
            <w:r w:rsidRPr="005305D5">
              <w:t>Add rows if necessary</w:t>
            </w:r>
          </w:p>
        </w:tc>
        <w:tc>
          <w:tcPr>
            <w:tcW w:w="1183" w:type="dxa"/>
            <w:shd w:val="clear" w:color="auto" w:fill="FFFFFF" w:themeFill="text2" w:themeFillTint="33"/>
            <w:vAlign w:val="center"/>
          </w:tcPr>
          <w:p w14:paraId="433E47BD"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4753019D"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5671C9B6" w14:textId="77777777" w:rsidR="0017600E" w:rsidRPr="005305D5" w:rsidRDefault="0017600E" w:rsidP="009B6C0D">
            <w:pPr>
              <w:pStyle w:val="ListParagraph"/>
              <w:spacing w:after="0"/>
            </w:pPr>
          </w:p>
        </w:tc>
        <w:tc>
          <w:tcPr>
            <w:tcW w:w="1184" w:type="dxa"/>
            <w:shd w:val="clear" w:color="auto" w:fill="FFFFFF" w:themeFill="text2" w:themeFillTint="33"/>
            <w:vAlign w:val="center"/>
          </w:tcPr>
          <w:p w14:paraId="6654379D" w14:textId="77777777" w:rsidR="0017600E" w:rsidRPr="005305D5" w:rsidRDefault="0017600E" w:rsidP="009B6C0D">
            <w:pPr>
              <w:pStyle w:val="ListParagraph"/>
              <w:spacing w:after="0"/>
            </w:pPr>
          </w:p>
        </w:tc>
        <w:tc>
          <w:tcPr>
            <w:tcW w:w="3905" w:type="dxa"/>
            <w:gridSpan w:val="2"/>
            <w:tcBorders>
              <w:right w:val="single" w:sz="4" w:space="0" w:color="808080" w:themeColor="background1" w:themeShade="80"/>
            </w:tcBorders>
            <w:vAlign w:val="center"/>
          </w:tcPr>
          <w:p w14:paraId="47E65C79" w14:textId="77777777" w:rsidR="0017600E" w:rsidRPr="005305D5" w:rsidRDefault="0017600E" w:rsidP="009B6C0D">
            <w:pPr>
              <w:spacing w:after="0"/>
            </w:pPr>
          </w:p>
        </w:tc>
      </w:tr>
      <w:tr w:rsidR="004F1255" w:rsidRPr="005305D5" w14:paraId="6CDAB9C2" w14:textId="77777777" w:rsidTr="004F1255">
        <w:trPr>
          <w:trHeight w:val="553"/>
        </w:trPr>
        <w:tc>
          <w:tcPr>
            <w:tcW w:w="8039" w:type="dxa"/>
            <w:gridSpan w:val="6"/>
            <w:tcBorders>
              <w:left w:val="single" w:sz="4" w:space="0" w:color="808080" w:themeColor="background1" w:themeShade="80"/>
            </w:tcBorders>
            <w:shd w:val="clear" w:color="auto" w:fill="D9D9D9" w:themeFill="background1" w:themeFillShade="D9"/>
            <w:vAlign w:val="center"/>
          </w:tcPr>
          <w:p w14:paraId="74B19AC5" w14:textId="611E65D4" w:rsidR="004F1255" w:rsidRPr="004F1255" w:rsidRDefault="004F1255" w:rsidP="009B6C0D">
            <w:pPr>
              <w:spacing w:after="0"/>
              <w:jc w:val="right"/>
              <w:rPr>
                <w:b/>
              </w:rPr>
            </w:pPr>
            <w:r w:rsidRPr="004F1255">
              <w:rPr>
                <w:b/>
              </w:rPr>
              <w:t>Total amount requested from the Global Fund</w:t>
            </w:r>
          </w:p>
        </w:tc>
        <w:tc>
          <w:tcPr>
            <w:tcW w:w="2735" w:type="dxa"/>
            <w:tcBorders>
              <w:right w:val="single" w:sz="4" w:space="0" w:color="808080" w:themeColor="background1" w:themeShade="80"/>
            </w:tcBorders>
            <w:vAlign w:val="center"/>
          </w:tcPr>
          <w:p w14:paraId="5C8B737F" w14:textId="77777777" w:rsidR="004F1255" w:rsidRPr="005305D5" w:rsidRDefault="004F1255" w:rsidP="009B6C0D">
            <w:pPr>
              <w:spacing w:after="0"/>
            </w:pPr>
          </w:p>
        </w:tc>
      </w:tr>
    </w:tbl>
    <w:p w14:paraId="28F68CEF" w14:textId="0AED47F2" w:rsidR="00DE1608" w:rsidRDefault="00DE1608" w:rsidP="00A54AAB">
      <w:pPr>
        <w:spacing w:after="0" w:line="260" w:lineRule="atLeast"/>
        <w:rPr>
          <w:rFonts w:eastAsia="Calibri"/>
        </w:rPr>
      </w:pPr>
    </w:p>
    <w:p w14:paraId="4438AAD6" w14:textId="77777777" w:rsidR="007346DA" w:rsidRPr="0059650E" w:rsidRDefault="007346DA" w:rsidP="007346DA">
      <w:pPr>
        <w:autoSpaceDE w:val="0"/>
        <w:autoSpaceDN w:val="0"/>
        <w:spacing w:after="0" w:line="240" w:lineRule="auto"/>
      </w:pPr>
      <w:r>
        <w:t xml:space="preserve">Specify how the </w:t>
      </w:r>
      <w:r w:rsidRPr="00151A3B">
        <w:t>accuracy and reliability of the reported results</w:t>
      </w:r>
      <w:r>
        <w:t xml:space="preserve"> will be ensured</w:t>
      </w:r>
      <w:r w:rsidRPr="00151A3B">
        <w:t>.</w:t>
      </w:r>
    </w:p>
    <w:p w14:paraId="0DEB256B" w14:textId="77777777" w:rsidR="0059650E" w:rsidRDefault="0059650E" w:rsidP="00A54AAB">
      <w:pPr>
        <w:spacing w:after="0" w:line="260" w:lineRule="atLeast"/>
        <w:rPr>
          <w:rFonts w:eastAsia="Calibri"/>
        </w:rPr>
      </w:pPr>
    </w:p>
    <w:tbl>
      <w:tblPr>
        <w:tblStyle w:val="TableGrid"/>
        <w:tblW w:w="0" w:type="auto"/>
        <w:tblLook w:val="04A0" w:firstRow="1" w:lastRow="0" w:firstColumn="1" w:lastColumn="0" w:noHBand="0" w:noVBand="1"/>
      </w:tblPr>
      <w:tblGrid>
        <w:gridCol w:w="10456"/>
      </w:tblGrid>
      <w:tr w:rsidR="0059650E" w:rsidRPr="005305D5" w14:paraId="6E77E224" w14:textId="77777777" w:rsidTr="0027165B">
        <w:tc>
          <w:tcPr>
            <w:tcW w:w="10790" w:type="dxa"/>
          </w:tcPr>
          <w:p w14:paraId="5C647E5E" w14:textId="77777777" w:rsidR="0059650E" w:rsidRPr="005305D5" w:rsidRDefault="0059650E" w:rsidP="0027165B">
            <w:pPr>
              <w:spacing w:after="0"/>
            </w:pPr>
            <w:r w:rsidRPr="005305D5">
              <w:t>[Applicant response]</w:t>
            </w:r>
          </w:p>
          <w:p w14:paraId="1650D516" w14:textId="77777777" w:rsidR="0059650E" w:rsidRPr="005305D5" w:rsidRDefault="0059650E" w:rsidP="0027165B">
            <w:pPr>
              <w:spacing w:after="0"/>
            </w:pPr>
          </w:p>
          <w:p w14:paraId="360B66EA" w14:textId="77777777" w:rsidR="0059650E" w:rsidRPr="005305D5" w:rsidRDefault="0059650E" w:rsidP="0027165B">
            <w:pPr>
              <w:spacing w:after="0"/>
            </w:pPr>
          </w:p>
        </w:tc>
      </w:tr>
    </w:tbl>
    <w:p w14:paraId="1CB2D38F" w14:textId="082B75B1" w:rsidR="0059650E" w:rsidRPr="00A54AAB" w:rsidRDefault="0059650E" w:rsidP="00A54AAB">
      <w:pPr>
        <w:spacing w:after="0" w:line="260" w:lineRule="atLeast"/>
        <w:rPr>
          <w:rFonts w:eastAsia="Calibri"/>
        </w:rPr>
      </w:pPr>
    </w:p>
    <w:p w14:paraId="576873EB" w14:textId="0FBCFAC1" w:rsidR="009B6C0D" w:rsidRPr="00B05D13" w:rsidRDefault="00DE5CEF" w:rsidP="00C57762">
      <w:pPr>
        <w:pStyle w:val="ListParagraph"/>
        <w:numPr>
          <w:ilvl w:val="0"/>
          <w:numId w:val="20"/>
        </w:numPr>
        <w:spacing w:after="0" w:line="260" w:lineRule="atLeast"/>
        <w:ind w:left="450" w:hanging="450"/>
        <w:rPr>
          <w:rFonts w:eastAsia="Calibri"/>
        </w:rPr>
      </w:pPr>
      <w:bookmarkStart w:id="15" w:name="_Hlk11416730"/>
      <w:r w:rsidRPr="004F1255">
        <w:rPr>
          <w:rFonts w:eastAsia="Calibri"/>
          <w:b/>
        </w:rPr>
        <w:t xml:space="preserve">Opportunities for integration: </w:t>
      </w:r>
      <w:r w:rsidR="00CA301B">
        <w:rPr>
          <w:rFonts w:eastAsia="Calibri"/>
        </w:rPr>
        <w:t>E</w:t>
      </w:r>
      <w:r w:rsidRPr="004F1255">
        <w:rPr>
          <w:rFonts w:eastAsia="Calibri"/>
        </w:rPr>
        <w:t xml:space="preserve">xplain how the proposed investments take into consideration: </w:t>
      </w:r>
    </w:p>
    <w:p w14:paraId="343949A2" w14:textId="4DD70980" w:rsidR="00DE5CEF" w:rsidRPr="004F1255" w:rsidRDefault="006D0956" w:rsidP="00C57762">
      <w:pPr>
        <w:pStyle w:val="ListParagraph"/>
        <w:numPr>
          <w:ilvl w:val="0"/>
          <w:numId w:val="27"/>
        </w:numPr>
        <w:spacing w:after="0" w:line="260" w:lineRule="atLeast"/>
        <w:rPr>
          <w:rFonts w:eastAsia="Calibri"/>
        </w:rPr>
      </w:pPr>
      <w:r>
        <w:rPr>
          <w:rFonts w:eastAsia="Calibri"/>
        </w:rPr>
        <w:t>N</w:t>
      </w:r>
      <w:r w:rsidR="00DE5CEF" w:rsidRPr="004F1255">
        <w:rPr>
          <w:rFonts w:eastAsia="Calibri"/>
        </w:rPr>
        <w:t>eeds across the three diseases and other related health programs</w:t>
      </w:r>
      <w:r>
        <w:rPr>
          <w:rFonts w:eastAsia="Calibri"/>
        </w:rPr>
        <w:t>;</w:t>
      </w:r>
      <w:r w:rsidR="00DE5CEF" w:rsidRPr="004F1255">
        <w:rPr>
          <w:rFonts w:eastAsia="Calibri"/>
        </w:rPr>
        <w:t xml:space="preserve"> </w:t>
      </w:r>
    </w:p>
    <w:p w14:paraId="14CA95A9" w14:textId="5D33D270" w:rsidR="00DE5CEF" w:rsidRPr="009B6C0D" w:rsidRDefault="006D0956" w:rsidP="00C57762">
      <w:pPr>
        <w:pStyle w:val="ListParagraph"/>
        <w:numPr>
          <w:ilvl w:val="0"/>
          <w:numId w:val="27"/>
        </w:numPr>
        <w:spacing w:after="0" w:line="260" w:lineRule="atLeast"/>
        <w:rPr>
          <w:rFonts w:eastAsia="Calibri"/>
        </w:rPr>
      </w:pPr>
      <w:r>
        <w:rPr>
          <w:rFonts w:eastAsia="Calibri"/>
        </w:rPr>
        <w:t>L</w:t>
      </w:r>
      <w:r w:rsidR="00DE5CEF" w:rsidRPr="004F1255">
        <w:rPr>
          <w:rFonts w:eastAsia="Calibri"/>
        </w:rPr>
        <w:t>inks with the broader health systems to improve disease outcomes, efficiency and program sustainability.</w:t>
      </w:r>
      <w:r w:rsidR="00DE5CEF" w:rsidRPr="004F1255">
        <w:rPr>
          <w:rFonts w:eastAsia="Calibri"/>
          <w:b/>
        </w:rPr>
        <w:t xml:space="preserve"> </w:t>
      </w:r>
    </w:p>
    <w:p w14:paraId="281D0B40" w14:textId="77777777" w:rsidR="009B6C0D" w:rsidRPr="004F1255" w:rsidRDefault="009B6C0D" w:rsidP="009B6C0D">
      <w:pPr>
        <w:pStyle w:val="ListParagraph"/>
        <w:spacing w:after="0" w:line="260" w:lineRule="atLeast"/>
        <w:ind w:left="1440"/>
        <w:rPr>
          <w:rFonts w:eastAsia="Calibri"/>
        </w:rPr>
      </w:pPr>
    </w:p>
    <w:tbl>
      <w:tblPr>
        <w:tblStyle w:val="TableGrid"/>
        <w:tblW w:w="0" w:type="auto"/>
        <w:tblLook w:val="04A0" w:firstRow="1" w:lastRow="0" w:firstColumn="1" w:lastColumn="0" w:noHBand="0" w:noVBand="1"/>
      </w:tblPr>
      <w:tblGrid>
        <w:gridCol w:w="10456"/>
      </w:tblGrid>
      <w:tr w:rsidR="00DE5CEF" w:rsidRPr="005305D5" w14:paraId="3E9BC23D" w14:textId="77777777" w:rsidTr="007543E4">
        <w:tc>
          <w:tcPr>
            <w:tcW w:w="10790" w:type="dxa"/>
          </w:tcPr>
          <w:p w14:paraId="3ADC24A6" w14:textId="1E301184" w:rsidR="00DE5CEF" w:rsidRPr="005305D5" w:rsidRDefault="00DE5CEF" w:rsidP="009B6C0D">
            <w:pPr>
              <w:spacing w:after="0"/>
            </w:pPr>
            <w:bookmarkStart w:id="16" w:name="_Hlk15391278"/>
            <w:r w:rsidRPr="000B412F">
              <w:rPr>
                <w:highlight w:val="yellow"/>
              </w:rPr>
              <w:t>[Applicant response]</w:t>
            </w:r>
            <w:r w:rsidR="000B412F" w:rsidRPr="000B412F">
              <w:rPr>
                <w:highlight w:val="yellow"/>
              </w:rPr>
              <w:t xml:space="preserve"> 1 Page</w:t>
            </w:r>
          </w:p>
          <w:p w14:paraId="48ADCA6E" w14:textId="7FC8575F" w:rsidR="000B412F" w:rsidRPr="000B412F" w:rsidRDefault="000B412F" w:rsidP="000B412F">
            <w:pPr>
              <w:spacing w:after="0"/>
              <w:jc w:val="both"/>
            </w:pPr>
            <w:r w:rsidRPr="000B412F">
              <w:t xml:space="preserve">In the HIV programme, ASP has effective collaboration with the NTP and it has been implementing TB/HIV collaborative activities since </w:t>
            </w:r>
            <w:r w:rsidR="008D0D5C">
              <w:t xml:space="preserve">GF </w:t>
            </w:r>
            <w:r w:rsidRPr="000B412F">
              <w:t xml:space="preserve">Round 5. The </w:t>
            </w:r>
            <w:r w:rsidR="008D0D5C">
              <w:t xml:space="preserve">SRH </w:t>
            </w:r>
            <w:r w:rsidRPr="000B412F">
              <w:t xml:space="preserve">issues including complex STIs are also being addressed through and has referral linkage with government facilities. </w:t>
            </w:r>
          </w:p>
          <w:p w14:paraId="4E3BC3B7" w14:textId="65D9C00A" w:rsidR="000B412F" w:rsidRPr="000B412F" w:rsidRDefault="000B412F" w:rsidP="000B412F">
            <w:pPr>
              <w:spacing w:after="0"/>
              <w:jc w:val="both"/>
            </w:pPr>
            <w:r w:rsidRPr="000B412F">
              <w:rPr>
                <w:b/>
                <w:bCs/>
              </w:rPr>
              <w:t>TB/HIV collaborative activities</w:t>
            </w:r>
            <w:r w:rsidRPr="000B412F">
              <w:t>: TB, leprosy and AIDS/STD program (TB-L &amp; ASP) are considered under a single entity in the government OP and single management in the 4</w:t>
            </w:r>
            <w:r w:rsidRPr="001D6A73">
              <w:rPr>
                <w:vertAlign w:val="superscript"/>
              </w:rPr>
              <w:t>th</w:t>
            </w:r>
            <w:r w:rsidR="00CA7D64">
              <w:t xml:space="preserve"> </w:t>
            </w:r>
            <w:r w:rsidRPr="000B412F">
              <w:t>health sector program which allows for better coordination. However, activities of each program and budgetary allocation are distinct. This funding request has proposed a TB-HIV module similar as earlier grants where TB case detection expects to be enhanced among the KPs and will be referred to public health system for further treatment. Similarly, under NTP, TB patients are to be screened for HIV from selected DOTS centers. In addition, TB patients can access government operated HTS centers for HIV testing. Coordination with the NTP</w:t>
            </w:r>
            <w:r w:rsidRPr="000B412F">
              <w:fldChar w:fldCharType="begin"/>
            </w:r>
            <w:r w:rsidRPr="000B412F">
              <w:instrText xml:space="preserve"> TA \l "NTP: National Tuberculosis Programme" \s "NTP" \c 1 </w:instrText>
            </w:r>
            <w:r w:rsidRPr="000B412F">
              <w:fldChar w:fldCharType="end"/>
            </w:r>
            <w:r w:rsidRPr="000B412F">
              <w:t>, BRAC, WHO, USAID and other relevant stakeholders will be continued. The National TB/HIV Coordination Committee is functional. Strengthening of the collaboration between ASP and NTP is well addressed under one operational plan and one Line Director (LD</w:t>
            </w:r>
            <w:r w:rsidRPr="000B412F">
              <w:fldChar w:fldCharType="begin"/>
            </w:r>
            <w:r w:rsidRPr="000B412F">
              <w:instrText xml:space="preserve"> TA \l "LD: Line Director" \s "LD" \c 1 </w:instrText>
            </w:r>
            <w:r w:rsidRPr="000B412F">
              <w:fldChar w:fldCharType="end"/>
            </w:r>
            <w:r w:rsidRPr="000B412F">
              <w:t xml:space="preserve">).  There is a national TB/HIV guideline is being implemented. </w:t>
            </w:r>
          </w:p>
          <w:p w14:paraId="65D01094" w14:textId="30C248FD" w:rsidR="000B412F" w:rsidRPr="000B412F" w:rsidRDefault="000B412F" w:rsidP="000B412F">
            <w:pPr>
              <w:spacing w:after="0"/>
              <w:jc w:val="both"/>
            </w:pPr>
            <w:r w:rsidRPr="000B412F">
              <w:rPr>
                <w:b/>
                <w:bCs/>
              </w:rPr>
              <w:t>HIV treatment and care in Government setting</w:t>
            </w:r>
            <w:r w:rsidRPr="000B412F">
              <w:t>: ASP takes lead for providing ART services to the PLHIV from 10 public facilities from OP budget. It has planned to expand the ART services to 04 more centers from government budget</w:t>
            </w:r>
            <w:r w:rsidR="001C7EFB">
              <w:t xml:space="preserve"> in coming days</w:t>
            </w:r>
            <w:r w:rsidRPr="000B412F">
              <w:t xml:space="preserve">. The PLHIV are connected to each of the treatment and care center based on its </w:t>
            </w:r>
            <w:r w:rsidR="008D0D5C">
              <w:t xml:space="preserve">vicinity </w:t>
            </w:r>
            <w:r w:rsidRPr="000B412F">
              <w:t>since 2017 and it has been successfully us</w:t>
            </w:r>
            <w:r w:rsidR="008D0D5C">
              <w:t>ing</w:t>
            </w:r>
            <w:r w:rsidRPr="000B412F">
              <w:t xml:space="preserve"> by the PLHIV. ASP is willing to extend its HTS services to 28 districts capturing all 23 priority districts.  </w:t>
            </w:r>
          </w:p>
          <w:p w14:paraId="7A18FA71" w14:textId="2876E2C2" w:rsidR="000B412F" w:rsidRPr="000B412F" w:rsidRDefault="000B412F" w:rsidP="000B412F">
            <w:pPr>
              <w:spacing w:after="0"/>
              <w:jc w:val="both"/>
            </w:pPr>
            <w:r w:rsidRPr="000B412F">
              <w:rPr>
                <w:b/>
                <w:bCs/>
              </w:rPr>
              <w:t>Laboratory system</w:t>
            </w:r>
            <w:r w:rsidRPr="000B412F">
              <w:t xml:space="preserve">:  ASP has planned to link with all the DOTS centers at 28 districts and the laboratories for better coordination for HTS and using those laboratories capacity for HTS but using gene-expert machines. The selected medical college hospitals/district hospitals where ART services are linked will be formally networked with this reference laboratory for triple elimination (HIV, Syphilis and Hepatitis). The diagnosed cases will be reported to HMIS and will be referred to treatment for respective ART center. </w:t>
            </w:r>
          </w:p>
          <w:p w14:paraId="2B4CCAD8" w14:textId="6C3870A4" w:rsidR="000B412F" w:rsidRPr="000B412F" w:rsidRDefault="000B412F" w:rsidP="000B412F">
            <w:pPr>
              <w:spacing w:after="0"/>
              <w:jc w:val="both"/>
            </w:pPr>
            <w:r w:rsidRPr="000B412F">
              <w:rPr>
                <w:b/>
                <w:bCs/>
              </w:rPr>
              <w:t>Health Management Information Systems (HMIS) and M&amp; E:</w:t>
            </w:r>
            <w:r w:rsidRPr="000B412F">
              <w:t xml:space="preserve"> Government already has established and well run DHIS2 to capture service statistics of GF funded KP interventions. However, system strengthening is being proposed for monthly reporting system to capture data from government and NGO facilities where KPs will </w:t>
            </w:r>
            <w:r w:rsidR="008D0D5C">
              <w:t xml:space="preserve">take </w:t>
            </w:r>
            <w:r w:rsidRPr="000B412F">
              <w:t>services. The OST and ART data yet to be reported in national HMIS. HMIS strengthening is proposed for the upcoming grant</w:t>
            </w:r>
            <w:r w:rsidR="008D0D5C">
              <w:t>.</w:t>
            </w:r>
            <w:r w:rsidRPr="000B412F">
              <w:t xml:space="preserve">   </w:t>
            </w:r>
          </w:p>
          <w:p w14:paraId="3C0E9BCF" w14:textId="48C417ED" w:rsidR="000B412F" w:rsidRPr="000B412F" w:rsidRDefault="000B412F" w:rsidP="000B412F">
            <w:pPr>
              <w:spacing w:after="0"/>
              <w:jc w:val="both"/>
            </w:pPr>
            <w:r w:rsidRPr="000B412F">
              <w:rPr>
                <w:b/>
                <w:bCs/>
              </w:rPr>
              <w:t>Integrated service delivery and quality improvement</w:t>
            </w:r>
            <w:r w:rsidRPr="000B412F">
              <w:t xml:space="preserve">:  </w:t>
            </w:r>
            <w:r w:rsidR="000646AC">
              <w:t>D</w:t>
            </w:r>
            <w:r w:rsidRPr="000B412F">
              <w:t xml:space="preserve">ifferentiated </w:t>
            </w:r>
            <w:r w:rsidR="000646AC">
              <w:t xml:space="preserve">HTS and </w:t>
            </w:r>
            <w:r w:rsidRPr="000B412F">
              <w:t xml:space="preserve">ART services at 28 public facilities will be established based on concentration of PLHIV of the specific districts and co-financing will be adopted. Capacity building of DGHS staff will be required for integration from upcoming grant. However, for quality improvement capacity building of staff will be needed from grant money and which will be leading sustainability of the programme. </w:t>
            </w:r>
          </w:p>
          <w:p w14:paraId="177C17CA" w14:textId="43CCD252" w:rsidR="000B412F" w:rsidRPr="000B412F" w:rsidRDefault="000B412F" w:rsidP="000B412F">
            <w:pPr>
              <w:spacing w:after="0"/>
              <w:jc w:val="both"/>
              <w:rPr>
                <w:b/>
                <w:bCs/>
              </w:rPr>
            </w:pPr>
            <w:r w:rsidRPr="000B412F">
              <w:rPr>
                <w:b/>
                <w:bCs/>
              </w:rPr>
              <w:t xml:space="preserve">Health products management system: </w:t>
            </w:r>
            <w:r w:rsidRPr="000B412F">
              <w:t xml:space="preserve">ASP will take lead for health product management system including procurement of condom, needle-syringe, OST drugs and ARV from government OP budget to integrate with the programme. </w:t>
            </w:r>
          </w:p>
          <w:p w14:paraId="0EA94DB8" w14:textId="77777777" w:rsidR="000B412F" w:rsidRPr="000B412F" w:rsidRDefault="000B412F" w:rsidP="000B412F">
            <w:pPr>
              <w:spacing w:after="0"/>
              <w:jc w:val="both"/>
            </w:pPr>
            <w:r w:rsidRPr="000B412F">
              <w:rPr>
                <w:b/>
                <w:bCs/>
              </w:rPr>
              <w:t>Coordination</w:t>
            </w:r>
            <w:r w:rsidRPr="000B412F">
              <w:t xml:space="preserve">: Coordination with other ministries, directorates, DNC and other relevant areas will be done from upcoming grants. and the joint activity with other HIV PRs will be taken to execute differentiated ART services; ASP will implement all the activities from central level with the active engagement of district health managers and hospital superintendent/ Directors where needed. </w:t>
            </w:r>
          </w:p>
          <w:p w14:paraId="2AACB4AB" w14:textId="5B0D1B21" w:rsidR="00DE5CEF" w:rsidRPr="005305D5" w:rsidRDefault="000B412F" w:rsidP="008D0D5C">
            <w:pPr>
              <w:spacing w:after="0"/>
              <w:jc w:val="both"/>
            </w:pPr>
            <w:r w:rsidRPr="000B412F">
              <w:rPr>
                <w:b/>
                <w:bCs/>
              </w:rPr>
              <w:t>Human Resources</w:t>
            </w:r>
            <w:r w:rsidRPr="000B412F">
              <w:t xml:space="preserve"> (HR): The health care providers in the national system will be trained to provide quality services to KPs and to address its medical, SRH need from existing system. ASP and government’s active role and co-financing policy to integrate different HIV interventions to national system will lead to sustainability and the KPs will be counted as mainstreamed service recipients. </w:t>
            </w:r>
          </w:p>
        </w:tc>
      </w:tr>
      <w:bookmarkEnd w:id="16"/>
    </w:tbl>
    <w:p w14:paraId="66603989" w14:textId="56F49F53" w:rsidR="00DE1608" w:rsidRPr="004F1255" w:rsidRDefault="00DE1608" w:rsidP="009B6C0D">
      <w:pPr>
        <w:spacing w:after="0" w:line="260" w:lineRule="atLeast"/>
        <w:rPr>
          <w:rFonts w:eastAsia="Calibri"/>
          <w:highlight w:val="yellow"/>
        </w:rPr>
      </w:pPr>
    </w:p>
    <w:p w14:paraId="51D13D88" w14:textId="4C45AB98" w:rsidR="004B4C1B" w:rsidRDefault="000D0B32" w:rsidP="00C57762">
      <w:pPr>
        <w:pStyle w:val="ListParagraph"/>
        <w:numPr>
          <w:ilvl w:val="0"/>
          <w:numId w:val="20"/>
        </w:numPr>
        <w:spacing w:after="0" w:line="260" w:lineRule="atLeast"/>
        <w:ind w:left="450" w:hanging="450"/>
        <w:rPr>
          <w:rFonts w:eastAsia="Calibri"/>
        </w:rPr>
      </w:pPr>
      <w:r w:rsidRPr="004F1255">
        <w:rPr>
          <w:rFonts w:eastAsia="Calibri"/>
        </w:rPr>
        <w:t xml:space="preserve">Summarize </w:t>
      </w:r>
      <w:r w:rsidR="004B4C1B" w:rsidRPr="004F1255">
        <w:rPr>
          <w:rFonts w:eastAsia="Calibri"/>
        </w:rPr>
        <w:t xml:space="preserve">how the funding request complies with the </w:t>
      </w:r>
      <w:r w:rsidR="009B6C0D">
        <w:rPr>
          <w:rFonts w:eastAsia="Calibri"/>
          <w:b/>
        </w:rPr>
        <w:t>application</w:t>
      </w:r>
      <w:r w:rsidR="004B4C1B" w:rsidRPr="00BC5A41">
        <w:rPr>
          <w:rFonts w:eastAsia="Calibri"/>
          <w:b/>
        </w:rPr>
        <w:t xml:space="preserve"> </w:t>
      </w:r>
      <w:r w:rsidR="00281B38">
        <w:rPr>
          <w:rFonts w:eastAsia="Calibri"/>
          <w:b/>
        </w:rPr>
        <w:t xml:space="preserve">focus </w:t>
      </w:r>
      <w:r w:rsidR="004B4C1B" w:rsidRPr="00BC5A41">
        <w:rPr>
          <w:rFonts w:eastAsia="Calibri"/>
          <w:b/>
        </w:rPr>
        <w:t>requirements</w:t>
      </w:r>
      <w:r w:rsidR="004B4C1B" w:rsidRPr="004F1255">
        <w:rPr>
          <w:rFonts w:eastAsia="Calibri"/>
        </w:rPr>
        <w:t xml:space="preserve"> specified in the allocation letter</w:t>
      </w:r>
      <w:r w:rsidRPr="004F1255">
        <w:rPr>
          <w:rFonts w:eastAsia="Calibri"/>
        </w:rPr>
        <w:t>.</w:t>
      </w:r>
    </w:p>
    <w:p w14:paraId="67A8850A" w14:textId="77777777" w:rsidR="009B6C0D" w:rsidRPr="004F1255" w:rsidRDefault="009B6C0D" w:rsidP="009B6C0D">
      <w:pPr>
        <w:pStyle w:val="ListParagraph"/>
        <w:spacing w:after="0" w:line="260" w:lineRule="atLeast"/>
        <w:ind w:left="450"/>
        <w:rPr>
          <w:rFonts w:eastAsia="Calibri"/>
        </w:rPr>
      </w:pPr>
    </w:p>
    <w:tbl>
      <w:tblPr>
        <w:tblStyle w:val="TableGrid"/>
        <w:tblW w:w="0" w:type="auto"/>
        <w:tblLook w:val="04A0" w:firstRow="1" w:lastRow="0" w:firstColumn="1" w:lastColumn="0" w:noHBand="0" w:noVBand="1"/>
      </w:tblPr>
      <w:tblGrid>
        <w:gridCol w:w="10456"/>
      </w:tblGrid>
      <w:tr w:rsidR="004B4C1B" w:rsidRPr="005305D5" w14:paraId="235D17CD" w14:textId="77777777" w:rsidTr="00D63E4B">
        <w:tc>
          <w:tcPr>
            <w:tcW w:w="10790" w:type="dxa"/>
          </w:tcPr>
          <w:p w14:paraId="4823391A" w14:textId="0C5D76AD" w:rsidR="000646AC" w:rsidRPr="004840EC" w:rsidRDefault="004B4C1B" w:rsidP="000646AC">
            <w:pPr>
              <w:spacing w:after="0"/>
            </w:pPr>
            <w:r w:rsidRPr="0053742B">
              <w:rPr>
                <w:highlight w:val="yellow"/>
              </w:rPr>
              <w:t>[Applicant response]</w:t>
            </w:r>
            <w:r w:rsidR="000646AC" w:rsidRPr="0053742B">
              <w:rPr>
                <w:highlight w:val="yellow"/>
              </w:rPr>
              <w:t xml:space="preserve"> 1 Page</w:t>
            </w:r>
            <w:r w:rsidR="000646AC" w:rsidRPr="004840EC">
              <w:t xml:space="preserve"> </w:t>
            </w:r>
          </w:p>
          <w:p w14:paraId="0A527929" w14:textId="77777777" w:rsidR="000646AC" w:rsidRPr="000646AC" w:rsidRDefault="000646AC" w:rsidP="000646AC">
            <w:pPr>
              <w:spacing w:after="0"/>
              <w:jc w:val="both"/>
            </w:pPr>
            <w:r w:rsidRPr="000646AC">
              <w:t xml:space="preserve">The proposal for upcoming grant 2020-2023 is developed based on evidences of HIV epidemiological context, disease burden, KPs’ vulnerability to HIV, need for community system strengthening, country financial status as lower lower-middle-income country and the supports need </w:t>
            </w:r>
            <w:bookmarkStart w:id="17" w:name="_Hlk34825079"/>
            <w:r w:rsidRPr="000646AC">
              <w:t>Resilient and Sustainable System for Health</w:t>
            </w:r>
            <w:bookmarkEnd w:id="17"/>
            <w:r w:rsidRPr="000646AC">
              <w:t xml:space="preserve"> (RSSH</w:t>
            </w:r>
            <w:r w:rsidRPr="000646AC">
              <w:fldChar w:fldCharType="begin"/>
            </w:r>
            <w:r w:rsidRPr="000646AC">
              <w:instrText xml:space="preserve"> TA \l "RSSH: Resilient and Sustainable System for Health" \s "RSSH" \c 1 </w:instrText>
            </w:r>
            <w:r w:rsidRPr="000646AC">
              <w:fldChar w:fldCharType="end"/>
            </w:r>
            <w:r w:rsidRPr="000646AC">
              <w:t>).</w:t>
            </w:r>
          </w:p>
          <w:p w14:paraId="18FEBDCA" w14:textId="581FAA41" w:rsidR="000646AC" w:rsidRPr="000646AC" w:rsidRDefault="000646AC" w:rsidP="000646AC">
            <w:pPr>
              <w:spacing w:after="0"/>
              <w:jc w:val="both"/>
              <w:rPr>
                <w:i/>
                <w:iCs/>
              </w:rPr>
            </w:pPr>
            <w:r w:rsidRPr="000646AC">
              <w:rPr>
                <w:b/>
                <w:bCs/>
              </w:rPr>
              <w:t>The key populations</w:t>
            </w:r>
            <w:r w:rsidRPr="000646AC">
              <w:t xml:space="preserve">: this application is very much disease specific and the KP (PWID, FSW, MSM and hijra) focused. The proposed interventions will be addressed the entire HIV prevention and treatment cascade. HIV prevention cascade that consists of three key domains of motivation, access, and effective use of services by the key populations for preventive services, differentiated HIV test, treatment and care to close the gaps of 90-90-90 targets. The interventions will be extended to community level and at KPs’ </w:t>
            </w:r>
            <w:r w:rsidR="00771D1C" w:rsidRPr="004840EC">
              <w:t xml:space="preserve">vicinity </w:t>
            </w:r>
            <w:r w:rsidRPr="000646AC">
              <w:t xml:space="preserve">by satellite sessions, outlets, cruising points, both within hour and/or after hour.  </w:t>
            </w:r>
            <w:r w:rsidRPr="000646AC">
              <w:rPr>
                <w:i/>
                <w:iCs/>
              </w:rPr>
              <w:t>The total of 6</w:t>
            </w:r>
            <w:r w:rsidR="00595ADD">
              <w:rPr>
                <w:i/>
                <w:iCs/>
              </w:rPr>
              <w:t>6</w:t>
            </w:r>
            <w:r w:rsidRPr="000646AC">
              <w:rPr>
                <w:i/>
                <w:iCs/>
              </w:rPr>
              <w:t>% are proposed for entire prevention, testing and treatment and care interventions for KP; among those (5</w:t>
            </w:r>
            <w:r w:rsidR="00A16982">
              <w:rPr>
                <w:i/>
                <w:iCs/>
              </w:rPr>
              <w:t>9</w:t>
            </w:r>
            <w:r w:rsidRPr="000646AC">
              <w:rPr>
                <w:i/>
                <w:iCs/>
              </w:rPr>
              <w:t>% for prevention, 3.20 % for HIV testing, 3.</w:t>
            </w:r>
            <w:r w:rsidR="00A16982">
              <w:rPr>
                <w:i/>
                <w:iCs/>
              </w:rPr>
              <w:t>8</w:t>
            </w:r>
            <w:r w:rsidRPr="000646AC">
              <w:rPr>
                <w:i/>
                <w:iCs/>
              </w:rPr>
              <w:t xml:space="preserve">% for treatment and care. </w:t>
            </w:r>
          </w:p>
          <w:p w14:paraId="7FC3A214" w14:textId="6FBDE465" w:rsidR="000646AC" w:rsidRPr="000646AC" w:rsidRDefault="000646AC" w:rsidP="000646AC">
            <w:pPr>
              <w:spacing w:after="0"/>
              <w:jc w:val="both"/>
              <w:rPr>
                <w:i/>
                <w:iCs/>
              </w:rPr>
            </w:pPr>
            <w:r w:rsidRPr="000646AC">
              <w:rPr>
                <w:b/>
                <w:bCs/>
              </w:rPr>
              <w:t>Community systems</w:t>
            </w:r>
            <w:r w:rsidRPr="000646AC">
              <w:t xml:space="preserve">: the community involvement of each of the KP groups has been addressed from beginning of </w:t>
            </w:r>
            <w:r w:rsidR="00771D1C" w:rsidRPr="004840EC">
              <w:t xml:space="preserve">NSP and </w:t>
            </w:r>
            <w:r w:rsidRPr="000646AC">
              <w:t xml:space="preserve">proposal development. Investment in community system strengthening will be ensured through KPs’ participation in </w:t>
            </w:r>
            <w:r w:rsidR="00771D1C" w:rsidRPr="004840EC">
              <w:t>grant</w:t>
            </w:r>
            <w:r w:rsidRPr="000646AC">
              <w:t xml:space="preserve"> implementation at community level by different approaches e.g. peer to peer, community care, </w:t>
            </w:r>
            <w:r w:rsidR="00771D1C" w:rsidRPr="004840EC">
              <w:t xml:space="preserve">community monitoring, </w:t>
            </w:r>
            <w:r w:rsidRPr="000646AC">
              <w:t xml:space="preserve">increasing accessibility, reducing stigma and discrimination for the entire period which leads to sustainability. Both the NGO-PRs and ASP will directly work with community both at facility and out of facility to maximize its participation </w:t>
            </w:r>
            <w:r w:rsidR="00771D1C" w:rsidRPr="004840EC">
              <w:t>meaningfully</w:t>
            </w:r>
            <w:r w:rsidRPr="000646AC">
              <w:t xml:space="preserve">. </w:t>
            </w:r>
            <w:r w:rsidRPr="000646AC">
              <w:rPr>
                <w:i/>
                <w:iCs/>
              </w:rPr>
              <w:t xml:space="preserve">A total of 2.58% budget </w:t>
            </w:r>
            <w:r w:rsidR="00771D1C" w:rsidRPr="004840EC">
              <w:rPr>
                <w:i/>
                <w:iCs/>
              </w:rPr>
              <w:t xml:space="preserve">has proposed </w:t>
            </w:r>
            <w:r w:rsidRPr="000646AC">
              <w:rPr>
                <w:i/>
                <w:iCs/>
              </w:rPr>
              <w:t xml:space="preserve">for community system strengthening. </w:t>
            </w:r>
          </w:p>
          <w:p w14:paraId="0F2DE636" w14:textId="61C9C4AB" w:rsidR="000646AC" w:rsidRPr="000646AC" w:rsidRDefault="000646AC" w:rsidP="000646AC">
            <w:pPr>
              <w:spacing w:after="0"/>
              <w:jc w:val="both"/>
            </w:pPr>
            <w:r w:rsidRPr="000646AC">
              <w:rPr>
                <w:b/>
                <w:bCs/>
              </w:rPr>
              <w:t>Investment in health system</w:t>
            </w:r>
            <w:r w:rsidRPr="000646AC">
              <w:t>: The proposal emphasizes on improving the national HMIS for capturing quality</w:t>
            </w:r>
            <w:r w:rsidR="00771D1C" w:rsidRPr="004840EC">
              <w:t>, authentic</w:t>
            </w:r>
            <w:r w:rsidRPr="000646AC">
              <w:t xml:space="preserve"> and timely data. Quality improvement and continuum of care is the integral part of system enhancement and which need investment under health system improvement. Integration of services </w:t>
            </w:r>
            <w:r w:rsidR="00771D1C" w:rsidRPr="004840EC">
              <w:t xml:space="preserve">for KPs </w:t>
            </w:r>
            <w:r w:rsidRPr="000646AC">
              <w:t>with DGHS and DGFP</w:t>
            </w:r>
            <w:r w:rsidRPr="000646AC">
              <w:fldChar w:fldCharType="begin"/>
            </w:r>
            <w:r w:rsidRPr="000646AC">
              <w:instrText xml:space="preserve"> TA \l "DGFP: Directorate of Family Planning" \s "DGFP" \c 1 </w:instrText>
            </w:r>
            <w:r w:rsidRPr="000646AC">
              <w:fldChar w:fldCharType="end"/>
            </w:r>
            <w:r w:rsidRPr="000646AC">
              <w:t xml:space="preserve"> </w:t>
            </w:r>
            <w:r w:rsidR="00177134" w:rsidRPr="004840EC">
              <w:t xml:space="preserve">facilities </w:t>
            </w:r>
            <w:r w:rsidRPr="000646AC">
              <w:t>needs training and capacity building of the public sector service provides. ASP will adopt co-financing policy in different areas</w:t>
            </w:r>
            <w:r w:rsidR="00177134" w:rsidRPr="004840EC">
              <w:t xml:space="preserve"> of health system</w:t>
            </w:r>
            <w:r w:rsidRPr="000646AC">
              <w:t xml:space="preserve">. </w:t>
            </w:r>
            <w:r w:rsidRPr="000646AC">
              <w:rPr>
                <w:i/>
                <w:iCs/>
              </w:rPr>
              <w:t>A total of 3% budget is proposed for investment in health system</w:t>
            </w:r>
            <w:r w:rsidRPr="000646AC">
              <w:t xml:space="preserve"> for the entire programme cycle. Government will co-finance for its system strengthening.   </w:t>
            </w:r>
          </w:p>
          <w:p w14:paraId="6EE54C5A" w14:textId="20D6B594" w:rsidR="000646AC" w:rsidRPr="000646AC" w:rsidRDefault="000646AC" w:rsidP="000646AC">
            <w:pPr>
              <w:spacing w:after="0"/>
              <w:jc w:val="both"/>
              <w:rPr>
                <w:i/>
                <w:iCs/>
              </w:rPr>
            </w:pPr>
            <w:r w:rsidRPr="000646AC">
              <w:rPr>
                <w:b/>
                <w:bCs/>
              </w:rPr>
              <w:t xml:space="preserve">Investments in human rights and gender: </w:t>
            </w:r>
            <w:r w:rsidRPr="000646AC">
              <w:t xml:space="preserve">Bangladesh government has </w:t>
            </w:r>
            <w:r w:rsidR="00F40BC1" w:rsidRPr="004840EC">
              <w:t xml:space="preserve">proactive </w:t>
            </w:r>
            <w:r w:rsidRPr="000646AC">
              <w:t>role address</w:t>
            </w:r>
            <w:r w:rsidR="00F40BC1" w:rsidRPr="004840EC">
              <w:t>ing</w:t>
            </w:r>
            <w:r w:rsidRPr="000646AC">
              <w:t xml:space="preserve"> human rights and gender issues in many instances including recent voting right for hijra as a third gender but there are areas to be</w:t>
            </w:r>
            <w:r w:rsidR="00F40BC1" w:rsidRPr="004840EC">
              <w:t xml:space="preserve"> focused</w:t>
            </w:r>
            <w:r w:rsidRPr="000646AC">
              <w:t>. The National Task Force (NTF), which established under the leadership of the National Human Rights Commission and ASP to safeguard the human rights of KPs will continue to provide related services. However, the community need to be strengthened on raising its own voice and capacity of individual members</w:t>
            </w:r>
            <w:r w:rsidR="00F40BC1" w:rsidRPr="004840EC">
              <w:t>, which</w:t>
            </w:r>
            <w:r w:rsidRPr="000646AC">
              <w:t xml:space="preserve"> need to be promoted by</w:t>
            </w:r>
            <w:r w:rsidR="00CF7C98" w:rsidRPr="004840EC">
              <w:t xml:space="preserve"> capacity building</w:t>
            </w:r>
            <w:r w:rsidRPr="000646AC">
              <w:t xml:space="preserve">. </w:t>
            </w:r>
            <w:r w:rsidRPr="000646AC">
              <w:rPr>
                <w:i/>
                <w:iCs/>
              </w:rPr>
              <w:t xml:space="preserve">A total of 0.99% budget is proposed for investment in human rights and gender.  </w:t>
            </w:r>
          </w:p>
          <w:p w14:paraId="5F4337B2" w14:textId="4DBC98C8" w:rsidR="004B4C1B" w:rsidRDefault="000646AC" w:rsidP="004840EC">
            <w:pPr>
              <w:spacing w:after="0"/>
              <w:jc w:val="both"/>
            </w:pPr>
            <w:r w:rsidRPr="000646AC">
              <w:rPr>
                <w:b/>
                <w:bCs/>
              </w:rPr>
              <w:t>Co-financing</w:t>
            </w:r>
            <w:r w:rsidRPr="000646AC">
              <w:t>: GoB</w:t>
            </w:r>
            <w:r w:rsidRPr="000646AC">
              <w:fldChar w:fldCharType="begin"/>
            </w:r>
            <w:r w:rsidRPr="000646AC">
              <w:instrText xml:space="preserve"> TA \s "GoB" </w:instrText>
            </w:r>
            <w:r w:rsidRPr="000646AC">
              <w:fldChar w:fldCharType="end"/>
            </w:r>
            <w:r w:rsidRPr="000646AC">
              <w:t xml:space="preserve"> has demonstrated its commitment to increase domestic funding for HIV</w:t>
            </w:r>
            <w:r w:rsidR="004840EC" w:rsidRPr="004840EC">
              <w:t xml:space="preserve"> </w:t>
            </w:r>
            <w:r w:rsidRPr="004840EC">
              <w:t>prevention, treatment, and care and support services over the years. HIV prevention, treatment, care and support activities in Bangladesh have combined efforts of the government, NGOs and development partners. It is proven that domestic funding has already been increased in-line with enhanced economic growth of Bangladesh as documented over the last several years. The previous co-financing commitment has been realized</w:t>
            </w:r>
            <w:r w:rsidR="004840EC">
              <w:t>. G</w:t>
            </w:r>
            <w:r w:rsidRPr="004840EC">
              <w:t xml:space="preserve">overnment has been </w:t>
            </w:r>
            <w:r w:rsidR="004840EC">
              <w:t>anticipated</w:t>
            </w:r>
            <w:r w:rsidRPr="004840EC">
              <w:t xml:space="preserve"> using</w:t>
            </w:r>
            <w:r w:rsidR="004840EC">
              <w:t xml:space="preserve"> US $ </w:t>
            </w:r>
            <w:r w:rsidR="004840EC" w:rsidRPr="004840EC">
              <w:t>17</w:t>
            </w:r>
            <w:r w:rsidR="004840EC">
              <w:t>,</w:t>
            </w:r>
            <w:r w:rsidR="004840EC" w:rsidRPr="004840EC">
              <w:t>495</w:t>
            </w:r>
            <w:r w:rsidR="004840EC">
              <w:t>,</w:t>
            </w:r>
            <w:r w:rsidR="004840EC" w:rsidRPr="004840EC">
              <w:t>433</w:t>
            </w:r>
            <w:r w:rsidRPr="004840EC">
              <w:rPr>
                <w:b/>
                <w:bCs/>
              </w:rPr>
              <w:t xml:space="preserve"> </w:t>
            </w:r>
            <w:r w:rsidRPr="004840EC">
              <w:t>from</w:t>
            </w:r>
            <w:r w:rsidR="004840EC">
              <w:t xml:space="preserve"> 2019-2023 as</w:t>
            </w:r>
            <w:r w:rsidRPr="004840EC">
              <w:t xml:space="preserve"> its co-financing policy to support HIV programme along</w:t>
            </w:r>
            <w:r w:rsidR="007C1E88">
              <w:t xml:space="preserve"> with</w:t>
            </w:r>
            <w:r w:rsidRPr="004840EC">
              <w:t xml:space="preserve"> donors</w:t>
            </w:r>
            <w:r w:rsidR="004840EC">
              <w:t xml:space="preserve"> which is 76% of GF allocation from 2020-2023</w:t>
            </w:r>
            <w:r w:rsidRPr="004840EC">
              <w:t>.</w:t>
            </w:r>
          </w:p>
          <w:p w14:paraId="434E0686" w14:textId="4D08A232" w:rsidR="00CC1171" w:rsidRPr="005305D5" w:rsidRDefault="00CC1171" w:rsidP="004840EC">
            <w:pPr>
              <w:spacing w:after="0"/>
              <w:jc w:val="both"/>
            </w:pPr>
          </w:p>
        </w:tc>
      </w:tr>
      <w:bookmarkEnd w:id="15"/>
    </w:tbl>
    <w:p w14:paraId="5C2EBEF8" w14:textId="43F45CF6" w:rsidR="00DE1608" w:rsidRPr="00522262" w:rsidRDefault="00DE1608" w:rsidP="009B6C0D">
      <w:pPr>
        <w:spacing w:after="0"/>
        <w:rPr>
          <w:i/>
        </w:rPr>
      </w:pPr>
    </w:p>
    <w:p w14:paraId="464EE433" w14:textId="5A82A5CC" w:rsidR="001608C9" w:rsidRDefault="001608C9" w:rsidP="00C57762">
      <w:pPr>
        <w:pStyle w:val="ListParagraph"/>
        <w:numPr>
          <w:ilvl w:val="0"/>
          <w:numId w:val="20"/>
        </w:numPr>
        <w:spacing w:after="0"/>
        <w:ind w:left="540" w:hanging="540"/>
        <w:rPr>
          <w:rStyle w:val="normaltextrun"/>
        </w:rPr>
      </w:pPr>
      <w:r w:rsidRPr="001608C9">
        <w:rPr>
          <w:rStyle w:val="normaltextrun"/>
        </w:rPr>
        <w:t xml:space="preserve">Explain how this funding request reflects </w:t>
      </w:r>
      <w:r w:rsidRPr="001608C9">
        <w:rPr>
          <w:rStyle w:val="normaltextrun"/>
          <w:b/>
        </w:rPr>
        <w:t>value for money</w:t>
      </w:r>
      <w:r w:rsidRPr="001608C9">
        <w:rPr>
          <w:rStyle w:val="normaltextrun"/>
        </w:rPr>
        <w:t xml:space="preserve">, including examples of improvement in value for money compared to the current allocation period. To respond, refer to the </w:t>
      </w:r>
      <w:r w:rsidRPr="001608C9">
        <w:rPr>
          <w:rStyle w:val="normaltextrun"/>
          <w:i/>
        </w:rPr>
        <w:t>Instructions</w:t>
      </w:r>
      <w:r w:rsidRPr="001608C9">
        <w:rPr>
          <w:rStyle w:val="normaltextrun"/>
        </w:rPr>
        <w:t xml:space="preserve"> for the aspects of value for money that should be considered.</w:t>
      </w:r>
    </w:p>
    <w:tbl>
      <w:tblPr>
        <w:tblStyle w:val="TableGrid"/>
        <w:tblW w:w="0" w:type="auto"/>
        <w:tblLook w:val="04A0" w:firstRow="1" w:lastRow="0" w:firstColumn="1" w:lastColumn="0" w:noHBand="0" w:noVBand="1"/>
      </w:tblPr>
      <w:tblGrid>
        <w:gridCol w:w="10456"/>
      </w:tblGrid>
      <w:tr w:rsidR="0098274C" w:rsidRPr="005305D5" w14:paraId="2574620A" w14:textId="77777777" w:rsidTr="001C0B8B">
        <w:tc>
          <w:tcPr>
            <w:tcW w:w="10456" w:type="dxa"/>
          </w:tcPr>
          <w:p w14:paraId="4D706DEC" w14:textId="6C189353" w:rsidR="00D5720B" w:rsidRPr="005305D5" w:rsidRDefault="0098274C" w:rsidP="00D5720B">
            <w:pPr>
              <w:spacing w:after="0"/>
              <w:jc w:val="both"/>
            </w:pPr>
            <w:r w:rsidRPr="0053742B">
              <w:rPr>
                <w:highlight w:val="yellow"/>
              </w:rPr>
              <w:t>[Applicant response]</w:t>
            </w:r>
            <w:r w:rsidR="00D5720B" w:rsidRPr="005305D5">
              <w:t xml:space="preserve"> </w:t>
            </w:r>
            <w:r w:rsidR="00D5720B" w:rsidRPr="002D10D3">
              <w:rPr>
                <w:highlight w:val="yellow"/>
              </w:rPr>
              <w:t>1page</w:t>
            </w:r>
            <w:r w:rsidR="00D5720B">
              <w:t xml:space="preserve"> </w:t>
            </w:r>
          </w:p>
          <w:p w14:paraId="6D35DEBB" w14:textId="3A0B1F6C" w:rsidR="00D5720B" w:rsidRDefault="00D5720B" w:rsidP="00D5720B">
            <w:pPr>
              <w:spacing w:after="0"/>
              <w:jc w:val="both"/>
            </w:pPr>
            <w:r>
              <w:t>To ensure value for money (VfM</w:t>
            </w:r>
            <w:r>
              <w:fldChar w:fldCharType="begin"/>
            </w:r>
            <w:r>
              <w:instrText xml:space="preserve"> TA \l "</w:instrText>
            </w:r>
            <w:r w:rsidRPr="00C67084">
              <w:instrText>VfM: Value for Money</w:instrText>
            </w:r>
            <w:r>
              <w:instrText xml:space="preserve">" \s "VfM" \c 1 </w:instrText>
            </w:r>
            <w:r>
              <w:fldChar w:fldCharType="end"/>
            </w:r>
            <w:r>
              <w:t xml:space="preserve">), several aspects have been considered in this proposal.  This has reflected all the principles of the Global Fund guideline related to VfM. It is anticipated that the following approach will generate a greater impact on each of the components of VfM outlined in the Global Fund guideline: </w:t>
            </w:r>
          </w:p>
          <w:p w14:paraId="57C13F1C" w14:textId="77777777" w:rsidR="00CB751C" w:rsidRDefault="00CB751C" w:rsidP="00D5720B">
            <w:pPr>
              <w:spacing w:after="0"/>
              <w:jc w:val="both"/>
            </w:pPr>
          </w:p>
          <w:p w14:paraId="22BDAB6E" w14:textId="05AA1DDA" w:rsidR="00CB751C" w:rsidRDefault="00D5720B" w:rsidP="00CB751C">
            <w:pPr>
              <w:spacing w:after="0"/>
              <w:jc w:val="both"/>
            </w:pPr>
            <w:r w:rsidRPr="00CB751C">
              <w:rPr>
                <w:b/>
                <w:bCs/>
              </w:rPr>
              <w:t>Economy</w:t>
            </w:r>
            <w:r>
              <w:t>: To have positive impacts on VfM</w:t>
            </w:r>
            <w:r>
              <w:fldChar w:fldCharType="begin"/>
            </w:r>
            <w:r>
              <w:instrText xml:space="preserve"> TA \s "VfM" </w:instrText>
            </w:r>
            <w:r>
              <w:fldChar w:fldCharType="end"/>
            </w:r>
            <w:r>
              <w:t xml:space="preserve">, </w:t>
            </w:r>
            <w:r w:rsidR="00DB1761">
              <w:t xml:space="preserve"> coverage of KPs has been scaled-up without no additional cost</w:t>
            </w:r>
            <w:r>
              <w:t>s</w:t>
            </w:r>
            <w:r w:rsidR="00DB1761">
              <w:t xml:space="preserve"> instead </w:t>
            </w:r>
            <w:r>
              <w:t xml:space="preserve">beneficiaries </w:t>
            </w:r>
            <w:r w:rsidR="00DB1761">
              <w:t xml:space="preserve">will get the services </w:t>
            </w:r>
            <w:r>
              <w:t>at close to its community</w:t>
            </w:r>
            <w:r w:rsidR="00CB751C">
              <w:t xml:space="preserve"> by outreach activities</w:t>
            </w:r>
            <w:r w:rsidR="00F25416">
              <w:t xml:space="preserve"> through peer approach</w:t>
            </w:r>
            <w:r>
              <w:t xml:space="preserve">. </w:t>
            </w:r>
            <w:r w:rsidR="00CB751C" w:rsidRPr="00CB751C">
              <w:t>For procurement, global standard policy of competitive bidding system will be followed to get quality products but reasonable price. The best quality product will certify in terms of price, functions, endurance/life, warranty, delivery, distribution, after-sale services, disposal cost etc. Bulk procurement will be done to achieve suppliers’ economic scale; procu</w:t>
            </w:r>
            <w:r w:rsidR="00F25416">
              <w:t>red</w:t>
            </w:r>
            <w:r w:rsidR="00CB751C" w:rsidRPr="00CB751C">
              <w:t xml:space="preserve"> products </w:t>
            </w:r>
            <w:r w:rsidR="00F25416">
              <w:t xml:space="preserve">will be </w:t>
            </w:r>
            <w:r w:rsidR="00CB751C" w:rsidRPr="00CB751C">
              <w:t>with long expiry dates to ensure longer life and enable products to use until the end of the project. Long-term fixed-price contracts will be made to ensure the economy in price. Integrated or combined procurement will be planned to reduce transaction costs, manhour etc. and increase value for money by ensuring lower costs.</w:t>
            </w:r>
          </w:p>
          <w:p w14:paraId="2E52B03F" w14:textId="77777777" w:rsidR="00CB751C" w:rsidRDefault="00CB751C" w:rsidP="00CB751C">
            <w:pPr>
              <w:spacing w:after="0"/>
              <w:jc w:val="both"/>
              <w:rPr>
                <w:b/>
                <w:bCs/>
              </w:rPr>
            </w:pPr>
          </w:p>
          <w:p w14:paraId="46AEB0A2" w14:textId="6A47E62C" w:rsidR="00D5720B" w:rsidRDefault="00CB751C" w:rsidP="00CB751C">
            <w:pPr>
              <w:spacing w:after="0"/>
              <w:jc w:val="both"/>
            </w:pPr>
            <w:r w:rsidRPr="00CB751C">
              <w:rPr>
                <w:b/>
                <w:bCs/>
              </w:rPr>
              <w:t>Efficiency</w:t>
            </w:r>
            <w:r>
              <w:rPr>
                <w:b/>
                <w:bCs/>
              </w:rPr>
              <w:t xml:space="preserve">: </w:t>
            </w:r>
            <w:r w:rsidR="00DB1761">
              <w:t xml:space="preserve">The DIC model has proposed to be outreached trough </w:t>
            </w:r>
            <w:r w:rsidR="00D5720B">
              <w:t>satellites, outlets, cruising points and peer-based approaches</w:t>
            </w:r>
            <w:r w:rsidR="00DB1761">
              <w:t xml:space="preserve"> at close vicinity of the community and it</w:t>
            </w:r>
            <w:r w:rsidR="00D5720B">
              <w:t xml:space="preserve"> will </w:t>
            </w:r>
            <w:r w:rsidR="00DB1761">
              <w:t xml:space="preserve">be </w:t>
            </w:r>
            <w:r w:rsidR="00D5720B">
              <w:t>link</w:t>
            </w:r>
            <w:r w:rsidR="00DB1761">
              <w:t>ed to</w:t>
            </w:r>
            <w:r w:rsidR="00D5720B">
              <w:t xml:space="preserve"> public health facilities.</w:t>
            </w:r>
            <w:r w:rsidR="005162A3">
              <w:t xml:space="preserve"> P</w:t>
            </w:r>
            <w:r w:rsidR="00D5720B">
              <w:t>eer-based service will be</w:t>
            </w:r>
            <w:r w:rsidR="005162A3">
              <w:t xml:space="preserve"> integral and will be expanded</w:t>
            </w:r>
            <w:r w:rsidR="00D5720B">
              <w:t xml:space="preserve"> </w:t>
            </w:r>
            <w:r w:rsidR="005162A3">
              <w:t xml:space="preserve">for meaningful </w:t>
            </w:r>
            <w:r w:rsidR="00D5720B">
              <w:t>behavior change communications (BCC)</w:t>
            </w:r>
            <w:r w:rsidR="005162A3">
              <w:t xml:space="preserve"> for consistent safer practices by the KPs. Use of ICT and virtual space will be optimized as a cost</w:t>
            </w:r>
            <w:r w:rsidR="00D5720B">
              <w:t>-effective</w:t>
            </w:r>
            <w:r w:rsidR="005162A3">
              <w:t xml:space="preserve"> way to reach to hidden and agreeable KPs</w:t>
            </w:r>
            <w:r w:rsidR="00D5720B">
              <w:t>. Participatory monitoring and evaluation for efficient service delivery will be conducted. Capacity-building activities will be organized to improve efficiency by improving the skills of staff to avoid mistakes and appropriate service delivery. LMIS</w:t>
            </w:r>
            <w:r w:rsidR="00D5720B">
              <w:fldChar w:fldCharType="begin"/>
            </w:r>
            <w:r w:rsidR="00D5720B">
              <w:instrText xml:space="preserve"> TA \l "</w:instrText>
            </w:r>
            <w:r w:rsidR="00D5720B" w:rsidRPr="00AE53E8">
              <w:instrText>LMIS: Logistic Management Information System</w:instrText>
            </w:r>
            <w:r w:rsidR="00D5720B">
              <w:instrText xml:space="preserve">" \s "LMIS" \c 1 </w:instrText>
            </w:r>
            <w:r w:rsidR="00D5720B">
              <w:fldChar w:fldCharType="end"/>
            </w:r>
            <w:r w:rsidR="00D5720B">
              <w:t xml:space="preserve"> will be continued to maintain to view stock position at a glance, to assess demand, forecast, avoid stock-outs and emergency supply etc.  for increasing efficiency of the supply chain. Policy and procedures will be in place to reduce confusion and misjudgment related to services.</w:t>
            </w:r>
          </w:p>
          <w:p w14:paraId="635605BE" w14:textId="77777777" w:rsidR="00F25416" w:rsidRDefault="00F25416" w:rsidP="00CB751C">
            <w:pPr>
              <w:spacing w:after="0"/>
              <w:jc w:val="both"/>
            </w:pPr>
          </w:p>
          <w:p w14:paraId="3FB03CAA" w14:textId="344DF9A9" w:rsidR="00CB751C" w:rsidRPr="005305D5" w:rsidRDefault="00D5720B" w:rsidP="00CB751C">
            <w:pPr>
              <w:spacing w:after="0"/>
              <w:jc w:val="both"/>
            </w:pPr>
            <w:r w:rsidRPr="00CB751C">
              <w:rPr>
                <w:b/>
                <w:bCs/>
              </w:rPr>
              <w:t>Equity</w:t>
            </w:r>
            <w:r w:rsidRPr="00CB751C">
              <w:t>: The program will try to reach all segments of the target populations including MSM/MSW, transgender, female and male partners of male, female and hijra sex workers, FSW and its clients and</w:t>
            </w:r>
            <w:r w:rsidR="00EA3B8C" w:rsidRPr="00CB751C">
              <w:t xml:space="preserve"> both male and female</w:t>
            </w:r>
            <w:r w:rsidRPr="00CB751C">
              <w:t xml:space="preserve"> PWID</w:t>
            </w:r>
            <w:r w:rsidR="00EA3B8C" w:rsidRPr="00CB751C">
              <w:t xml:space="preserve"> and its partners</w:t>
            </w:r>
            <w:r w:rsidRPr="00CB751C">
              <w:t xml:space="preserve">. </w:t>
            </w:r>
            <w:r w:rsidR="00EA3B8C" w:rsidRPr="00CB751C">
              <w:t>Hence</w:t>
            </w:r>
            <w:r w:rsidRPr="00CB751C">
              <w:t>, it ensures availability and access</w:t>
            </w:r>
            <w:r w:rsidR="00EA3B8C" w:rsidRPr="00CB751C">
              <w:t>ibility of</w:t>
            </w:r>
            <w:r w:rsidRPr="00CB751C">
              <w:t xml:space="preserve"> services </w:t>
            </w:r>
            <w:r w:rsidR="00EA3B8C" w:rsidRPr="00CB751C">
              <w:t>by</w:t>
            </w:r>
            <w:r w:rsidRPr="00CB751C">
              <w:t xml:space="preserve"> the vulnerable and marginalized populations. Services are designed for the gender and sexual diverse people (i.e., MSM and hijra) who are otherwise discriminated from existing health systems to provide them equal access to services. </w:t>
            </w:r>
            <w:r w:rsidR="00EA3B8C" w:rsidRPr="00CB751C">
              <w:t xml:space="preserve">In addition, </w:t>
            </w:r>
            <w:r w:rsidRPr="00CB751C">
              <w:t>the human rights</w:t>
            </w:r>
            <w:r w:rsidR="00EA3B8C" w:rsidRPr="00CB751C">
              <w:t xml:space="preserve"> issues will be overarching to entire implementation of grant for all beneficiaries both at national and district level. Continued advocacy activities will be going on for that</w:t>
            </w:r>
          </w:p>
          <w:p w14:paraId="2A15E80F" w14:textId="2B6D59E5" w:rsidR="0098274C" w:rsidRPr="005305D5" w:rsidRDefault="0098274C" w:rsidP="004F54B5">
            <w:pPr>
              <w:spacing w:after="0"/>
              <w:jc w:val="both"/>
            </w:pPr>
          </w:p>
        </w:tc>
      </w:tr>
    </w:tbl>
    <w:p w14:paraId="009DE181" w14:textId="77777777" w:rsidR="00EA6611" w:rsidRDefault="00EA6611" w:rsidP="009B6C0D">
      <w:pPr>
        <w:spacing w:after="0" w:line="0" w:lineRule="auto"/>
      </w:pPr>
      <w:r>
        <w:br w:type="page"/>
      </w:r>
    </w:p>
    <w:p w14:paraId="00FEB4E3" w14:textId="7947DA3B" w:rsidR="0098274C" w:rsidRPr="004F1255" w:rsidRDefault="0098274C" w:rsidP="00C57762">
      <w:pPr>
        <w:pStyle w:val="Heading2"/>
        <w:numPr>
          <w:ilvl w:val="1"/>
          <w:numId w:val="25"/>
        </w:numPr>
        <w:shd w:val="clear" w:color="auto" w:fill="D9D9D9" w:themeFill="background1" w:themeFillShade="D9"/>
        <w:spacing w:before="0" w:after="0" w:line="240" w:lineRule="auto"/>
        <w:contextualSpacing/>
      </w:pPr>
      <w:r w:rsidRPr="004F1255">
        <w:t xml:space="preserve">Matching Funds </w:t>
      </w:r>
      <w:r w:rsidR="00064171">
        <w:t>(if applicable)</w:t>
      </w:r>
    </w:p>
    <w:p w14:paraId="33365B7C" w14:textId="77777777" w:rsidR="0003674B" w:rsidRDefault="0003674B" w:rsidP="009B6C0D">
      <w:pPr>
        <w:spacing w:after="0"/>
      </w:pPr>
    </w:p>
    <w:p w14:paraId="6427FD4D" w14:textId="1F26EBF2" w:rsidR="006D0956" w:rsidRDefault="006D0956" w:rsidP="009B6C0D">
      <w:pPr>
        <w:spacing w:after="0"/>
      </w:pPr>
      <w:r>
        <w:t xml:space="preserve">This question should </w:t>
      </w:r>
      <w:r w:rsidRPr="004F1255">
        <w:t xml:space="preserve">only </w:t>
      </w:r>
      <w:r>
        <w:t>be answered by</w:t>
      </w:r>
      <w:r w:rsidRPr="004F1255">
        <w:t xml:space="preserve"> applicants with designated matching funds, as indicated in </w:t>
      </w:r>
      <w:r w:rsidR="000E4E8B">
        <w:t xml:space="preserve">the </w:t>
      </w:r>
      <w:r w:rsidRPr="004F1255">
        <w:t>allocation letter</w:t>
      </w:r>
      <w:r>
        <w:t>.</w:t>
      </w:r>
    </w:p>
    <w:p w14:paraId="7002C322" w14:textId="77777777" w:rsidR="0003674B" w:rsidRDefault="0003674B" w:rsidP="009B6C0D">
      <w:pPr>
        <w:spacing w:after="0"/>
      </w:pPr>
    </w:p>
    <w:p w14:paraId="466E1426" w14:textId="47608335" w:rsidR="0098274C" w:rsidRDefault="006D0956" w:rsidP="009B6C0D">
      <w:pPr>
        <w:spacing w:after="0"/>
      </w:pPr>
      <w:r>
        <w:t>D</w:t>
      </w:r>
      <w:r w:rsidR="0098274C" w:rsidRPr="004F1255">
        <w:t xml:space="preserve">escribe how the </w:t>
      </w:r>
      <w:r w:rsidR="0098274C" w:rsidRPr="005A32E0">
        <w:rPr>
          <w:b/>
        </w:rPr>
        <w:t>programmatic and financial conditions</w:t>
      </w:r>
      <w:r w:rsidR="002A1D61" w:rsidRPr="004F1255">
        <w:t>,</w:t>
      </w:r>
      <w:r w:rsidR="0098274C" w:rsidRPr="004F1255">
        <w:t xml:space="preserve"> as outlined in </w:t>
      </w:r>
      <w:r w:rsidR="002A1D61" w:rsidRPr="004F1255">
        <w:t>the allocation letter, have been met.</w:t>
      </w:r>
    </w:p>
    <w:p w14:paraId="5C9655F4" w14:textId="77777777" w:rsidR="0003674B" w:rsidRDefault="0003674B" w:rsidP="009B6C0D">
      <w:pPr>
        <w:spacing w:after="0"/>
      </w:pPr>
    </w:p>
    <w:tbl>
      <w:tblPr>
        <w:tblStyle w:val="TableGrid"/>
        <w:tblW w:w="0" w:type="auto"/>
        <w:tblLook w:val="04A0" w:firstRow="1" w:lastRow="0" w:firstColumn="1" w:lastColumn="0" w:noHBand="0" w:noVBand="1"/>
      </w:tblPr>
      <w:tblGrid>
        <w:gridCol w:w="10456"/>
      </w:tblGrid>
      <w:tr w:rsidR="0098274C" w:rsidRPr="005305D5" w14:paraId="3A82466F" w14:textId="77777777" w:rsidTr="00D63E4B">
        <w:tc>
          <w:tcPr>
            <w:tcW w:w="10790" w:type="dxa"/>
          </w:tcPr>
          <w:p w14:paraId="0807CBAD" w14:textId="3A6BAFB7" w:rsidR="0098274C" w:rsidRDefault="0098274C" w:rsidP="009B6C0D">
            <w:pPr>
              <w:spacing w:after="0"/>
            </w:pPr>
            <w:r w:rsidRPr="005305D5">
              <w:t>[Applicant response]</w:t>
            </w:r>
          </w:p>
          <w:p w14:paraId="5040D14D" w14:textId="0507D2B3" w:rsidR="000D4498" w:rsidRPr="005305D5" w:rsidRDefault="000D4498" w:rsidP="009B6C0D">
            <w:pPr>
              <w:spacing w:after="0"/>
            </w:pPr>
            <w:r>
              <w:t xml:space="preserve">Not applicable </w:t>
            </w:r>
          </w:p>
          <w:p w14:paraId="2E1D70EF" w14:textId="77777777" w:rsidR="0098274C" w:rsidRPr="005305D5" w:rsidRDefault="0098274C" w:rsidP="009B6C0D">
            <w:pPr>
              <w:spacing w:after="0"/>
            </w:pPr>
          </w:p>
        </w:tc>
      </w:tr>
    </w:tbl>
    <w:p w14:paraId="32D4E059" w14:textId="77777777" w:rsidR="0098274C" w:rsidRPr="005305D5" w:rsidRDefault="0098274C" w:rsidP="009B6C0D">
      <w:pPr>
        <w:pStyle w:val="ListParagraph"/>
        <w:spacing w:after="0"/>
      </w:pPr>
    </w:p>
    <w:p w14:paraId="2BAF8FDF" w14:textId="03E4E54D" w:rsidR="0098274C" w:rsidRPr="0098274C" w:rsidRDefault="0003674B" w:rsidP="0003674B">
      <w:pPr>
        <w:pStyle w:val="Heading1"/>
        <w:numPr>
          <w:ilvl w:val="0"/>
          <w:numId w:val="0"/>
        </w:numPr>
        <w:spacing w:before="0"/>
        <w:ind w:left="567" w:hanging="567"/>
      </w:pPr>
      <w:bookmarkStart w:id="18" w:name="_Toc7075896"/>
      <w:bookmarkStart w:id="19" w:name="_Toc7080092"/>
      <w:bookmarkStart w:id="20" w:name="_Toc7080213"/>
      <w:bookmarkStart w:id="21" w:name="_Toc7080228"/>
      <w:bookmarkStart w:id="22" w:name="_Toc7082335"/>
      <w:bookmarkStart w:id="23" w:name="_Toc1122238"/>
      <w:bookmarkStart w:id="24" w:name="_Toc1127667"/>
      <w:bookmarkStart w:id="25" w:name="_Toc5011519"/>
      <w:bookmarkStart w:id="26" w:name="_Toc5195533"/>
      <w:bookmarkStart w:id="27" w:name="_Toc6994679"/>
      <w:bookmarkStart w:id="28" w:name="_Toc7000520"/>
      <w:bookmarkStart w:id="29" w:name="_Toc7000630"/>
      <w:bookmarkStart w:id="30" w:name="_Toc7074796"/>
      <w:r>
        <w:t xml:space="preserve">Section 3: </w:t>
      </w:r>
      <w:r w:rsidR="0098274C" w:rsidRPr="0098274C">
        <w:t>Operationalization and Implementation Arrangements</w:t>
      </w:r>
    </w:p>
    <w:bookmarkEnd w:id="18"/>
    <w:bookmarkEnd w:id="19"/>
    <w:bookmarkEnd w:id="20"/>
    <w:bookmarkEnd w:id="21"/>
    <w:bookmarkEnd w:id="22"/>
    <w:bookmarkEnd w:id="23"/>
    <w:bookmarkEnd w:id="24"/>
    <w:bookmarkEnd w:id="25"/>
    <w:bookmarkEnd w:id="26"/>
    <w:bookmarkEnd w:id="27"/>
    <w:bookmarkEnd w:id="28"/>
    <w:bookmarkEnd w:id="29"/>
    <w:bookmarkEnd w:id="30"/>
    <w:p w14:paraId="6C15B62D" w14:textId="77777777" w:rsidR="004544BB" w:rsidRDefault="004544BB" w:rsidP="009B6C0D">
      <w:pPr>
        <w:spacing w:after="0"/>
      </w:pPr>
    </w:p>
    <w:p w14:paraId="6B42C937" w14:textId="130624AF" w:rsidR="00250AD1" w:rsidRPr="0099505A" w:rsidRDefault="004544BB" w:rsidP="009B6C0D">
      <w:pPr>
        <w:spacing w:after="0"/>
        <w:rPr>
          <w:rFonts w:cs="Arial"/>
          <w:bCs/>
          <w:iCs/>
        </w:rPr>
      </w:pPr>
      <w:r>
        <w:t xml:space="preserve">To respond to the questions below, refer to the </w:t>
      </w:r>
      <w:r w:rsidRPr="00DD3612">
        <w:rPr>
          <w:i/>
        </w:rPr>
        <w:t>Instructions</w:t>
      </w:r>
      <w:r>
        <w:rPr>
          <w:i/>
        </w:rPr>
        <w:t xml:space="preserve"> </w:t>
      </w:r>
      <w:r w:rsidRPr="004F1255">
        <w:t xml:space="preserve">and </w:t>
      </w:r>
      <w:r w:rsidR="00A85062">
        <w:t xml:space="preserve">an </w:t>
      </w:r>
      <w:r w:rsidR="0024579D">
        <w:t>updated</w:t>
      </w:r>
      <w:r w:rsidRPr="00DD3612">
        <w:rPr>
          <w:i/>
        </w:rPr>
        <w:t xml:space="preserve"> </w:t>
      </w:r>
      <w:r w:rsidR="00C90482">
        <w:rPr>
          <w:b/>
        </w:rPr>
        <w:t>Implementation A</w:t>
      </w:r>
      <w:r w:rsidR="005C4C3E">
        <w:rPr>
          <w:b/>
        </w:rPr>
        <w:t>rrangement</w:t>
      </w:r>
      <w:r w:rsidR="00C90482">
        <w:rPr>
          <w:b/>
        </w:rPr>
        <w:t xml:space="preserve"> M</w:t>
      </w:r>
      <w:r w:rsidR="00744405" w:rsidRPr="00AB0657">
        <w:rPr>
          <w:b/>
        </w:rPr>
        <w:t>ap</w:t>
      </w:r>
      <w:r w:rsidR="0024579D">
        <w:rPr>
          <w:rStyle w:val="FootnoteReference"/>
        </w:rPr>
        <w:footnoteReference w:id="4"/>
      </w:r>
      <w:r w:rsidR="00744405" w:rsidRPr="0024579D">
        <w:t>.</w:t>
      </w:r>
    </w:p>
    <w:p w14:paraId="778414DF" w14:textId="6EB32B20" w:rsidR="00EA6611" w:rsidRDefault="00EA6611" w:rsidP="00C57762">
      <w:pPr>
        <w:pStyle w:val="ListParagraph"/>
        <w:numPr>
          <w:ilvl w:val="0"/>
          <w:numId w:val="22"/>
        </w:numPr>
        <w:spacing w:after="0" w:line="260" w:lineRule="atLeast"/>
        <w:ind w:left="450" w:hanging="450"/>
      </w:pPr>
      <w:r w:rsidRPr="004F1255">
        <w:t xml:space="preserve">Describe how </w:t>
      </w:r>
      <w:r w:rsidR="00EE2777">
        <w:t xml:space="preserve">the </w:t>
      </w:r>
      <w:r w:rsidRPr="004F1255">
        <w:t xml:space="preserve">proposed </w:t>
      </w:r>
      <w:r w:rsidRPr="00B656A9">
        <w:rPr>
          <w:b/>
        </w:rPr>
        <w:t>implementation arrangements</w:t>
      </w:r>
      <w:r w:rsidRPr="004F1255">
        <w:t xml:space="preserve"> will ensure </w:t>
      </w:r>
      <w:r w:rsidRPr="00B656A9">
        <w:t>efficient program delivery</w:t>
      </w:r>
      <w:r w:rsidRPr="004F1255">
        <w:t>.</w:t>
      </w:r>
    </w:p>
    <w:p w14:paraId="4A7C011C" w14:textId="343C6057" w:rsidR="0003674B" w:rsidRPr="004F1255" w:rsidRDefault="0003674B" w:rsidP="0003674B">
      <w:pPr>
        <w:pStyle w:val="ListParagraph"/>
        <w:spacing w:after="0" w:line="260" w:lineRule="atLeast"/>
        <w:ind w:left="450"/>
      </w:pPr>
    </w:p>
    <w:tbl>
      <w:tblPr>
        <w:tblStyle w:val="TableGrid"/>
        <w:tblW w:w="0" w:type="auto"/>
        <w:tblLook w:val="04A0" w:firstRow="1" w:lastRow="0" w:firstColumn="1" w:lastColumn="0" w:noHBand="0" w:noVBand="1"/>
      </w:tblPr>
      <w:tblGrid>
        <w:gridCol w:w="10456"/>
      </w:tblGrid>
      <w:tr w:rsidR="00EA6611" w:rsidRPr="005305D5" w14:paraId="4689B519" w14:textId="77777777" w:rsidTr="00B0614E">
        <w:tc>
          <w:tcPr>
            <w:tcW w:w="10790" w:type="dxa"/>
          </w:tcPr>
          <w:p w14:paraId="2121B5BC" w14:textId="2016BECC" w:rsidR="00EA6611" w:rsidRDefault="00095777" w:rsidP="009B6C0D">
            <w:pPr>
              <w:spacing w:after="0"/>
            </w:pPr>
            <w:r>
              <w:rPr>
                <w:noProof/>
              </w:rPr>
              <mc:AlternateContent>
                <mc:Choice Requires="wps">
                  <w:drawing>
                    <wp:anchor distT="0" distB="0" distL="114300" distR="114300" simplePos="0" relativeHeight="251687936" behindDoc="0" locked="0" layoutInCell="1" allowOverlap="1" wp14:anchorId="4796BA3C" wp14:editId="24FB2280">
                      <wp:simplePos x="0" y="0"/>
                      <wp:positionH relativeFrom="margin">
                        <wp:posOffset>4422775</wp:posOffset>
                      </wp:positionH>
                      <wp:positionV relativeFrom="margin">
                        <wp:posOffset>74295</wp:posOffset>
                      </wp:positionV>
                      <wp:extent cx="1885950" cy="2658745"/>
                      <wp:effectExtent l="0" t="0" r="1905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658745"/>
                              </a:xfrm>
                              <a:prstGeom prst="rect">
                                <a:avLst/>
                              </a:prstGeom>
                              <a:solidFill>
                                <a:srgbClr val="FFFFFF"/>
                              </a:solidFill>
                              <a:ln w="9525">
                                <a:solidFill>
                                  <a:srgbClr val="000000"/>
                                </a:solidFill>
                                <a:miter lim="800000"/>
                                <a:headEnd/>
                                <a:tailEnd/>
                              </a:ln>
                            </wps:spPr>
                            <wps:txbx>
                              <w:txbxContent>
                                <w:p w14:paraId="4414BDB5" w14:textId="77777777" w:rsidR="009B0847" w:rsidRDefault="009B0847" w:rsidP="00095777">
                                  <w:pPr>
                                    <w:pStyle w:val="Caption"/>
                                    <w:rPr>
                                      <w:rFonts w:eastAsia="Calibri" w:cs="Arial"/>
                                      <w:b/>
                                      <w:bCs/>
                                      <w:color w:val="44546A"/>
                                    </w:rPr>
                                  </w:pPr>
                                  <w:r w:rsidRPr="00095777">
                                    <w:rPr>
                                      <w:rFonts w:eastAsia="Calibri" w:cs="Arial"/>
                                      <w:b/>
                                      <w:bCs/>
                                      <w:color w:val="44546A"/>
                                    </w:rPr>
                                    <w:t xml:space="preserve">Figure 3: 23 Priority Districts </w:t>
                                  </w:r>
                                </w:p>
                                <w:p w14:paraId="66A3E702" w14:textId="73349A6A" w:rsidR="009B0847" w:rsidRPr="00095777" w:rsidRDefault="009B0847" w:rsidP="00095777">
                                  <w:pPr>
                                    <w:pStyle w:val="Caption"/>
                                    <w:rPr>
                                      <w:rFonts w:cs="Arial"/>
                                      <w:b/>
                                      <w:bCs/>
                                      <w:i w:val="0"/>
                                      <w:iCs w:val="0"/>
                                      <w:noProof/>
                                      <w:sz w:val="22"/>
                                      <w:szCs w:val="22"/>
                                    </w:rPr>
                                  </w:pPr>
                                  <w:r w:rsidRPr="00FF5A99">
                                    <w:rPr>
                                      <w:noProof/>
                                    </w:rPr>
                                    <w:drawing>
                                      <wp:inline distT="0" distB="0" distL="0" distR="0" wp14:anchorId="38E21709" wp14:editId="7DC88615">
                                        <wp:extent cx="1867437" cy="254230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2671" cy="254942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6BA3C" id="Text Box 2" o:spid="_x0000_s1028" type="#_x0000_t202" style="position:absolute;margin-left:348.25pt;margin-top:5.85pt;width:148.5pt;height:209.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">
                      <v:textbox>
                        <w:txbxContent>
                          <w:p w14:paraId="4414BDB5" w14:textId="77777777" w:rsidR="009B0847" w:rsidRDefault="009B0847" w:rsidP="00095777">
                            <w:pPr>
                              <w:pStyle w:val="Caption"/>
                              <w:rPr>
                                <w:rFonts w:eastAsia="Calibri" w:cs="Arial"/>
                                <w:b/>
                                <w:bCs/>
                                <w:color w:val="44546A"/>
                              </w:rPr>
                            </w:pPr>
                            <w:r w:rsidRPr="00095777">
                              <w:rPr>
                                <w:rFonts w:eastAsia="Calibri" w:cs="Arial"/>
                                <w:b/>
                                <w:bCs/>
                                <w:color w:val="44546A"/>
                              </w:rPr>
                              <w:t xml:space="preserve">Figure 3: 23 Priority Districts </w:t>
                            </w:r>
                          </w:p>
                          <w:p w14:paraId="66A3E702" w14:textId="73349A6A" w:rsidR="009B0847" w:rsidRPr="00095777" w:rsidRDefault="009B0847" w:rsidP="00095777">
                            <w:pPr>
                              <w:pStyle w:val="Caption"/>
                              <w:rPr>
                                <w:rFonts w:cs="Arial"/>
                                <w:b/>
                                <w:bCs/>
                                <w:i w:val="0"/>
                                <w:iCs w:val="0"/>
                                <w:noProof/>
                                <w:sz w:val="22"/>
                                <w:szCs w:val="22"/>
                              </w:rPr>
                            </w:pPr>
                            <w:r w:rsidRPr="00FF5A99">
                              <w:rPr>
                                <w:noProof/>
                              </w:rPr>
                              <w:drawing>
                                <wp:inline distT="0" distB="0" distL="0" distR="0" wp14:anchorId="38E21709" wp14:editId="7DC88615">
                                  <wp:extent cx="1867437" cy="254230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2671" cy="2549428"/>
                                          </a:xfrm>
                                          <a:prstGeom prst="rect">
                                            <a:avLst/>
                                          </a:prstGeom>
                                          <a:noFill/>
                                          <a:ln>
                                            <a:noFill/>
                                          </a:ln>
                                        </pic:spPr>
                                      </pic:pic>
                                    </a:graphicData>
                                  </a:graphic>
                                </wp:inline>
                              </w:drawing>
                            </w:r>
                          </w:p>
                        </w:txbxContent>
                      </v:textbox>
                      <w10:wrap type="square" anchorx="margin" anchory="margin"/>
                    </v:shape>
                  </w:pict>
                </mc:Fallback>
              </mc:AlternateContent>
            </w:r>
            <w:r w:rsidR="00EA6611" w:rsidRPr="00A13EB5">
              <w:rPr>
                <w:highlight w:val="yellow"/>
              </w:rPr>
              <w:t>[Applicant response]</w:t>
            </w:r>
            <w:r w:rsidR="00A13EB5" w:rsidRPr="00A13EB5">
              <w:rPr>
                <w:highlight w:val="yellow"/>
              </w:rPr>
              <w:t xml:space="preserve"> 1page</w:t>
            </w:r>
          </w:p>
          <w:p w14:paraId="7E9F7648" w14:textId="6F29822D" w:rsidR="00EA6611" w:rsidRPr="005305D5" w:rsidRDefault="00466677" w:rsidP="00D454D6">
            <w:pPr>
              <w:spacing w:after="0"/>
              <w:jc w:val="both"/>
            </w:pPr>
            <w:r w:rsidRPr="00FF5A99">
              <w:rPr>
                <w:noProof/>
              </w:rPr>
              <w:drawing>
                <wp:anchor distT="0" distB="0" distL="114300" distR="114300" simplePos="0" relativeHeight="251688960" behindDoc="0" locked="0" layoutInCell="1" allowOverlap="1" wp14:anchorId="5A1CBD5D" wp14:editId="049939B0">
                  <wp:simplePos x="0" y="0"/>
                  <wp:positionH relativeFrom="margin">
                    <wp:posOffset>-46355</wp:posOffset>
                  </wp:positionH>
                  <wp:positionV relativeFrom="margin">
                    <wp:posOffset>2959100</wp:posOffset>
                  </wp:positionV>
                  <wp:extent cx="2898775" cy="25812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898775" cy="2581275"/>
                          </a:xfrm>
                          <a:prstGeom prst="rect">
                            <a:avLst/>
                          </a:prstGeom>
                        </pic:spPr>
                      </pic:pic>
                    </a:graphicData>
                  </a:graphic>
                  <wp14:sizeRelH relativeFrom="margin">
                    <wp14:pctWidth>0</wp14:pctWidth>
                  </wp14:sizeRelH>
                  <wp14:sizeRelV relativeFrom="margin">
                    <wp14:pctHeight>0</wp14:pctHeight>
                  </wp14:sizeRelV>
                </wp:anchor>
              </w:drawing>
            </w:r>
            <w:r w:rsidR="00162927" w:rsidRPr="00AF071A">
              <w:rPr>
                <w:rFonts w:eastAsia="Arial" w:cs="Arial"/>
              </w:rPr>
              <w:t xml:space="preserve">The Bangladesh Country Coordination Mechanism (BCCM) </w:t>
            </w:r>
            <w:r w:rsidR="00162927">
              <w:rPr>
                <w:rFonts w:eastAsia="Arial" w:cs="Arial"/>
              </w:rPr>
              <w:t xml:space="preserve">has </w:t>
            </w:r>
            <w:r w:rsidR="00162927" w:rsidRPr="00AF071A">
              <w:rPr>
                <w:rFonts w:eastAsia="Arial" w:cs="Arial"/>
              </w:rPr>
              <w:t xml:space="preserve">decided to continue with </w:t>
            </w:r>
            <w:r w:rsidR="00162927">
              <w:rPr>
                <w:rFonts w:eastAsia="Arial" w:cs="Arial"/>
              </w:rPr>
              <w:t>the three current</w:t>
            </w:r>
            <w:r w:rsidR="00162927" w:rsidRPr="00AF071A">
              <w:rPr>
                <w:rFonts w:eastAsia="Arial" w:cs="Arial"/>
              </w:rPr>
              <w:t xml:space="preserve"> PRs: i) AIDS and STD Program (ASP) ii) Save the Children International (SC) and iii) icddr,b. </w:t>
            </w:r>
            <w:r w:rsidR="00162927">
              <w:rPr>
                <w:rFonts w:eastAsia="Arial" w:cs="Arial"/>
              </w:rPr>
              <w:t>The activities of the three PRs are defined without overlap</w:t>
            </w:r>
            <w:r w:rsidR="00162927" w:rsidRPr="00AF071A">
              <w:rPr>
                <w:rFonts w:eastAsia="Arial" w:cs="Arial"/>
              </w:rPr>
              <w:t xml:space="preserve">. </w:t>
            </w:r>
            <w:r w:rsidR="00162927">
              <w:rPr>
                <w:rFonts w:eastAsia="Arial" w:cs="Arial"/>
              </w:rPr>
              <w:t>Value for money</w:t>
            </w:r>
            <w:r w:rsidR="00162927" w:rsidRPr="00AF071A">
              <w:rPr>
                <w:rFonts w:eastAsia="Arial" w:cs="Arial"/>
              </w:rPr>
              <w:t xml:space="preserve"> </w:t>
            </w:r>
            <w:r w:rsidR="00162927">
              <w:rPr>
                <w:rFonts w:eastAsia="Arial" w:cs="Arial"/>
              </w:rPr>
              <w:t>(</w:t>
            </w:r>
            <w:r w:rsidR="00162927" w:rsidRPr="00AF071A">
              <w:rPr>
                <w:rFonts w:eastAsia="Arial" w:cs="Arial"/>
              </w:rPr>
              <w:t>VfM</w:t>
            </w:r>
            <w:r w:rsidR="00162927">
              <w:rPr>
                <w:rFonts w:eastAsia="Arial" w:cs="Arial"/>
              </w:rPr>
              <w:t xml:space="preserve">) </w:t>
            </w:r>
            <w:r w:rsidR="00162927" w:rsidRPr="00AF071A">
              <w:rPr>
                <w:rFonts w:eastAsia="Arial" w:cs="Arial"/>
              </w:rPr>
              <w:t xml:space="preserve">has considered by </w:t>
            </w:r>
            <w:r w:rsidR="00162927">
              <w:rPr>
                <w:rFonts w:eastAsia="Arial" w:cs="Arial"/>
              </w:rPr>
              <w:t xml:space="preserve">establishing an </w:t>
            </w:r>
            <w:r w:rsidR="00162927" w:rsidRPr="00AF071A">
              <w:rPr>
                <w:rFonts w:eastAsia="Arial" w:cs="Arial"/>
              </w:rPr>
              <w:t xml:space="preserve">effective relationship with </w:t>
            </w:r>
            <w:r w:rsidR="00162927">
              <w:rPr>
                <w:rFonts w:eastAsia="Arial" w:cs="Arial"/>
              </w:rPr>
              <w:t xml:space="preserve">the </w:t>
            </w:r>
            <w:r w:rsidR="00162927" w:rsidRPr="00AF071A">
              <w:rPr>
                <w:rFonts w:eastAsia="Arial" w:cs="Arial"/>
              </w:rPr>
              <w:t xml:space="preserve">public sector for HIV prevention and for </w:t>
            </w:r>
            <w:r w:rsidR="00162927">
              <w:rPr>
                <w:rFonts w:eastAsia="Arial" w:cs="Arial"/>
              </w:rPr>
              <w:t>optimizing HTS in order to achieve the 90-90-90 targets</w:t>
            </w:r>
            <w:r w:rsidR="00162927" w:rsidRPr="00AF071A">
              <w:rPr>
                <w:rFonts w:eastAsia="Arial" w:cs="Arial"/>
              </w:rPr>
              <w:t xml:space="preserve">. </w:t>
            </w:r>
            <w:r w:rsidR="00162927">
              <w:rPr>
                <w:rFonts w:eastAsia="Arial" w:cs="Arial"/>
              </w:rPr>
              <w:t>Human</w:t>
            </w:r>
            <w:r w:rsidR="00162927" w:rsidRPr="00AF071A">
              <w:rPr>
                <w:rFonts w:eastAsia="Arial" w:cs="Arial"/>
              </w:rPr>
              <w:t xml:space="preserve"> rights and gender equity have been ascertained for KPs. </w:t>
            </w:r>
            <w:r w:rsidR="00162927">
              <w:rPr>
                <w:rFonts w:eastAsia="Arial" w:cs="Arial"/>
              </w:rPr>
              <w:t xml:space="preserve">It is integral to consider </w:t>
            </w:r>
            <w:r w:rsidR="00162927" w:rsidRPr="00AF071A">
              <w:rPr>
                <w:rFonts w:eastAsia="Arial" w:cs="Arial"/>
              </w:rPr>
              <w:t>geographical priorit</w:t>
            </w:r>
            <w:r w:rsidR="00162927">
              <w:rPr>
                <w:rFonts w:eastAsia="Arial" w:cs="Arial"/>
              </w:rPr>
              <w:t xml:space="preserve">ies, proportionate to </w:t>
            </w:r>
            <w:r w:rsidR="00162927" w:rsidRPr="00AF071A">
              <w:rPr>
                <w:rFonts w:eastAsia="Arial" w:cs="Arial"/>
              </w:rPr>
              <w:t xml:space="preserve">concentration of KPs, PLHIV and KPs’ mobility. Figure </w:t>
            </w:r>
            <w:r w:rsidR="00DC7FC8">
              <w:rPr>
                <w:rFonts w:eastAsia="Arial" w:cs="Arial"/>
              </w:rPr>
              <w:t>3</w:t>
            </w:r>
            <w:r w:rsidR="00162927" w:rsidRPr="00AF071A">
              <w:rPr>
                <w:rFonts w:eastAsia="Arial" w:cs="Arial"/>
              </w:rPr>
              <w:t xml:space="preserve"> </w:t>
            </w:r>
            <w:r w:rsidR="00162927">
              <w:rPr>
                <w:rFonts w:eastAsia="Arial" w:cs="Arial"/>
              </w:rPr>
              <w:t>portrays</w:t>
            </w:r>
            <w:r w:rsidR="00162927" w:rsidRPr="00AF071A">
              <w:rPr>
                <w:rFonts w:eastAsia="Arial" w:cs="Arial"/>
              </w:rPr>
              <w:t xml:space="preserve"> 23 priority districts. ASP </w:t>
            </w:r>
            <w:r w:rsidR="00162927">
              <w:rPr>
                <w:rFonts w:eastAsia="Arial" w:cs="Arial"/>
              </w:rPr>
              <w:t>emphasizes</w:t>
            </w:r>
            <w:r w:rsidR="00162927" w:rsidRPr="00AF071A">
              <w:rPr>
                <w:rFonts w:eastAsia="Arial" w:cs="Arial"/>
              </w:rPr>
              <w:t xml:space="preserve"> working with </w:t>
            </w:r>
            <w:r w:rsidR="00162927">
              <w:rPr>
                <w:rFonts w:eastAsia="Arial" w:cs="Arial"/>
              </w:rPr>
              <w:t xml:space="preserve">the </w:t>
            </w:r>
            <w:r w:rsidR="00162927" w:rsidRPr="00AF071A">
              <w:rPr>
                <w:rFonts w:eastAsia="Arial" w:cs="Arial"/>
              </w:rPr>
              <w:t xml:space="preserve">mainstream government system through </w:t>
            </w:r>
            <w:r w:rsidR="00162927">
              <w:rPr>
                <w:rFonts w:eastAsia="Arial" w:cs="Arial"/>
              </w:rPr>
              <w:t xml:space="preserve">adopting </w:t>
            </w:r>
            <w:r w:rsidR="00162927" w:rsidRPr="00AF071A">
              <w:rPr>
                <w:rFonts w:eastAsia="Arial" w:cs="Arial"/>
              </w:rPr>
              <w:t xml:space="preserve">RSSH modules. It will implement activities </w:t>
            </w:r>
            <w:r w:rsidR="00162927">
              <w:rPr>
                <w:rFonts w:eastAsia="Arial" w:cs="Arial"/>
              </w:rPr>
              <w:t>by engaging</w:t>
            </w:r>
            <w:r w:rsidR="00162927" w:rsidRPr="00AF071A">
              <w:rPr>
                <w:rFonts w:eastAsia="Arial" w:cs="Arial"/>
              </w:rPr>
              <w:t xml:space="preserve"> 28 district health managers and government hospitals. ASP will </w:t>
            </w:r>
            <w:r w:rsidR="00162927">
              <w:rPr>
                <w:rFonts w:eastAsia="Arial" w:cs="Arial"/>
              </w:rPr>
              <w:t>develop</w:t>
            </w:r>
            <w:r w:rsidR="00162927" w:rsidRPr="00AF071A">
              <w:rPr>
                <w:rFonts w:eastAsia="Arial" w:cs="Arial"/>
              </w:rPr>
              <w:t xml:space="preserve"> strategic relation</w:t>
            </w:r>
            <w:r w:rsidR="00162927">
              <w:rPr>
                <w:rFonts w:eastAsia="Arial" w:cs="Arial"/>
              </w:rPr>
              <w:t>ships</w:t>
            </w:r>
            <w:r w:rsidR="00162927" w:rsidRPr="00AF071A">
              <w:rPr>
                <w:rFonts w:eastAsia="Arial" w:cs="Arial"/>
              </w:rPr>
              <w:t xml:space="preserve"> with other government programmes </w:t>
            </w:r>
            <w:r w:rsidR="00162927">
              <w:rPr>
                <w:rFonts w:eastAsia="Arial" w:cs="Arial"/>
              </w:rPr>
              <w:t>to embed</w:t>
            </w:r>
            <w:r w:rsidR="00162927" w:rsidRPr="00AF071A">
              <w:rPr>
                <w:rFonts w:eastAsia="Arial" w:cs="Arial"/>
              </w:rPr>
              <w:t xml:space="preserve"> </w:t>
            </w:r>
            <w:r w:rsidR="00162927">
              <w:rPr>
                <w:rFonts w:eastAsia="Arial" w:cs="Arial"/>
              </w:rPr>
              <w:t xml:space="preserve">HTS at </w:t>
            </w:r>
            <w:r w:rsidR="00162927" w:rsidRPr="00AF071A">
              <w:rPr>
                <w:rFonts w:eastAsia="Arial" w:cs="Arial"/>
              </w:rPr>
              <w:t>selected</w:t>
            </w:r>
            <w:r w:rsidR="00162927">
              <w:rPr>
                <w:rFonts w:eastAsia="Arial" w:cs="Arial"/>
              </w:rPr>
              <w:t xml:space="preserve"> public healthcare</w:t>
            </w:r>
            <w:r w:rsidR="00162927" w:rsidRPr="00AF071A">
              <w:rPr>
                <w:rFonts w:eastAsia="Arial" w:cs="Arial"/>
              </w:rPr>
              <w:t xml:space="preserve"> facilities. CBO</w:t>
            </w:r>
            <w:r w:rsidR="00162927">
              <w:rPr>
                <w:rFonts w:eastAsia="Arial" w:cs="Arial"/>
              </w:rPr>
              <w:t xml:space="preserve"> partnership</w:t>
            </w:r>
            <w:r w:rsidR="00162927" w:rsidRPr="00AF071A">
              <w:rPr>
                <w:rFonts w:eastAsia="Arial" w:cs="Arial"/>
              </w:rPr>
              <w:t xml:space="preserve">s and PLHIV networks will be strengthened </w:t>
            </w:r>
            <w:r w:rsidR="00162927">
              <w:rPr>
                <w:rFonts w:eastAsia="Arial" w:cs="Arial"/>
              </w:rPr>
              <w:t>to facilitate access to</w:t>
            </w:r>
            <w:r w:rsidR="00162927" w:rsidRPr="00AF071A">
              <w:rPr>
                <w:rFonts w:eastAsia="Arial" w:cs="Arial"/>
              </w:rPr>
              <w:t xml:space="preserve"> services and </w:t>
            </w:r>
            <w:r w:rsidR="00162927">
              <w:rPr>
                <w:rFonts w:eastAsia="Arial" w:cs="Arial"/>
              </w:rPr>
              <w:t xml:space="preserve">propel </w:t>
            </w:r>
            <w:r w:rsidR="00162927" w:rsidRPr="00AF071A">
              <w:rPr>
                <w:rFonts w:eastAsia="Arial" w:cs="Arial"/>
              </w:rPr>
              <w:t xml:space="preserve">treatment </w:t>
            </w:r>
            <w:r w:rsidR="00162927">
              <w:rPr>
                <w:rFonts w:eastAsia="Arial" w:cs="Arial"/>
              </w:rPr>
              <w:t>and</w:t>
            </w:r>
            <w:r w:rsidR="00162927" w:rsidRPr="00AF071A">
              <w:rPr>
                <w:rFonts w:eastAsia="Arial" w:cs="Arial"/>
              </w:rPr>
              <w:t xml:space="preserve"> care </w:t>
            </w:r>
            <w:r w:rsidR="00162927">
              <w:rPr>
                <w:rFonts w:eastAsia="Arial" w:cs="Arial"/>
              </w:rPr>
              <w:t>in line with the</w:t>
            </w:r>
            <w:r w:rsidR="00162927" w:rsidRPr="00AF071A">
              <w:rPr>
                <w:rFonts w:eastAsia="Arial" w:cs="Arial"/>
              </w:rPr>
              <w:t xml:space="preserve"> 90-90-90 goal. </w:t>
            </w:r>
            <w:r w:rsidR="0000248C">
              <w:rPr>
                <w:rFonts w:eastAsia="Arial" w:cs="Arial"/>
              </w:rPr>
              <w:t xml:space="preserve">To conduct the survey/ </w:t>
            </w:r>
            <w:r w:rsidR="00E102C4">
              <w:rPr>
                <w:rFonts w:eastAsia="Arial" w:cs="Arial"/>
              </w:rPr>
              <w:t xml:space="preserve">drug resistance survey ASP will build strategic partnership with govt/ semi govt organization including BSMMU. ASP don’t have any SR under this proposal rather existing staff will be continued based on their performance and will recruit few new staff to carry out the prevention module for PWID an FSW in 4 district hospitals. </w:t>
            </w:r>
            <w:r w:rsidR="00162927" w:rsidRPr="00AF071A">
              <w:rPr>
                <w:rFonts w:eastAsia="Arial" w:cs="Arial"/>
              </w:rPr>
              <w:t>Further</w:t>
            </w:r>
            <w:r w:rsidR="00162927">
              <w:rPr>
                <w:rFonts w:eastAsia="Arial" w:cs="Arial"/>
              </w:rPr>
              <w:t>more</w:t>
            </w:r>
            <w:r w:rsidR="00162927" w:rsidRPr="00AF071A">
              <w:rPr>
                <w:rFonts w:eastAsia="Arial" w:cs="Arial"/>
              </w:rPr>
              <w:t xml:space="preserve">, ASP addresses TB/HIV coordination and other co-morbidities </w:t>
            </w:r>
            <w:r w:rsidR="00162927">
              <w:rPr>
                <w:rFonts w:eastAsia="Arial" w:cs="Arial"/>
              </w:rPr>
              <w:t>via</w:t>
            </w:r>
            <w:r w:rsidR="00162927" w:rsidRPr="00AF071A">
              <w:rPr>
                <w:rFonts w:eastAsia="Arial" w:cs="Arial"/>
              </w:rPr>
              <w:t xml:space="preserve"> joint actions with NTP and other relevant expert</w:t>
            </w:r>
            <w:r w:rsidR="00162927">
              <w:rPr>
                <w:rFonts w:eastAsia="Arial" w:cs="Arial"/>
              </w:rPr>
              <w:t>s</w:t>
            </w:r>
            <w:r w:rsidR="00162927" w:rsidRPr="00AF071A">
              <w:rPr>
                <w:rFonts w:eastAsia="Arial" w:cs="Arial"/>
              </w:rPr>
              <w:t xml:space="preserve">. HMIS and M&amp;E will be key areas where ASP will confirm data </w:t>
            </w:r>
            <w:r w:rsidR="00B237A9">
              <w:rPr>
                <w:rFonts w:eastAsia="Arial" w:cs="Arial"/>
              </w:rPr>
              <w:t xml:space="preserve">gathering </w:t>
            </w:r>
            <w:r w:rsidR="00162927" w:rsidRPr="00AF071A">
              <w:rPr>
                <w:rFonts w:eastAsia="Arial" w:cs="Arial"/>
              </w:rPr>
              <w:t xml:space="preserve">and reporting </w:t>
            </w:r>
            <w:r w:rsidR="00162927">
              <w:rPr>
                <w:rFonts w:eastAsia="Arial" w:cs="Arial"/>
              </w:rPr>
              <w:t>in an accurate and timely manner</w:t>
            </w:r>
            <w:r w:rsidR="00162927" w:rsidRPr="00AF071A">
              <w:rPr>
                <w:rFonts w:eastAsia="Arial" w:cs="Arial"/>
              </w:rPr>
              <w:t xml:space="preserve">. Figure </w:t>
            </w:r>
            <w:r w:rsidR="00DC7FC8">
              <w:rPr>
                <w:rFonts w:eastAsia="Arial" w:cs="Arial"/>
              </w:rPr>
              <w:t>4</w:t>
            </w:r>
            <w:r w:rsidR="00162927" w:rsidRPr="00AF071A">
              <w:rPr>
                <w:rFonts w:eastAsia="Arial" w:cs="Arial"/>
              </w:rPr>
              <w:t xml:space="preserve"> </w:t>
            </w:r>
            <w:r w:rsidR="00162927">
              <w:rPr>
                <w:rFonts w:eastAsia="Arial" w:cs="Arial"/>
              </w:rPr>
              <w:t>depicts the</w:t>
            </w:r>
            <w:r w:rsidR="00162927" w:rsidRPr="00AF071A">
              <w:rPr>
                <w:rFonts w:eastAsia="Arial" w:cs="Arial"/>
              </w:rPr>
              <w:t xml:space="preserve"> PR-SC implementation arrangement for FSW and PWID. For FSW in 13 districts</w:t>
            </w:r>
            <w:r w:rsidR="008213AC">
              <w:rPr>
                <w:rFonts w:eastAsia="Arial" w:cs="Arial"/>
              </w:rPr>
              <w:t xml:space="preserve"> (</w:t>
            </w:r>
            <w:r w:rsidR="00107284">
              <w:rPr>
                <w:rFonts w:eastAsia="Arial" w:cs="Arial"/>
              </w:rPr>
              <w:t>d</w:t>
            </w:r>
            <w:r w:rsidR="008213AC">
              <w:rPr>
                <w:rFonts w:eastAsia="Arial" w:cs="Arial"/>
              </w:rPr>
              <w:t>istrict name annexed)</w:t>
            </w:r>
            <w:r w:rsidR="00162927">
              <w:rPr>
                <w:rFonts w:eastAsia="Arial" w:cs="Arial"/>
              </w:rPr>
              <w:t xml:space="preserve"> a </w:t>
            </w:r>
            <w:r w:rsidR="00162927" w:rsidRPr="00AF071A">
              <w:rPr>
                <w:rFonts w:eastAsia="Arial" w:cs="Arial"/>
              </w:rPr>
              <w:t>total of 9 DIC (one community</w:t>
            </w:r>
            <w:r w:rsidR="00162927">
              <w:rPr>
                <w:rFonts w:eastAsia="Arial" w:cs="Arial"/>
              </w:rPr>
              <w:t>-</w:t>
            </w:r>
            <w:r w:rsidR="00162927" w:rsidRPr="00AF071A">
              <w:rPr>
                <w:rFonts w:eastAsia="Arial" w:cs="Arial"/>
              </w:rPr>
              <w:t>led)</w:t>
            </w:r>
            <w:r w:rsidR="00162927">
              <w:rPr>
                <w:rFonts w:eastAsia="Arial" w:cs="Arial"/>
              </w:rPr>
              <w:t xml:space="preserve"> and</w:t>
            </w:r>
            <w:r w:rsidR="00162927" w:rsidRPr="00AF071A">
              <w:rPr>
                <w:rFonts w:eastAsia="Arial" w:cs="Arial"/>
              </w:rPr>
              <w:t xml:space="preserve"> 16 outlets (two community led and 2 CBOs run) will be set up</w:t>
            </w:r>
            <w:r w:rsidR="00162927">
              <w:rPr>
                <w:rFonts w:eastAsia="Arial" w:cs="Arial"/>
              </w:rPr>
              <w:t xml:space="preserve">, </w:t>
            </w:r>
            <w:r w:rsidR="008213AC">
              <w:rPr>
                <w:rFonts w:eastAsia="Arial" w:cs="Arial"/>
              </w:rPr>
              <w:t>following</w:t>
            </w:r>
            <w:r w:rsidR="008213AC" w:rsidRPr="00AF071A">
              <w:rPr>
                <w:rFonts w:eastAsia="Arial" w:cs="Arial"/>
              </w:rPr>
              <w:t xml:space="preserve"> differentiated</w:t>
            </w:r>
            <w:r w:rsidR="00162927" w:rsidRPr="00AF071A">
              <w:rPr>
                <w:rFonts w:eastAsia="Arial" w:cs="Arial"/>
              </w:rPr>
              <w:t xml:space="preserve"> service delivery approaches. Intensive service packages will be </w:t>
            </w:r>
            <w:r w:rsidR="008213AC">
              <w:rPr>
                <w:rFonts w:eastAsia="Arial" w:cs="Arial"/>
              </w:rPr>
              <w:t xml:space="preserve">run </w:t>
            </w:r>
            <w:r w:rsidR="00162927" w:rsidRPr="00AF071A">
              <w:rPr>
                <w:rFonts w:eastAsia="Arial" w:cs="Arial"/>
              </w:rPr>
              <w:t>in 7 districts</w:t>
            </w:r>
            <w:r w:rsidR="008213AC">
              <w:rPr>
                <w:rFonts w:eastAsia="Arial" w:cs="Arial"/>
              </w:rPr>
              <w:t xml:space="preserve"> (annexed)</w:t>
            </w:r>
            <w:r w:rsidR="00162927" w:rsidRPr="00AF071A">
              <w:rPr>
                <w:rFonts w:eastAsia="Arial" w:cs="Arial"/>
              </w:rPr>
              <w:t xml:space="preserve"> </w:t>
            </w:r>
            <w:r w:rsidR="00162927">
              <w:rPr>
                <w:rFonts w:eastAsia="Arial" w:cs="Arial"/>
              </w:rPr>
              <w:t>based on the</w:t>
            </w:r>
            <w:r w:rsidR="00162927" w:rsidRPr="00AF071A">
              <w:rPr>
                <w:rFonts w:eastAsia="Arial" w:cs="Arial"/>
              </w:rPr>
              <w:t xml:space="preserve"> HIV vulnerability</w:t>
            </w:r>
            <w:r w:rsidR="00162927">
              <w:rPr>
                <w:rFonts w:eastAsia="Arial" w:cs="Arial"/>
              </w:rPr>
              <w:t xml:space="preserve"> of populations residing in th</w:t>
            </w:r>
            <w:r w:rsidR="008213AC">
              <w:rPr>
                <w:rFonts w:eastAsia="Arial" w:cs="Arial"/>
              </w:rPr>
              <w:t>o</w:t>
            </w:r>
            <w:r w:rsidR="00162927">
              <w:rPr>
                <w:rFonts w:eastAsia="Arial" w:cs="Arial"/>
              </w:rPr>
              <w:t>se locations</w:t>
            </w:r>
            <w:r w:rsidR="00162927" w:rsidRPr="00AF071A">
              <w:rPr>
                <w:rFonts w:eastAsia="Arial" w:cs="Arial"/>
              </w:rPr>
              <w:t xml:space="preserve">. In other districts, basic service packages (Condom, HTS and linked clinical services with government/semi-government/NGO facilities) will be offered </w:t>
            </w:r>
            <w:r w:rsidR="00162927">
              <w:rPr>
                <w:rFonts w:eastAsia="Arial" w:cs="Arial"/>
              </w:rPr>
              <w:t>for</w:t>
            </w:r>
            <w:r w:rsidR="00162927" w:rsidRPr="00AF071A">
              <w:rPr>
                <w:rFonts w:eastAsia="Arial" w:cs="Arial"/>
              </w:rPr>
              <w:t xml:space="preserve"> FSW. For PWID, </w:t>
            </w:r>
            <w:r w:rsidR="00162927">
              <w:rPr>
                <w:rFonts w:eastAsia="Arial" w:cs="Arial"/>
              </w:rPr>
              <w:t>8</w:t>
            </w:r>
            <w:r w:rsidR="00162927" w:rsidRPr="00AF071A">
              <w:rPr>
                <w:rFonts w:eastAsia="Arial" w:cs="Arial"/>
              </w:rPr>
              <w:t xml:space="preserve"> district</w:t>
            </w:r>
            <w:r w:rsidR="008213AC">
              <w:rPr>
                <w:rFonts w:eastAsia="Arial" w:cs="Arial"/>
              </w:rPr>
              <w:t>s (annexed)</w:t>
            </w:r>
            <w:r w:rsidR="00162927" w:rsidRPr="00AF071A">
              <w:rPr>
                <w:rFonts w:eastAsia="Arial" w:cs="Arial"/>
              </w:rPr>
              <w:t xml:space="preserve"> have </w:t>
            </w:r>
            <w:r w:rsidR="008213AC" w:rsidRPr="00246A2A">
              <w:rPr>
                <w:noProof/>
              </w:rPr>
              <w:drawing>
                <wp:anchor distT="0" distB="0" distL="114300" distR="114300" simplePos="0" relativeHeight="251689984" behindDoc="0" locked="0" layoutInCell="1" allowOverlap="1" wp14:anchorId="669FAF72" wp14:editId="7E077FAD">
                  <wp:simplePos x="0" y="0"/>
                  <wp:positionH relativeFrom="margin">
                    <wp:posOffset>3502025</wp:posOffset>
                  </wp:positionH>
                  <wp:positionV relativeFrom="margin">
                    <wp:posOffset>1905</wp:posOffset>
                  </wp:positionV>
                  <wp:extent cx="2929890" cy="1983105"/>
                  <wp:effectExtent l="0" t="0" r="381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929890" cy="1983105"/>
                          </a:xfrm>
                          <a:prstGeom prst="rect">
                            <a:avLst/>
                          </a:prstGeom>
                        </pic:spPr>
                      </pic:pic>
                    </a:graphicData>
                  </a:graphic>
                  <wp14:sizeRelH relativeFrom="margin">
                    <wp14:pctWidth>0</wp14:pctWidth>
                  </wp14:sizeRelH>
                  <wp14:sizeRelV relativeFrom="margin">
                    <wp14:pctHeight>0</wp14:pctHeight>
                  </wp14:sizeRelV>
                </wp:anchor>
              </w:drawing>
            </w:r>
            <w:r w:rsidR="00162927" w:rsidRPr="00AF071A">
              <w:rPr>
                <w:rFonts w:eastAsia="Arial" w:cs="Arial"/>
              </w:rPr>
              <w:t>been prioritized</w:t>
            </w:r>
            <w:r w:rsidR="00162927">
              <w:rPr>
                <w:rFonts w:eastAsia="Arial" w:cs="Arial"/>
              </w:rPr>
              <w:t>,</w:t>
            </w:r>
            <w:r w:rsidR="00162927" w:rsidRPr="00AF071A">
              <w:rPr>
                <w:rFonts w:eastAsia="Arial" w:cs="Arial"/>
              </w:rPr>
              <w:t xml:space="preserve"> considering</w:t>
            </w:r>
            <w:r w:rsidR="00162927">
              <w:rPr>
                <w:rFonts w:eastAsia="Arial" w:cs="Arial"/>
              </w:rPr>
              <w:t xml:space="preserve"> the concentrated epidemics among PWID in Dhaka and adjacent districts, and concentration of people who use</w:t>
            </w:r>
            <w:r w:rsidR="00162927" w:rsidRPr="00AF071A">
              <w:rPr>
                <w:rFonts w:eastAsia="Arial" w:cs="Arial"/>
              </w:rPr>
              <w:t xml:space="preserve"> opiate</w:t>
            </w:r>
            <w:r w:rsidR="00162927">
              <w:rPr>
                <w:rFonts w:eastAsia="Arial" w:cs="Arial"/>
              </w:rPr>
              <w:t xml:space="preserve">-based drugs and </w:t>
            </w:r>
            <w:r w:rsidR="008213AC">
              <w:rPr>
                <w:rFonts w:eastAsia="Arial" w:cs="Arial"/>
              </w:rPr>
              <w:t xml:space="preserve">has </w:t>
            </w:r>
            <w:r w:rsidR="00162927">
              <w:rPr>
                <w:rFonts w:eastAsia="Arial" w:cs="Arial"/>
              </w:rPr>
              <w:t>Hepatitis-C prevalence.</w:t>
            </w:r>
            <w:r w:rsidR="00162927" w:rsidRPr="00AF071A">
              <w:rPr>
                <w:rFonts w:eastAsia="Arial" w:cs="Arial"/>
              </w:rPr>
              <w:t xml:space="preserve"> </w:t>
            </w:r>
            <w:r w:rsidR="00162927">
              <w:rPr>
                <w:rFonts w:eastAsia="Arial" w:cs="Arial"/>
              </w:rPr>
              <w:t>Differentiated service delivery approaches for PWID</w:t>
            </w:r>
            <w:r w:rsidR="00162927" w:rsidRPr="00AF071A">
              <w:rPr>
                <w:rFonts w:eastAsia="Arial" w:cs="Arial"/>
              </w:rPr>
              <w:t xml:space="preserve"> will be provided through 8 CDIC, 2 OST centers, 2 DIC</w:t>
            </w:r>
            <w:r w:rsidR="00162927">
              <w:rPr>
                <w:rFonts w:eastAsia="Arial" w:cs="Arial"/>
              </w:rPr>
              <w:t xml:space="preserve"> and </w:t>
            </w:r>
            <w:r w:rsidR="00162927" w:rsidRPr="00AF071A">
              <w:rPr>
                <w:rFonts w:eastAsia="Arial" w:cs="Arial"/>
              </w:rPr>
              <w:t xml:space="preserve">10 outlets </w:t>
            </w:r>
            <w:r w:rsidR="00162927">
              <w:rPr>
                <w:rFonts w:eastAsia="Arial" w:cs="Arial"/>
              </w:rPr>
              <w:t>(</w:t>
            </w:r>
            <w:r w:rsidR="00162927" w:rsidRPr="00AF071A">
              <w:rPr>
                <w:rFonts w:eastAsia="Arial" w:cs="Arial"/>
              </w:rPr>
              <w:t>including 2</w:t>
            </w:r>
            <w:r w:rsidR="00162927">
              <w:rPr>
                <w:rFonts w:eastAsia="Arial" w:cs="Arial"/>
              </w:rPr>
              <w:t xml:space="preserve"> operated by CBOs)</w:t>
            </w:r>
            <w:r w:rsidR="00162927" w:rsidRPr="00AF071A">
              <w:rPr>
                <w:rFonts w:eastAsia="Arial" w:cs="Arial"/>
              </w:rPr>
              <w:t>. OST will</w:t>
            </w:r>
            <w:r w:rsidR="00162927">
              <w:rPr>
                <w:rFonts w:eastAsia="Arial" w:cs="Arial"/>
              </w:rPr>
              <w:t xml:space="preserve"> also</w:t>
            </w:r>
            <w:r w:rsidR="00162927" w:rsidRPr="00AF071A">
              <w:rPr>
                <w:rFonts w:eastAsia="Arial" w:cs="Arial"/>
              </w:rPr>
              <w:t xml:space="preserve"> be provided to 2,600 PWID. The PR-SC proposes creating </w:t>
            </w:r>
            <w:r w:rsidR="00162927">
              <w:rPr>
                <w:rFonts w:eastAsia="Arial" w:cs="Arial"/>
              </w:rPr>
              <w:t xml:space="preserve">a </w:t>
            </w:r>
            <w:r w:rsidR="00162927" w:rsidRPr="00AF071A">
              <w:rPr>
                <w:rFonts w:eastAsia="Arial" w:cs="Arial"/>
              </w:rPr>
              <w:t>virtual space for hidden KP</w:t>
            </w:r>
            <w:r w:rsidR="00162927">
              <w:rPr>
                <w:rFonts w:eastAsia="Arial" w:cs="Arial"/>
              </w:rPr>
              <w:t>s</w:t>
            </w:r>
            <w:r w:rsidR="00162927" w:rsidRPr="00AF071A">
              <w:rPr>
                <w:rFonts w:eastAsia="Arial" w:cs="Arial"/>
              </w:rPr>
              <w:t xml:space="preserve"> for </w:t>
            </w:r>
            <w:r w:rsidR="00162927">
              <w:rPr>
                <w:rFonts w:eastAsia="Arial" w:cs="Arial"/>
              </w:rPr>
              <w:t xml:space="preserve">conducting </w:t>
            </w:r>
            <w:r w:rsidR="00162927" w:rsidRPr="00AF071A">
              <w:rPr>
                <w:rFonts w:eastAsia="Arial" w:cs="Arial"/>
              </w:rPr>
              <w:t xml:space="preserve">BCC </w:t>
            </w:r>
            <w:r w:rsidR="00162927">
              <w:rPr>
                <w:rFonts w:eastAsia="Arial" w:cs="Arial"/>
              </w:rPr>
              <w:t xml:space="preserve">initiatives </w:t>
            </w:r>
            <w:r w:rsidR="00162927" w:rsidRPr="00AF071A">
              <w:rPr>
                <w:rFonts w:eastAsia="Arial" w:cs="Arial"/>
              </w:rPr>
              <w:t>and increas</w:t>
            </w:r>
            <w:r w:rsidR="00162927">
              <w:rPr>
                <w:rFonts w:eastAsia="Arial" w:cs="Arial"/>
              </w:rPr>
              <w:t>ing</w:t>
            </w:r>
            <w:r w:rsidR="00162927" w:rsidRPr="00AF071A">
              <w:rPr>
                <w:rFonts w:eastAsia="Arial" w:cs="Arial"/>
              </w:rPr>
              <w:t xml:space="preserve"> service uptake. </w:t>
            </w:r>
            <w:r w:rsidR="00162927">
              <w:rPr>
                <w:rFonts w:eastAsia="Arial" w:cs="Arial"/>
              </w:rPr>
              <w:t xml:space="preserve">In order to strengthen the </w:t>
            </w:r>
            <w:r w:rsidR="00162927" w:rsidRPr="00AF071A">
              <w:rPr>
                <w:rFonts w:eastAsia="Arial" w:cs="Arial"/>
              </w:rPr>
              <w:t>treatment, care and support services for PLHIV</w:t>
            </w:r>
            <w:r w:rsidR="00162927">
              <w:rPr>
                <w:rFonts w:eastAsia="Arial" w:cs="Arial"/>
              </w:rPr>
              <w:t xml:space="preserve"> and enhance the community component, </w:t>
            </w:r>
            <w:r w:rsidR="00162927" w:rsidRPr="00AF071A">
              <w:rPr>
                <w:rFonts w:eastAsia="Arial" w:cs="Arial"/>
              </w:rPr>
              <w:t>community peer counsellors (CPC)</w:t>
            </w:r>
            <w:r w:rsidR="00162927">
              <w:rPr>
                <w:rFonts w:eastAsia="Arial" w:cs="Arial"/>
              </w:rPr>
              <w:t xml:space="preserve"> will be deployed</w:t>
            </w:r>
            <w:r w:rsidR="00162927" w:rsidRPr="00AF071A">
              <w:rPr>
                <w:rFonts w:eastAsia="Arial" w:cs="Arial"/>
              </w:rPr>
              <w:t xml:space="preserve"> at government</w:t>
            </w:r>
            <w:r w:rsidR="00162927">
              <w:rPr>
                <w:rFonts w:eastAsia="Arial" w:cs="Arial"/>
              </w:rPr>
              <w:t>-operated</w:t>
            </w:r>
            <w:r w:rsidR="00162927" w:rsidRPr="00AF071A">
              <w:rPr>
                <w:rFonts w:eastAsia="Arial" w:cs="Arial"/>
              </w:rPr>
              <w:t xml:space="preserve"> ART and ART refill center</w:t>
            </w:r>
            <w:r w:rsidR="00162927">
              <w:rPr>
                <w:rFonts w:eastAsia="Arial" w:cs="Arial"/>
              </w:rPr>
              <w:t>s</w:t>
            </w:r>
            <w:r w:rsidR="00162927" w:rsidRPr="00AF071A">
              <w:rPr>
                <w:rFonts w:eastAsia="Arial" w:cs="Arial"/>
              </w:rPr>
              <w:t xml:space="preserve">. PLHIV Network will also be </w:t>
            </w:r>
            <w:r w:rsidR="00162927">
              <w:rPr>
                <w:rFonts w:eastAsia="Arial" w:cs="Arial"/>
              </w:rPr>
              <w:t>actively engaged</w:t>
            </w:r>
            <w:r w:rsidR="00162927" w:rsidRPr="00AF071A">
              <w:rPr>
                <w:rFonts w:eastAsia="Arial" w:cs="Arial"/>
              </w:rPr>
              <w:t xml:space="preserve"> </w:t>
            </w:r>
            <w:r w:rsidR="00162927">
              <w:rPr>
                <w:rFonts w:eastAsia="Arial" w:cs="Arial"/>
              </w:rPr>
              <w:t>to enhance</w:t>
            </w:r>
            <w:r w:rsidR="00162927" w:rsidRPr="00AF071A">
              <w:rPr>
                <w:rFonts w:eastAsia="Arial" w:cs="Arial"/>
              </w:rPr>
              <w:t xml:space="preserve"> ART service delivery. PR-SC will continue with </w:t>
            </w:r>
            <w:r w:rsidR="00162927">
              <w:rPr>
                <w:rFonts w:eastAsia="Arial" w:cs="Arial"/>
              </w:rPr>
              <w:t xml:space="preserve">the </w:t>
            </w:r>
            <w:r w:rsidR="00162927" w:rsidRPr="00AF071A">
              <w:rPr>
                <w:rFonts w:eastAsia="Arial" w:cs="Arial"/>
              </w:rPr>
              <w:t xml:space="preserve">existing Sub-recipients (SRs): Care Bangladesh, Light House and Ashar Alo Society (AAS). The respective SR will be responsible </w:t>
            </w:r>
            <w:r w:rsidR="00162927">
              <w:rPr>
                <w:rFonts w:eastAsia="Arial" w:cs="Arial"/>
              </w:rPr>
              <w:t>for reformulating</w:t>
            </w:r>
            <w:r w:rsidR="00162927" w:rsidRPr="00AF071A">
              <w:rPr>
                <w:rFonts w:eastAsia="Arial" w:cs="Arial"/>
              </w:rPr>
              <w:t xml:space="preserve"> the consortium based on geographical locations</w:t>
            </w:r>
            <w:r w:rsidR="00162927">
              <w:rPr>
                <w:rFonts w:eastAsia="Arial" w:cs="Arial"/>
              </w:rPr>
              <w:t xml:space="preserve"> and</w:t>
            </w:r>
            <w:r w:rsidR="00162927" w:rsidRPr="00AF071A">
              <w:rPr>
                <w:rFonts w:eastAsia="Arial" w:cs="Arial"/>
              </w:rPr>
              <w:t xml:space="preserve"> </w:t>
            </w:r>
            <w:r w:rsidR="00162927">
              <w:rPr>
                <w:rFonts w:eastAsia="Arial" w:cs="Arial"/>
              </w:rPr>
              <w:t xml:space="preserve">population-based </w:t>
            </w:r>
            <w:r w:rsidR="00162927" w:rsidRPr="00AF071A">
              <w:rPr>
                <w:rFonts w:eastAsia="Arial" w:cs="Arial"/>
              </w:rPr>
              <w:t>needs</w:t>
            </w:r>
            <w:r w:rsidR="00162927">
              <w:rPr>
                <w:rFonts w:eastAsia="Arial" w:cs="Arial"/>
              </w:rPr>
              <w:t>. The modality would also be redesigned to foster community engagement</w:t>
            </w:r>
            <w:r w:rsidR="00162927" w:rsidRPr="00AF071A">
              <w:rPr>
                <w:rFonts w:eastAsia="Arial" w:cs="Arial"/>
              </w:rPr>
              <w:t xml:space="preserve"> and </w:t>
            </w:r>
            <w:r w:rsidR="00162927">
              <w:rPr>
                <w:rFonts w:eastAsia="Arial" w:cs="Arial"/>
              </w:rPr>
              <w:t xml:space="preserve">enhance </w:t>
            </w:r>
            <w:r w:rsidR="00162927" w:rsidRPr="00AF071A">
              <w:rPr>
                <w:rFonts w:eastAsia="Arial" w:cs="Arial"/>
              </w:rPr>
              <w:t>integration with government facili</w:t>
            </w:r>
            <w:r w:rsidR="00162927">
              <w:rPr>
                <w:rFonts w:eastAsia="Arial" w:cs="Arial"/>
              </w:rPr>
              <w:t>ties</w:t>
            </w:r>
            <w:r w:rsidR="009B5AD9">
              <w:rPr>
                <w:rFonts w:eastAsia="Arial" w:cs="Arial"/>
              </w:rPr>
              <w:t xml:space="preserve">. </w:t>
            </w:r>
            <w:r w:rsidR="00162927">
              <w:rPr>
                <w:rFonts w:eastAsia="Arial" w:cs="Arial"/>
              </w:rPr>
              <w:t xml:space="preserve">As </w:t>
            </w:r>
            <w:r w:rsidR="002E65DA">
              <w:rPr>
                <w:rFonts w:eastAsia="Arial" w:cs="Arial"/>
              </w:rPr>
              <w:t xml:space="preserve">plotted </w:t>
            </w:r>
            <w:r w:rsidR="00162927">
              <w:rPr>
                <w:rFonts w:eastAsia="Arial" w:cs="Arial"/>
              </w:rPr>
              <w:t xml:space="preserve">in </w:t>
            </w:r>
            <w:r w:rsidR="002E65DA">
              <w:rPr>
                <w:rFonts w:eastAsia="Arial" w:cs="Arial"/>
              </w:rPr>
              <w:t>f</w:t>
            </w:r>
            <w:r w:rsidR="00162927">
              <w:rPr>
                <w:rFonts w:eastAsia="Arial" w:cs="Arial"/>
              </w:rPr>
              <w:t xml:space="preserve">igure </w:t>
            </w:r>
            <w:r w:rsidR="002E65DA">
              <w:rPr>
                <w:rFonts w:eastAsia="Arial" w:cs="Arial"/>
              </w:rPr>
              <w:t>5</w:t>
            </w:r>
            <w:r w:rsidR="00162927">
              <w:rPr>
                <w:rFonts w:eastAsia="Arial" w:cs="Arial"/>
              </w:rPr>
              <w:t>,</w:t>
            </w:r>
            <w:r w:rsidR="00162927" w:rsidRPr="00AF071A">
              <w:rPr>
                <w:rFonts w:eastAsia="Arial" w:cs="Arial"/>
              </w:rPr>
              <w:t xml:space="preserve"> PR-icddr,b will provide </w:t>
            </w:r>
            <w:r w:rsidR="00162927">
              <w:rPr>
                <w:rFonts w:eastAsia="Arial" w:cs="Arial"/>
              </w:rPr>
              <w:t xml:space="preserve">peer-driven </w:t>
            </w:r>
            <w:r w:rsidR="00162927" w:rsidRPr="00AF071A">
              <w:rPr>
                <w:rFonts w:eastAsia="Arial" w:cs="Arial"/>
              </w:rPr>
              <w:t xml:space="preserve">services </w:t>
            </w:r>
            <w:r w:rsidR="002E65DA">
              <w:rPr>
                <w:rFonts w:eastAsia="Arial" w:cs="Arial"/>
              </w:rPr>
              <w:t>to</w:t>
            </w:r>
            <w:r w:rsidR="00162927" w:rsidRPr="00AF071A">
              <w:rPr>
                <w:rFonts w:eastAsia="Arial" w:cs="Arial"/>
              </w:rPr>
              <w:t xml:space="preserve"> MSM</w:t>
            </w:r>
            <w:r w:rsidR="00162927">
              <w:rPr>
                <w:rFonts w:eastAsia="Arial" w:cs="Arial"/>
              </w:rPr>
              <w:t xml:space="preserve">, </w:t>
            </w:r>
            <w:r w:rsidR="00162927" w:rsidRPr="00AF071A">
              <w:rPr>
                <w:rFonts w:eastAsia="Arial" w:cs="Arial"/>
              </w:rPr>
              <w:t xml:space="preserve">MSW and </w:t>
            </w:r>
            <w:r w:rsidR="00162927" w:rsidRPr="00936D3A">
              <w:rPr>
                <w:rFonts w:eastAsia="Arial" w:cs="Arial"/>
                <w:i/>
                <w:iCs/>
              </w:rPr>
              <w:t>hijra</w:t>
            </w:r>
            <w:r w:rsidR="00162927">
              <w:rPr>
                <w:rFonts w:eastAsia="Arial" w:cs="Arial"/>
              </w:rPr>
              <w:t xml:space="preserve">, </w:t>
            </w:r>
            <w:r w:rsidR="00107284">
              <w:rPr>
                <w:rFonts w:eastAsia="Arial" w:cs="Arial"/>
              </w:rPr>
              <w:t xml:space="preserve">with engagement of </w:t>
            </w:r>
            <w:r w:rsidR="00162927">
              <w:rPr>
                <w:rFonts w:eastAsia="Arial" w:cs="Arial"/>
              </w:rPr>
              <w:t xml:space="preserve">CBOs. </w:t>
            </w:r>
            <w:r w:rsidR="00162927" w:rsidRPr="00AF071A">
              <w:rPr>
                <w:rFonts w:eastAsia="Arial" w:cs="Arial"/>
              </w:rPr>
              <w:t xml:space="preserve">A total of 14 DIC, 18 sub-DIC, 18 outlets, </w:t>
            </w:r>
            <w:r w:rsidR="00162927">
              <w:rPr>
                <w:rFonts w:eastAsia="Arial" w:cs="Arial"/>
              </w:rPr>
              <w:t xml:space="preserve">and </w:t>
            </w:r>
            <w:r w:rsidR="00162927" w:rsidRPr="00AF071A">
              <w:rPr>
                <w:rFonts w:eastAsia="Arial" w:cs="Arial"/>
              </w:rPr>
              <w:t>13 satellite</w:t>
            </w:r>
            <w:r w:rsidR="00162927">
              <w:rPr>
                <w:rFonts w:eastAsia="Arial" w:cs="Arial"/>
              </w:rPr>
              <w:t>s</w:t>
            </w:r>
            <w:r w:rsidR="00162927" w:rsidRPr="00AF071A">
              <w:rPr>
                <w:rFonts w:eastAsia="Arial" w:cs="Arial"/>
              </w:rPr>
              <w:t xml:space="preserve"> will </w:t>
            </w:r>
            <w:r w:rsidR="00162927">
              <w:rPr>
                <w:rFonts w:eastAsia="Arial" w:cs="Arial"/>
              </w:rPr>
              <w:t xml:space="preserve">be in place to deliver services </w:t>
            </w:r>
            <w:r w:rsidR="00162927" w:rsidRPr="00AF071A">
              <w:rPr>
                <w:rFonts w:eastAsia="Arial" w:cs="Arial"/>
              </w:rPr>
              <w:t xml:space="preserve">in </w:t>
            </w:r>
            <w:r w:rsidR="00162927">
              <w:rPr>
                <w:rFonts w:eastAsia="Arial" w:cs="Arial"/>
              </w:rPr>
              <w:t>all priority districts, along with 14 other districts</w:t>
            </w:r>
            <w:r w:rsidR="00162927" w:rsidRPr="00AF071A">
              <w:rPr>
                <w:rFonts w:eastAsia="Arial" w:cs="Arial"/>
              </w:rPr>
              <w:t xml:space="preserve">. Three OST clinics for 600 PWID will be continued in </w:t>
            </w:r>
            <w:r w:rsidR="00162927">
              <w:rPr>
                <w:rFonts w:eastAsia="Arial" w:cs="Arial"/>
              </w:rPr>
              <w:t xml:space="preserve">three </w:t>
            </w:r>
            <w:r w:rsidR="00162927" w:rsidRPr="00AF071A">
              <w:rPr>
                <w:rFonts w:eastAsia="Arial" w:cs="Arial"/>
              </w:rPr>
              <w:t xml:space="preserve">existing facilities. PR-icddr,b </w:t>
            </w:r>
            <w:r w:rsidR="00162927">
              <w:rPr>
                <w:rFonts w:eastAsia="Arial" w:cs="Arial"/>
              </w:rPr>
              <w:t>has also</w:t>
            </w:r>
            <w:r w:rsidR="00162927" w:rsidRPr="00AF071A">
              <w:rPr>
                <w:rFonts w:eastAsia="Arial" w:cs="Arial"/>
              </w:rPr>
              <w:t xml:space="preserve"> proposed to </w:t>
            </w:r>
            <w:r w:rsidR="00162927">
              <w:rPr>
                <w:rFonts w:eastAsia="Arial" w:cs="Arial"/>
              </w:rPr>
              <w:t>employ</w:t>
            </w:r>
            <w:r w:rsidR="00162927" w:rsidRPr="00AF071A">
              <w:rPr>
                <w:rFonts w:eastAsia="Arial" w:cs="Arial"/>
              </w:rPr>
              <w:t xml:space="preserve"> ICT-based approaches to contact hidden MSM</w:t>
            </w:r>
            <w:r w:rsidR="00162927">
              <w:rPr>
                <w:rFonts w:eastAsia="Arial" w:cs="Arial"/>
              </w:rPr>
              <w:t xml:space="preserve"> and </w:t>
            </w:r>
            <w:r w:rsidR="00162927" w:rsidRPr="00AF071A">
              <w:rPr>
                <w:rFonts w:eastAsia="Arial" w:cs="Arial"/>
              </w:rPr>
              <w:t>MSW for providing prevention and follow-up</w:t>
            </w:r>
            <w:r w:rsidR="00162927">
              <w:rPr>
                <w:rFonts w:eastAsia="Arial" w:cs="Arial"/>
              </w:rPr>
              <w:t xml:space="preserve"> services</w:t>
            </w:r>
            <w:r w:rsidR="00162927" w:rsidRPr="00AF071A">
              <w:rPr>
                <w:rFonts w:eastAsia="Arial" w:cs="Arial"/>
              </w:rPr>
              <w:t xml:space="preserve">. PR-icddr,b will continue with </w:t>
            </w:r>
            <w:r w:rsidR="00162927">
              <w:rPr>
                <w:rFonts w:eastAsia="Arial" w:cs="Arial"/>
              </w:rPr>
              <w:t xml:space="preserve">the </w:t>
            </w:r>
            <w:r w:rsidR="00162927" w:rsidRPr="00AF071A">
              <w:rPr>
                <w:rFonts w:eastAsia="Arial" w:cs="Arial"/>
              </w:rPr>
              <w:t>existing two SRs i.e</w:t>
            </w:r>
            <w:r w:rsidR="00162927">
              <w:rPr>
                <w:rFonts w:eastAsia="Arial" w:cs="Arial"/>
              </w:rPr>
              <w:t>.,</w:t>
            </w:r>
            <w:r w:rsidR="00162927" w:rsidRPr="00AF071A">
              <w:rPr>
                <w:rFonts w:eastAsia="Arial" w:cs="Arial"/>
              </w:rPr>
              <w:t xml:space="preserve"> Bandhu (BSWS) and Light House (LH). Separate grant agreement</w:t>
            </w:r>
            <w:r w:rsidR="00162927">
              <w:rPr>
                <w:rFonts w:eastAsia="Arial" w:cs="Arial"/>
              </w:rPr>
              <w:t>s</w:t>
            </w:r>
            <w:r w:rsidR="00162927" w:rsidRPr="00AF071A">
              <w:rPr>
                <w:rFonts w:eastAsia="Arial" w:cs="Arial"/>
              </w:rPr>
              <w:t xml:space="preserve"> will be signed with them for implementing services in </w:t>
            </w:r>
            <w:r w:rsidR="00162927">
              <w:rPr>
                <w:rFonts w:eastAsia="Arial" w:cs="Arial"/>
              </w:rPr>
              <w:t xml:space="preserve">the </w:t>
            </w:r>
            <w:r w:rsidR="00162927" w:rsidRPr="00AF071A">
              <w:rPr>
                <w:rFonts w:eastAsia="Arial" w:cs="Arial"/>
              </w:rPr>
              <w:t xml:space="preserve">respective geographical areas with support </w:t>
            </w:r>
            <w:r w:rsidR="00162927">
              <w:rPr>
                <w:rFonts w:eastAsia="Arial" w:cs="Arial"/>
              </w:rPr>
              <w:t xml:space="preserve">and community engagement </w:t>
            </w:r>
            <w:r w:rsidR="00162927" w:rsidRPr="00AF071A">
              <w:rPr>
                <w:rFonts w:eastAsia="Arial" w:cs="Arial"/>
              </w:rPr>
              <w:t>of SSRs</w:t>
            </w:r>
            <w:r w:rsidR="00162927">
              <w:rPr>
                <w:rFonts w:eastAsia="Arial" w:cs="Arial"/>
              </w:rPr>
              <w:t xml:space="preserve"> (i.e. implementing partners)</w:t>
            </w:r>
            <w:r w:rsidR="00162927" w:rsidRPr="00AF071A">
              <w:rPr>
                <w:rFonts w:eastAsia="Arial" w:cs="Arial"/>
              </w:rPr>
              <w:t xml:space="preserve">.  The major procurement will follow </w:t>
            </w:r>
            <w:r w:rsidR="00162927">
              <w:rPr>
                <w:rFonts w:eastAsia="Arial" w:cs="Arial"/>
              </w:rPr>
              <w:t xml:space="preserve">the respective </w:t>
            </w:r>
            <w:r w:rsidR="00162927" w:rsidRPr="00AF071A">
              <w:rPr>
                <w:rFonts w:eastAsia="Arial" w:cs="Arial"/>
              </w:rPr>
              <w:t>procurement policies of each entit</w:t>
            </w:r>
            <w:r w:rsidR="00162927">
              <w:rPr>
                <w:rFonts w:eastAsia="Arial" w:cs="Arial"/>
              </w:rPr>
              <w:t>y</w:t>
            </w:r>
            <w:r w:rsidR="00162927" w:rsidRPr="00AF071A">
              <w:rPr>
                <w:rFonts w:eastAsia="Arial" w:cs="Arial"/>
              </w:rPr>
              <w:t xml:space="preserve"> by ensuring quality and VfM. The Technical Working Group on HIV</w:t>
            </w:r>
            <w:r w:rsidR="00162927">
              <w:rPr>
                <w:rFonts w:eastAsia="Arial" w:cs="Arial"/>
              </w:rPr>
              <w:t>,</w:t>
            </w:r>
            <w:r w:rsidR="00162927" w:rsidRPr="00AF071A">
              <w:rPr>
                <w:rFonts w:eastAsia="Arial" w:cs="Arial"/>
              </w:rPr>
              <w:t xml:space="preserve"> nominated by the BCCM, is responsible for endorsing the technical aspects of the application</w:t>
            </w:r>
            <w:r w:rsidR="00162927">
              <w:rPr>
                <w:rFonts w:eastAsia="Arial" w:cs="Arial"/>
              </w:rPr>
              <w:t xml:space="preserve">. </w:t>
            </w:r>
            <w:r w:rsidR="00D454D6">
              <w:t xml:space="preserve"> </w:t>
            </w:r>
          </w:p>
        </w:tc>
      </w:tr>
    </w:tbl>
    <w:p w14:paraId="3D012234" w14:textId="3B55D9CE" w:rsidR="0003674B" w:rsidRDefault="0003674B" w:rsidP="0099505A">
      <w:pPr>
        <w:spacing w:after="0" w:line="260" w:lineRule="atLeast"/>
      </w:pPr>
    </w:p>
    <w:p w14:paraId="75FE2F91" w14:textId="6F8A09E4" w:rsidR="009209C9" w:rsidRDefault="009209C9" w:rsidP="00C57762">
      <w:pPr>
        <w:pStyle w:val="ListParagraph"/>
        <w:numPr>
          <w:ilvl w:val="0"/>
          <w:numId w:val="22"/>
        </w:numPr>
        <w:spacing w:after="0" w:line="260" w:lineRule="atLeast"/>
        <w:ind w:left="450" w:hanging="450"/>
      </w:pPr>
      <w:r w:rsidRPr="004F1255">
        <w:t>Describe the role that </w:t>
      </w:r>
      <w:r w:rsidRPr="005A32E0">
        <w:rPr>
          <w:b/>
        </w:rPr>
        <w:t>community-based organizations</w:t>
      </w:r>
      <w:r w:rsidRPr="004F1255">
        <w:t> will play under the implementation arrangements.</w:t>
      </w:r>
    </w:p>
    <w:p w14:paraId="1DAA6A57" w14:textId="77777777" w:rsidR="0003674B" w:rsidRPr="004F1255" w:rsidRDefault="0003674B" w:rsidP="0003674B">
      <w:pPr>
        <w:pStyle w:val="ListParagraph"/>
        <w:spacing w:after="0" w:line="260" w:lineRule="atLeast"/>
        <w:ind w:left="450"/>
      </w:pPr>
    </w:p>
    <w:tbl>
      <w:tblPr>
        <w:tblStyle w:val="TableGrid"/>
        <w:tblW w:w="0" w:type="auto"/>
        <w:tblLook w:val="04A0" w:firstRow="1" w:lastRow="0" w:firstColumn="1" w:lastColumn="0" w:noHBand="0" w:noVBand="1"/>
      </w:tblPr>
      <w:tblGrid>
        <w:gridCol w:w="10456"/>
      </w:tblGrid>
      <w:tr w:rsidR="009209C9" w:rsidRPr="005305D5" w14:paraId="5B42561A" w14:textId="77777777" w:rsidTr="009209C9">
        <w:tc>
          <w:tcPr>
            <w:tcW w:w="10456" w:type="dxa"/>
          </w:tcPr>
          <w:p w14:paraId="3373CCC1" w14:textId="2F1DD64C" w:rsidR="009209C9" w:rsidRDefault="009209C9" w:rsidP="00107284">
            <w:pPr>
              <w:spacing w:after="0"/>
              <w:jc w:val="both"/>
            </w:pPr>
            <w:r w:rsidRPr="00202E7D">
              <w:rPr>
                <w:highlight w:val="yellow"/>
              </w:rPr>
              <w:t>[Applicant response]</w:t>
            </w:r>
            <w:r w:rsidR="00C22534" w:rsidRPr="00202E7D">
              <w:rPr>
                <w:highlight w:val="yellow"/>
              </w:rPr>
              <w:t xml:space="preserve"> 1 page</w:t>
            </w:r>
          </w:p>
          <w:p w14:paraId="3683314C" w14:textId="77777777" w:rsidR="00B05682" w:rsidRDefault="00B05682" w:rsidP="00107284">
            <w:pPr>
              <w:spacing w:after="0"/>
              <w:jc w:val="both"/>
            </w:pPr>
          </w:p>
          <w:p w14:paraId="5C2A72CC" w14:textId="58B5DE22" w:rsidR="009B0847" w:rsidRDefault="009B0847" w:rsidP="009B0847">
            <w:pPr>
              <w:spacing w:after="0"/>
              <w:jc w:val="both"/>
            </w:pPr>
            <w:r>
              <w:t xml:space="preserve">The CBOs from each of the KP groups will be the center of grant implementations. </w:t>
            </w:r>
          </w:p>
          <w:p w14:paraId="5417974A" w14:textId="77777777" w:rsidR="009B0847" w:rsidRDefault="009B0847" w:rsidP="009B0847">
            <w:pPr>
              <w:spacing w:after="0"/>
              <w:jc w:val="both"/>
            </w:pPr>
          </w:p>
          <w:p w14:paraId="6382DF2A" w14:textId="2899A407" w:rsidR="009B0847" w:rsidRDefault="009B0847" w:rsidP="009B0847">
            <w:pPr>
              <w:spacing w:after="0"/>
              <w:jc w:val="both"/>
            </w:pPr>
            <w:r>
              <w:t xml:space="preserve">Under </w:t>
            </w:r>
            <w:r w:rsidRPr="009B0847">
              <w:rPr>
                <w:u w:val="single"/>
              </w:rPr>
              <w:t>PR SC</w:t>
            </w:r>
            <w:r>
              <w:t xml:space="preserve">, two PLHIV CBO Ashar Alo Society (AAS) and Muktoakash Bangladesh (MAB)], one FSW CBO Nari Mukti Sangho (NMS)], and one PWID CBO (APOSH) working as SR and SSR at different geographical locations. In addition, five PWID CBOs and three FSW CBOs will also be implementing HIV prevention interventions with SR and SSR as strategic partner. </w:t>
            </w:r>
            <w:r w:rsidRPr="009B0847">
              <w:rPr>
                <w:u w:val="single"/>
              </w:rPr>
              <w:t>PR-SC</w:t>
            </w:r>
            <w:r>
              <w:t xml:space="preserve"> and SRs/SSRs will engage CBOs and networks to strengthen outreach activities through social mapping, spot analysis and contact mapping. Participatory monitoring and mentoring of outreach team will be led by CBOs and networks. ‘Community Squad’ will respond to GBV and harassment of PWID and FSWs. </w:t>
            </w:r>
            <w:r w:rsidRPr="00CD0FA2">
              <w:t xml:space="preserve">Systematic recording, reporting and response mechanism will be </w:t>
            </w:r>
            <w:r>
              <w:t>carried out by CBOs and Networks for effective advocacy.</w:t>
            </w:r>
          </w:p>
          <w:p w14:paraId="2EB82D0B" w14:textId="77777777" w:rsidR="009B0847" w:rsidRDefault="009B0847" w:rsidP="009B0847">
            <w:pPr>
              <w:spacing w:after="0"/>
              <w:jc w:val="both"/>
            </w:pPr>
          </w:p>
          <w:p w14:paraId="31613979" w14:textId="087AB392" w:rsidR="009B0847" w:rsidRDefault="009B0847" w:rsidP="009B0847">
            <w:pPr>
              <w:spacing w:after="0"/>
              <w:jc w:val="both"/>
            </w:pPr>
            <w:r w:rsidRPr="009B0847">
              <w:rPr>
                <w:u w:val="single"/>
              </w:rPr>
              <w:t>PR- icddr,</w:t>
            </w:r>
            <w:r>
              <w:t>b and SRs/SSRs have been facilitating the community-led mapping for identifying  legal, policy and other barriers that hinder/limit community responses will be continued. In this process, the reporting system of gender-based violence (GBV) and human rights issues has already been developed from current grant, which will be continuing to collect data and to analysis</w:t>
            </w:r>
            <w:r w:rsidRPr="0012723D">
              <w:t xml:space="preserve"> </w:t>
            </w:r>
            <w:r>
              <w:t xml:space="preserve">implicitly to inform relevant stakeholders. Currently the MSM-led organization </w:t>
            </w:r>
            <w:r w:rsidRPr="009B0847">
              <w:rPr>
                <w:i/>
                <w:iCs/>
              </w:rPr>
              <w:t>BSWS</w:t>
            </w:r>
            <w:r>
              <w:t xml:space="preserve"> is working as an SR with PR-icddrb in implementation of prevention, diagnosis and other interventions. Six hijra and MSM CBOs will be directly implementing HIV prevention and other services with PR-icddr,b. </w:t>
            </w:r>
          </w:p>
          <w:p w14:paraId="79E6A075" w14:textId="77777777" w:rsidR="009B0847" w:rsidRDefault="009B0847" w:rsidP="009B0847">
            <w:pPr>
              <w:spacing w:after="0"/>
              <w:jc w:val="both"/>
            </w:pPr>
          </w:p>
          <w:p w14:paraId="58B9CCE1" w14:textId="62E1173D" w:rsidR="009B0847" w:rsidRDefault="009B0847" w:rsidP="009B0847">
            <w:pPr>
              <w:spacing w:after="0"/>
              <w:jc w:val="both"/>
            </w:pPr>
            <w:r>
              <w:t xml:space="preserve">Since, the proposed funding request concentrates on effective community engagement and espousing with public facilities, the PRs will follow the GF guidelines and transparent procedures for engaging more CBOs </w:t>
            </w:r>
            <w:r w:rsidRPr="00FC0B34">
              <w:t>strategically</w:t>
            </w:r>
            <w:r>
              <w:t xml:space="preserve"> for programme implementation. Respective CBOs will work for their own quality of life and human rights towards minimizing stigma, getting better services and reducing vulnerabilities within this grant structure. However, technical and financial capacity of CBOs needs to be strengthened. Community-based monitoring (CBM) will be facilitated in association with CBOs to understand and to address the barriers for accessing quality services and for continuum of care. User-friendly tools will be developed for CBM.  The CBOs of MSM and hijra, FSW and PWID and PLHIV will be trained on the CBM with technical guidance from PRs and SRs. In addition, Participatory M&amp;E (PM&amp;E), which had been appreciated by TRP before, will be continued for improving implementation and monitoring. </w:t>
            </w:r>
          </w:p>
          <w:p w14:paraId="447F1B2D" w14:textId="0693103C" w:rsidR="00E63E5A" w:rsidRPr="005305D5" w:rsidRDefault="00E63E5A" w:rsidP="009B0847">
            <w:pPr>
              <w:spacing w:after="0"/>
              <w:jc w:val="both"/>
            </w:pPr>
          </w:p>
        </w:tc>
      </w:tr>
    </w:tbl>
    <w:p w14:paraId="766FDB55" w14:textId="68614CBD" w:rsidR="0003674B" w:rsidRDefault="0003674B" w:rsidP="0099505A">
      <w:pPr>
        <w:spacing w:after="0" w:line="260" w:lineRule="atLeast"/>
      </w:pPr>
    </w:p>
    <w:p w14:paraId="1AEE0B99" w14:textId="053D253A" w:rsidR="009209C9" w:rsidRDefault="00AE7DD0" w:rsidP="00C57762">
      <w:pPr>
        <w:pStyle w:val="ListParagraph"/>
        <w:numPr>
          <w:ilvl w:val="0"/>
          <w:numId w:val="22"/>
        </w:numPr>
        <w:spacing w:after="0" w:line="260" w:lineRule="atLeast"/>
        <w:ind w:left="450" w:hanging="450"/>
      </w:pPr>
      <w:r>
        <w:t xml:space="preserve">Does the funding request envisage a </w:t>
      </w:r>
      <w:r w:rsidRPr="00175C83">
        <w:rPr>
          <w:b/>
        </w:rPr>
        <w:t>joint investment platform</w:t>
      </w:r>
      <w:r>
        <w:t xml:space="preserve"> with other institutions?</w:t>
      </w:r>
    </w:p>
    <w:p w14:paraId="15C9C2AB" w14:textId="77777777" w:rsidR="0003674B" w:rsidRDefault="0003674B" w:rsidP="0003674B">
      <w:pPr>
        <w:pStyle w:val="ListParagraph"/>
        <w:spacing w:after="0" w:line="260" w:lineRule="atLeast"/>
        <w:ind w:left="450"/>
      </w:pPr>
    </w:p>
    <w:p w14:paraId="6E27F9B4" w14:textId="729EE2B8" w:rsidR="00AE7DD0" w:rsidRDefault="004535E1" w:rsidP="009B6C0D">
      <w:pPr>
        <w:pStyle w:val="ListParagraph"/>
        <w:spacing w:after="0"/>
      </w:pPr>
      <w:sdt>
        <w:sdtPr>
          <w:id w:val="-1035574346"/>
          <w14:checkbox>
            <w14:checked w14:val="0"/>
            <w14:checkedState w14:val="2612" w14:font="MS Gothic"/>
            <w14:uncheckedState w14:val="2610" w14:font="MS Gothic"/>
          </w14:checkbox>
        </w:sdtPr>
        <w:sdtEndPr/>
        <w:sdtContent>
          <w:r w:rsidR="00AE7DD0" w:rsidRPr="005305D5">
            <w:rPr>
              <w:rFonts w:ascii="Segoe UI Symbol" w:eastAsia="MS Gothic" w:hAnsi="Segoe UI Symbol" w:cs="Segoe UI Symbol"/>
            </w:rPr>
            <w:t>☐</w:t>
          </w:r>
        </w:sdtContent>
      </w:sdt>
      <w:r w:rsidR="00AE7DD0" w:rsidRPr="005305D5">
        <w:t xml:space="preserve"> Yes         </w:t>
      </w:r>
      <w:sdt>
        <w:sdtPr>
          <w:id w:val="-1839682974"/>
          <w14:checkbox>
            <w14:checked w14:val="1"/>
            <w14:checkedState w14:val="2612" w14:font="MS Gothic"/>
            <w14:uncheckedState w14:val="2610" w14:font="MS Gothic"/>
          </w14:checkbox>
        </w:sdtPr>
        <w:sdtEndPr/>
        <w:sdtContent>
          <w:r w:rsidR="00B94B4D">
            <w:rPr>
              <w:rFonts w:ascii="MS Gothic" w:eastAsia="MS Gothic" w:hAnsi="MS Gothic" w:hint="eastAsia"/>
            </w:rPr>
            <w:t>☒</w:t>
          </w:r>
        </w:sdtContent>
      </w:sdt>
      <w:r w:rsidR="00AE7DD0" w:rsidRPr="005305D5">
        <w:t xml:space="preserve"> No</w:t>
      </w:r>
    </w:p>
    <w:p w14:paraId="76195758" w14:textId="77777777" w:rsidR="0003674B" w:rsidRPr="005305D5" w:rsidRDefault="0003674B" w:rsidP="009B6C0D">
      <w:pPr>
        <w:pStyle w:val="ListParagraph"/>
        <w:spacing w:after="0"/>
      </w:pPr>
    </w:p>
    <w:p w14:paraId="5D856294" w14:textId="44E3D4D7" w:rsidR="00AE7DD0" w:rsidRDefault="00AE7DD0" w:rsidP="009B6C0D">
      <w:pPr>
        <w:pStyle w:val="ListParagraph"/>
        <w:spacing w:after="0" w:line="260" w:lineRule="atLeast"/>
        <w:ind w:left="450"/>
      </w:pPr>
      <w:r w:rsidRPr="005305D5">
        <w:t xml:space="preserve">If </w:t>
      </w:r>
      <w:r w:rsidRPr="005305D5">
        <w:rPr>
          <w:b/>
        </w:rPr>
        <w:t>yes</w:t>
      </w:r>
      <w:r w:rsidRPr="005305D5">
        <w:t xml:space="preserve">, </w:t>
      </w:r>
      <w:r>
        <w:t>describe specific arrangements and modalities.</w:t>
      </w:r>
    </w:p>
    <w:p w14:paraId="736916B1" w14:textId="77777777" w:rsidR="0003674B" w:rsidRPr="004F1255" w:rsidRDefault="0003674B" w:rsidP="009B6C0D">
      <w:pPr>
        <w:pStyle w:val="ListParagraph"/>
        <w:spacing w:after="0" w:line="260" w:lineRule="atLeast"/>
        <w:ind w:left="450"/>
      </w:pPr>
    </w:p>
    <w:tbl>
      <w:tblPr>
        <w:tblStyle w:val="TableGrid"/>
        <w:tblW w:w="0" w:type="auto"/>
        <w:tblLook w:val="04A0" w:firstRow="1" w:lastRow="0" w:firstColumn="1" w:lastColumn="0" w:noHBand="0" w:noVBand="1"/>
      </w:tblPr>
      <w:tblGrid>
        <w:gridCol w:w="10456"/>
      </w:tblGrid>
      <w:tr w:rsidR="009209C9" w:rsidRPr="005305D5" w14:paraId="752925C5" w14:textId="77777777" w:rsidTr="00226B41">
        <w:tc>
          <w:tcPr>
            <w:tcW w:w="10790" w:type="dxa"/>
          </w:tcPr>
          <w:p w14:paraId="5BAF514E" w14:textId="4FC65F78" w:rsidR="009209C9" w:rsidRPr="005305D5" w:rsidRDefault="009209C9" w:rsidP="009B6C0D">
            <w:pPr>
              <w:spacing w:after="0"/>
            </w:pPr>
            <w:r w:rsidRPr="005305D5">
              <w:t>[Applicant response]</w:t>
            </w:r>
          </w:p>
          <w:p w14:paraId="6FCF0CC0" w14:textId="77777777" w:rsidR="009209C9" w:rsidRPr="005305D5" w:rsidRDefault="009209C9" w:rsidP="009B6C0D">
            <w:pPr>
              <w:spacing w:after="0"/>
            </w:pPr>
          </w:p>
        </w:tc>
      </w:tr>
    </w:tbl>
    <w:p w14:paraId="70D894C9" w14:textId="74FFC7F5" w:rsidR="0003674B" w:rsidRDefault="0003674B" w:rsidP="0099505A">
      <w:pPr>
        <w:spacing w:after="0" w:line="260" w:lineRule="atLeast"/>
      </w:pPr>
    </w:p>
    <w:p w14:paraId="26149193" w14:textId="7D0EC170" w:rsidR="007E0555" w:rsidRDefault="007E0555" w:rsidP="00C57762">
      <w:pPr>
        <w:pStyle w:val="ListParagraph"/>
        <w:numPr>
          <w:ilvl w:val="0"/>
          <w:numId w:val="22"/>
        </w:numPr>
        <w:spacing w:after="0"/>
        <w:ind w:left="450" w:hanging="450"/>
      </w:pPr>
      <w:r w:rsidRPr="00D474E6">
        <w:t>Describe key</w:t>
      </w:r>
      <w:r w:rsidR="006D0956">
        <w:t>,</w:t>
      </w:r>
      <w:r w:rsidRPr="00D474E6">
        <w:t xml:space="preserve"> </w:t>
      </w:r>
      <w:r w:rsidRPr="00622D6C">
        <w:rPr>
          <w:b/>
        </w:rPr>
        <w:t>anticipated implementation risks</w:t>
      </w:r>
      <w:r w:rsidRPr="00D474E6">
        <w:t xml:space="preserve"> that might negatively affect </w:t>
      </w:r>
      <w:r w:rsidR="00BF55BF" w:rsidRPr="00BF55BF">
        <w:rPr>
          <w:b/>
        </w:rPr>
        <w:t>(</w:t>
      </w:r>
      <w:r w:rsidR="005F24F9" w:rsidRPr="00BF55BF">
        <w:rPr>
          <w:b/>
        </w:rPr>
        <w:t>i)</w:t>
      </w:r>
      <w:r w:rsidR="005F24F9" w:rsidRPr="00D474E6">
        <w:t xml:space="preserve"> </w:t>
      </w:r>
      <w:r w:rsidRPr="00D474E6">
        <w:t>the delivery of the program objectives</w:t>
      </w:r>
      <w:r w:rsidR="00F63A8D" w:rsidRPr="00D474E6">
        <w:t xml:space="preserve"> </w:t>
      </w:r>
      <w:r w:rsidRPr="00D474E6">
        <w:t xml:space="preserve">supported </w:t>
      </w:r>
      <w:r w:rsidR="005F24F9" w:rsidRPr="00D474E6">
        <w:t xml:space="preserve">by the </w:t>
      </w:r>
      <w:r w:rsidRPr="00D474E6">
        <w:t>Global Fund, and/or</w:t>
      </w:r>
      <w:r w:rsidR="005F24F9" w:rsidRPr="00D474E6">
        <w:t xml:space="preserve"> </w:t>
      </w:r>
      <w:r w:rsidR="00BF55BF" w:rsidRPr="00BF55BF">
        <w:rPr>
          <w:b/>
        </w:rPr>
        <w:t>(</w:t>
      </w:r>
      <w:r w:rsidR="005F24F9" w:rsidRPr="00D474E6">
        <w:rPr>
          <w:b/>
        </w:rPr>
        <w:t>ii)</w:t>
      </w:r>
      <w:r w:rsidRPr="00D474E6">
        <w:t xml:space="preserve"> the broader health system. </w:t>
      </w:r>
      <w:r w:rsidR="005F24F9" w:rsidRPr="00D474E6">
        <w:t>Then</w:t>
      </w:r>
      <w:r w:rsidR="00953A8B" w:rsidRPr="00D474E6">
        <w:t>, describe the mitigation measures that address these risks, and which entity would be responsible for these mitigation measures.</w:t>
      </w:r>
      <w:r w:rsidR="00B94B4D">
        <w:t xml:space="preserve"> </w:t>
      </w:r>
      <w:r w:rsidR="00B94B4D" w:rsidRPr="00B94B4D">
        <w:rPr>
          <w:highlight w:val="yellow"/>
        </w:rPr>
        <w:t>1 Page</w:t>
      </w:r>
    </w:p>
    <w:p w14:paraId="6DAC476D" w14:textId="024FB437" w:rsidR="0003674B" w:rsidRDefault="0003674B" w:rsidP="0003674B">
      <w:pPr>
        <w:pStyle w:val="ListParagraph"/>
        <w:spacing w:after="0"/>
        <w:ind w:left="450"/>
      </w:pPr>
    </w:p>
    <w:tbl>
      <w:tblPr>
        <w:tblStyle w:val="TableGrid"/>
        <w:tblW w:w="0" w:type="auto"/>
        <w:tblLook w:val="04A0" w:firstRow="1" w:lastRow="0" w:firstColumn="1" w:lastColumn="0" w:noHBand="0" w:noVBand="1"/>
      </w:tblPr>
      <w:tblGrid>
        <w:gridCol w:w="3485"/>
        <w:gridCol w:w="4340"/>
        <w:gridCol w:w="2631"/>
      </w:tblGrid>
      <w:tr w:rsidR="00B94B4D" w:rsidRPr="00237662" w14:paraId="09A3D740" w14:textId="77777777" w:rsidTr="000C38EC">
        <w:tc>
          <w:tcPr>
            <w:tcW w:w="3485" w:type="dxa"/>
            <w:shd w:val="clear" w:color="auto" w:fill="F2F2F2"/>
            <w:vAlign w:val="center"/>
          </w:tcPr>
          <w:p w14:paraId="3B21A2A0" w14:textId="77777777" w:rsidR="00B94B4D" w:rsidRPr="00237662" w:rsidRDefault="00B94B4D" w:rsidP="00002121">
            <w:pPr>
              <w:spacing w:after="0"/>
              <w:jc w:val="center"/>
              <w:rPr>
                <w:rFonts w:asciiTheme="majorHAnsi" w:eastAsia="Times New Roman" w:hAnsiTheme="majorHAnsi" w:cstheme="majorHAnsi"/>
                <w:b/>
                <w:lang w:eastAsia="es-EC"/>
              </w:rPr>
            </w:pPr>
            <w:r w:rsidRPr="00237662">
              <w:rPr>
                <w:rFonts w:asciiTheme="majorHAnsi" w:eastAsia="Times New Roman" w:hAnsiTheme="majorHAnsi" w:cstheme="majorHAnsi"/>
                <w:b/>
                <w:lang w:eastAsia="es-EC"/>
              </w:rPr>
              <w:t>Key Implementation Risks</w:t>
            </w:r>
          </w:p>
        </w:tc>
        <w:tc>
          <w:tcPr>
            <w:tcW w:w="4340" w:type="dxa"/>
            <w:shd w:val="clear" w:color="auto" w:fill="F2F2F2"/>
            <w:vAlign w:val="center"/>
          </w:tcPr>
          <w:p w14:paraId="1468ADAB" w14:textId="77777777" w:rsidR="00B94B4D" w:rsidRPr="00237662" w:rsidRDefault="00B94B4D" w:rsidP="00002121">
            <w:pPr>
              <w:spacing w:after="0"/>
              <w:jc w:val="center"/>
              <w:rPr>
                <w:rFonts w:asciiTheme="majorHAnsi" w:eastAsia="Times New Roman" w:hAnsiTheme="majorHAnsi" w:cstheme="majorHAnsi"/>
                <w:b/>
                <w:lang w:eastAsia="es-EC"/>
              </w:rPr>
            </w:pPr>
            <w:r w:rsidRPr="00237662">
              <w:rPr>
                <w:rFonts w:asciiTheme="majorHAnsi" w:eastAsia="Times New Roman" w:hAnsiTheme="majorHAnsi" w:cstheme="majorHAnsi"/>
                <w:b/>
                <w:lang w:eastAsia="es-EC"/>
              </w:rPr>
              <w:t>Corresponding Mitigation Measures</w:t>
            </w:r>
          </w:p>
        </w:tc>
        <w:tc>
          <w:tcPr>
            <w:tcW w:w="2631" w:type="dxa"/>
            <w:shd w:val="clear" w:color="auto" w:fill="F2F2F2"/>
            <w:vAlign w:val="center"/>
          </w:tcPr>
          <w:p w14:paraId="0EDB2EEC" w14:textId="77777777" w:rsidR="00B94B4D" w:rsidRPr="00237662" w:rsidRDefault="00B94B4D" w:rsidP="00002121">
            <w:pPr>
              <w:spacing w:after="0"/>
              <w:jc w:val="center"/>
              <w:rPr>
                <w:rFonts w:asciiTheme="majorHAnsi" w:eastAsia="Times New Roman" w:hAnsiTheme="majorHAnsi" w:cstheme="majorHAnsi"/>
                <w:b/>
                <w:lang w:eastAsia="es-EC"/>
              </w:rPr>
            </w:pPr>
            <w:r w:rsidRPr="00237662">
              <w:rPr>
                <w:rFonts w:asciiTheme="majorHAnsi" w:eastAsia="Times New Roman" w:hAnsiTheme="majorHAnsi" w:cstheme="majorHAnsi"/>
                <w:b/>
                <w:lang w:eastAsia="es-EC"/>
              </w:rPr>
              <w:t>Entity Responsible</w:t>
            </w:r>
          </w:p>
        </w:tc>
      </w:tr>
      <w:tr w:rsidR="00B94B4D" w:rsidRPr="00237662" w14:paraId="006794A0" w14:textId="77777777" w:rsidTr="000C38EC">
        <w:tc>
          <w:tcPr>
            <w:tcW w:w="3485" w:type="dxa"/>
          </w:tcPr>
          <w:p w14:paraId="6D85589C" w14:textId="6F80A346" w:rsidR="00B94B4D" w:rsidRPr="00237662" w:rsidRDefault="00B94B4D" w:rsidP="000C38EC">
            <w:pPr>
              <w:spacing w:after="0"/>
              <w:jc w:val="both"/>
              <w:rPr>
                <w:rFonts w:asciiTheme="majorHAnsi" w:eastAsia="Times New Roman" w:hAnsiTheme="majorHAnsi" w:cstheme="majorHAnsi"/>
                <w:lang w:eastAsia="es-EC"/>
              </w:rPr>
            </w:pPr>
            <w:r w:rsidRPr="000C62D8">
              <w:rPr>
                <w:rFonts w:asciiTheme="majorHAnsi" w:eastAsia="Times New Roman" w:hAnsiTheme="majorHAnsi" w:cstheme="majorHAnsi"/>
                <w:b/>
                <w:bCs/>
                <w:lang w:eastAsia="es-EC"/>
              </w:rPr>
              <w:t>Program Quality</w:t>
            </w:r>
            <w:r w:rsidRPr="00237662">
              <w:rPr>
                <w:rFonts w:asciiTheme="majorHAnsi" w:eastAsia="Times New Roman" w:hAnsiTheme="majorHAnsi" w:cstheme="majorHAnsi"/>
                <w:lang w:eastAsia="es-EC"/>
              </w:rPr>
              <w:t xml:space="preserve">: </w:t>
            </w:r>
            <w:r w:rsidR="007F3337">
              <w:rPr>
                <w:rFonts w:asciiTheme="majorHAnsi" w:eastAsia="Times New Roman" w:hAnsiTheme="majorHAnsi" w:cstheme="majorHAnsi"/>
                <w:lang w:eastAsia="es-EC"/>
              </w:rPr>
              <w:t>P</w:t>
            </w:r>
            <w:r w:rsidRPr="00237662">
              <w:rPr>
                <w:rFonts w:asciiTheme="majorHAnsi" w:eastAsia="Times New Roman" w:hAnsiTheme="majorHAnsi" w:cstheme="majorHAnsi"/>
                <w:lang w:eastAsia="es-EC"/>
              </w:rPr>
              <w:t xml:space="preserve">oor quality of prevention and treatment services, </w:t>
            </w:r>
            <w:r w:rsidR="007F3337">
              <w:rPr>
                <w:rFonts w:asciiTheme="majorHAnsi" w:eastAsia="Times New Roman" w:hAnsiTheme="majorHAnsi" w:cstheme="majorHAnsi"/>
                <w:lang w:eastAsia="es-EC"/>
              </w:rPr>
              <w:t xml:space="preserve">lack of </w:t>
            </w:r>
            <w:r w:rsidRPr="00237662">
              <w:rPr>
                <w:rFonts w:asciiTheme="majorHAnsi" w:eastAsia="Times New Roman" w:hAnsiTheme="majorHAnsi" w:cstheme="majorHAnsi"/>
                <w:lang w:eastAsia="es-EC"/>
              </w:rPr>
              <w:t xml:space="preserve">adherence to treatment, and </w:t>
            </w:r>
            <w:r w:rsidR="007F3337">
              <w:rPr>
                <w:rFonts w:asciiTheme="majorHAnsi" w:eastAsia="Times New Roman" w:hAnsiTheme="majorHAnsi" w:cstheme="majorHAnsi"/>
                <w:lang w:eastAsia="es-EC"/>
              </w:rPr>
              <w:t>ir</w:t>
            </w:r>
            <w:r w:rsidRPr="00237662">
              <w:rPr>
                <w:rFonts w:asciiTheme="majorHAnsi" w:eastAsia="Times New Roman" w:hAnsiTheme="majorHAnsi" w:cstheme="majorHAnsi"/>
                <w:lang w:eastAsia="es-EC"/>
              </w:rPr>
              <w:t>rational use of health and pharmaceutical products</w:t>
            </w:r>
            <w:r w:rsidR="00CD171F">
              <w:rPr>
                <w:rFonts w:asciiTheme="majorHAnsi" w:eastAsia="Times New Roman" w:hAnsiTheme="majorHAnsi" w:cstheme="majorHAnsi"/>
                <w:lang w:eastAsia="es-EC"/>
              </w:rPr>
              <w:t xml:space="preserve">. </w:t>
            </w:r>
          </w:p>
        </w:tc>
        <w:tc>
          <w:tcPr>
            <w:tcW w:w="4340" w:type="dxa"/>
          </w:tcPr>
          <w:p w14:paraId="2FA558E0" w14:textId="0F388C4D"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Follow national/international SOP</w:t>
            </w:r>
            <w:r w:rsidR="007F3337">
              <w:rPr>
                <w:rFonts w:asciiTheme="majorHAnsi" w:eastAsia="Times New Roman" w:hAnsiTheme="majorHAnsi" w:cstheme="majorHAnsi"/>
                <w:lang w:eastAsia="es-EC"/>
              </w:rPr>
              <w:t>/</w:t>
            </w:r>
            <w:r w:rsidRPr="00237662">
              <w:rPr>
                <w:rFonts w:asciiTheme="majorHAnsi" w:eastAsia="Times New Roman" w:hAnsiTheme="majorHAnsi" w:cstheme="majorHAnsi"/>
                <w:lang w:eastAsia="es-EC"/>
              </w:rPr>
              <w:t xml:space="preserve"> guidelines for </w:t>
            </w:r>
            <w:r w:rsidR="007F3337">
              <w:rPr>
                <w:rFonts w:asciiTheme="majorHAnsi" w:eastAsia="Times New Roman" w:hAnsiTheme="majorHAnsi" w:cstheme="majorHAnsi"/>
                <w:lang w:eastAsia="es-EC"/>
              </w:rPr>
              <w:t>service delivery</w:t>
            </w:r>
            <w:r w:rsidRPr="00237662">
              <w:rPr>
                <w:rFonts w:asciiTheme="majorHAnsi" w:eastAsia="Times New Roman" w:hAnsiTheme="majorHAnsi" w:cstheme="majorHAnsi"/>
                <w:lang w:eastAsia="es-EC"/>
              </w:rPr>
              <w:t xml:space="preserve"> and treatments, keeping proper records, and availability of required documents for verification.</w:t>
            </w:r>
          </w:p>
        </w:tc>
        <w:tc>
          <w:tcPr>
            <w:tcW w:w="2631" w:type="dxa"/>
          </w:tcPr>
          <w:p w14:paraId="754F5B1E" w14:textId="77777777"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PRs, SRs and SSRs, LFA</w:t>
            </w:r>
          </w:p>
        </w:tc>
      </w:tr>
      <w:tr w:rsidR="00B94B4D" w:rsidRPr="00237662" w14:paraId="28B5809B" w14:textId="77777777" w:rsidTr="000C38EC">
        <w:tc>
          <w:tcPr>
            <w:tcW w:w="3485" w:type="dxa"/>
          </w:tcPr>
          <w:p w14:paraId="20BD6205" w14:textId="0AE55557" w:rsidR="00B94B4D" w:rsidRPr="00237662" w:rsidRDefault="00B94B4D" w:rsidP="000C38EC">
            <w:pPr>
              <w:spacing w:after="0"/>
              <w:jc w:val="both"/>
              <w:rPr>
                <w:rFonts w:asciiTheme="majorHAnsi" w:eastAsia="Times New Roman" w:hAnsiTheme="majorHAnsi" w:cstheme="majorHAnsi"/>
                <w:lang w:eastAsia="es-EC"/>
              </w:rPr>
            </w:pPr>
            <w:r w:rsidRPr="000C62D8">
              <w:rPr>
                <w:rFonts w:asciiTheme="majorHAnsi" w:eastAsia="Times New Roman" w:hAnsiTheme="majorHAnsi" w:cstheme="majorHAnsi"/>
                <w:b/>
                <w:bCs/>
                <w:lang w:eastAsia="es-EC"/>
              </w:rPr>
              <w:t>Monitoring and Evaluation</w:t>
            </w:r>
            <w:r w:rsidRPr="00237662">
              <w:rPr>
                <w:rFonts w:asciiTheme="majorHAnsi" w:eastAsia="Times New Roman" w:hAnsiTheme="majorHAnsi" w:cstheme="majorHAnsi"/>
                <w:lang w:eastAsia="es-EC"/>
              </w:rPr>
              <w:t xml:space="preserve">: Lack of M&amp;E systems, lack of </w:t>
            </w:r>
            <w:r w:rsidR="000C014C">
              <w:rPr>
                <w:rFonts w:asciiTheme="majorHAnsi" w:eastAsia="Times New Roman" w:hAnsiTheme="majorHAnsi" w:cstheme="majorHAnsi"/>
                <w:lang w:eastAsia="es-EC"/>
              </w:rPr>
              <w:t xml:space="preserve">staff capacity, </w:t>
            </w:r>
            <w:r w:rsidRPr="00237662">
              <w:rPr>
                <w:rFonts w:asciiTheme="majorHAnsi" w:eastAsia="Times New Roman" w:hAnsiTheme="majorHAnsi" w:cstheme="majorHAnsi"/>
                <w:lang w:eastAsia="es-EC"/>
              </w:rPr>
              <w:t>and misinterpretation of results, poor validity and reliability of data</w:t>
            </w:r>
          </w:p>
        </w:tc>
        <w:tc>
          <w:tcPr>
            <w:tcW w:w="4340" w:type="dxa"/>
          </w:tcPr>
          <w:p w14:paraId="1C660D85" w14:textId="1B07A221"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 xml:space="preserve">Introducing participatory M&amp;E systems and low-cost training of respective staff and continue refresher training when needed on data collection, management and interpretation.  </w:t>
            </w:r>
          </w:p>
        </w:tc>
        <w:tc>
          <w:tcPr>
            <w:tcW w:w="2631" w:type="dxa"/>
          </w:tcPr>
          <w:p w14:paraId="122175EB" w14:textId="77777777"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PRs SRs and SSRs, LFA</w:t>
            </w:r>
            <w:r>
              <w:rPr>
                <w:rFonts w:asciiTheme="majorHAnsi" w:eastAsia="Times New Roman" w:hAnsiTheme="majorHAnsi" w:cstheme="majorHAnsi"/>
                <w:lang w:eastAsia="es-EC"/>
              </w:rPr>
              <w:fldChar w:fldCharType="begin"/>
            </w:r>
            <w:r>
              <w:instrText xml:space="preserve"> TA \l "</w:instrText>
            </w:r>
            <w:r w:rsidRPr="00322E02">
              <w:rPr>
                <w:rFonts w:asciiTheme="majorHAnsi" w:eastAsia="Times New Roman" w:hAnsiTheme="majorHAnsi" w:cstheme="majorHAnsi"/>
                <w:lang w:eastAsia="es-EC"/>
              </w:rPr>
              <w:instrText>LFA: Local Fund Agent</w:instrText>
            </w:r>
            <w:r>
              <w:instrText xml:space="preserve">" \s "LFA" \c 1 </w:instrText>
            </w:r>
            <w:r>
              <w:rPr>
                <w:rFonts w:asciiTheme="majorHAnsi" w:eastAsia="Times New Roman" w:hAnsiTheme="majorHAnsi" w:cstheme="majorHAnsi"/>
                <w:lang w:eastAsia="es-EC"/>
              </w:rPr>
              <w:fldChar w:fldCharType="end"/>
            </w:r>
          </w:p>
        </w:tc>
      </w:tr>
      <w:tr w:rsidR="00B94B4D" w:rsidRPr="00237662" w14:paraId="467EB312" w14:textId="77777777" w:rsidTr="000C38EC">
        <w:tc>
          <w:tcPr>
            <w:tcW w:w="3485" w:type="dxa"/>
          </w:tcPr>
          <w:p w14:paraId="561371AE" w14:textId="2B155887" w:rsidR="00B94B4D" w:rsidRPr="00237662" w:rsidRDefault="00B94B4D" w:rsidP="000C38EC">
            <w:pPr>
              <w:spacing w:after="0"/>
              <w:jc w:val="both"/>
              <w:rPr>
                <w:rFonts w:asciiTheme="majorHAnsi" w:eastAsia="Times New Roman" w:hAnsiTheme="majorHAnsi" w:cstheme="majorHAnsi"/>
                <w:lang w:eastAsia="es-EC"/>
              </w:rPr>
            </w:pPr>
            <w:r w:rsidRPr="000C62D8">
              <w:rPr>
                <w:rFonts w:asciiTheme="majorHAnsi" w:eastAsia="Times New Roman" w:hAnsiTheme="majorHAnsi" w:cstheme="majorHAnsi"/>
                <w:b/>
                <w:bCs/>
                <w:lang w:eastAsia="es-EC"/>
              </w:rPr>
              <w:t>Procurement and in-country supply chain</w:t>
            </w:r>
            <w:r w:rsidRPr="00237662">
              <w:rPr>
                <w:rFonts w:asciiTheme="majorHAnsi" w:eastAsia="Times New Roman" w:hAnsiTheme="majorHAnsi" w:cstheme="majorHAnsi"/>
                <w:lang w:eastAsia="es-EC"/>
              </w:rPr>
              <w:t>: Delay in procurement</w:t>
            </w:r>
            <w:r w:rsidR="000C014C">
              <w:rPr>
                <w:rFonts w:asciiTheme="majorHAnsi" w:eastAsia="Times New Roman" w:hAnsiTheme="majorHAnsi" w:cstheme="majorHAnsi"/>
                <w:lang w:eastAsia="es-EC"/>
              </w:rPr>
              <w:t>, low quality</w:t>
            </w:r>
            <w:r w:rsidRPr="00237662">
              <w:rPr>
                <w:rFonts w:asciiTheme="majorHAnsi" w:eastAsia="Times New Roman" w:hAnsiTheme="majorHAnsi" w:cstheme="majorHAnsi"/>
                <w:lang w:eastAsia="es-EC"/>
              </w:rPr>
              <w:t xml:space="preserve"> and price hike of products, possibility of negative health outcomes among the beneficiaries from treatment disruptions due to issues in the supply chain management.</w:t>
            </w:r>
          </w:p>
        </w:tc>
        <w:tc>
          <w:tcPr>
            <w:tcW w:w="4340" w:type="dxa"/>
          </w:tcPr>
          <w:p w14:paraId="42FD02F7" w14:textId="3C8853B2" w:rsidR="00B94B4D" w:rsidRPr="00237662" w:rsidRDefault="000C014C" w:rsidP="000C38EC">
            <w:pPr>
              <w:spacing w:after="0"/>
              <w:jc w:val="both"/>
              <w:rPr>
                <w:rFonts w:asciiTheme="majorHAnsi" w:eastAsia="Times New Roman" w:hAnsiTheme="majorHAnsi" w:cstheme="majorHAnsi"/>
                <w:lang w:eastAsia="es-EC"/>
              </w:rPr>
            </w:pPr>
            <w:r>
              <w:rPr>
                <w:rFonts w:asciiTheme="majorHAnsi" w:eastAsia="Times New Roman" w:hAnsiTheme="majorHAnsi" w:cstheme="majorHAnsi"/>
                <w:lang w:eastAsia="es-EC"/>
              </w:rPr>
              <w:t xml:space="preserve">Follow standard pre-qualification criteria, </w:t>
            </w:r>
            <w:r w:rsidR="00B94B4D" w:rsidRPr="00237662">
              <w:rPr>
                <w:rFonts w:asciiTheme="majorHAnsi" w:eastAsia="Times New Roman" w:hAnsiTheme="majorHAnsi" w:cstheme="majorHAnsi"/>
                <w:lang w:eastAsia="es-EC"/>
              </w:rPr>
              <w:t>Bulk procurement with long expiry date at comparatively lower price, framework agreement, back-up and contingency arrangements.</w:t>
            </w:r>
          </w:p>
        </w:tc>
        <w:tc>
          <w:tcPr>
            <w:tcW w:w="2631" w:type="dxa"/>
          </w:tcPr>
          <w:p w14:paraId="7F67A700" w14:textId="77777777"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SRs, PRs</w:t>
            </w:r>
          </w:p>
        </w:tc>
      </w:tr>
      <w:tr w:rsidR="00B94B4D" w:rsidRPr="00237662" w14:paraId="69A41552" w14:textId="77777777" w:rsidTr="000C38EC">
        <w:tc>
          <w:tcPr>
            <w:tcW w:w="3485" w:type="dxa"/>
          </w:tcPr>
          <w:p w14:paraId="05A88DFD" w14:textId="77777777" w:rsidR="00B94B4D" w:rsidRPr="00237662" w:rsidRDefault="00B94B4D" w:rsidP="000C38EC">
            <w:pPr>
              <w:spacing w:after="0"/>
              <w:jc w:val="both"/>
              <w:rPr>
                <w:rFonts w:asciiTheme="majorHAnsi" w:hAnsiTheme="majorHAnsi" w:cstheme="majorHAnsi"/>
              </w:rPr>
            </w:pPr>
            <w:r w:rsidRPr="000C62D8">
              <w:rPr>
                <w:rFonts w:asciiTheme="majorHAnsi" w:hAnsiTheme="majorHAnsi" w:cstheme="majorHAnsi"/>
                <w:b/>
                <w:bCs/>
              </w:rPr>
              <w:t>Grant-Related Fraud &amp; Fiduciary</w:t>
            </w:r>
            <w:r w:rsidRPr="00237662">
              <w:rPr>
                <w:rFonts w:asciiTheme="majorHAnsi" w:hAnsiTheme="majorHAnsi" w:cstheme="majorHAnsi"/>
              </w:rPr>
              <w:t xml:space="preserve">: </w:t>
            </w:r>
          </w:p>
          <w:p w14:paraId="2E5BCB39" w14:textId="23C4E323" w:rsidR="00B94B4D" w:rsidRPr="00237662" w:rsidRDefault="00CD171F" w:rsidP="000C38EC">
            <w:pPr>
              <w:spacing w:after="0"/>
              <w:jc w:val="both"/>
              <w:rPr>
                <w:rFonts w:asciiTheme="majorHAnsi" w:hAnsiTheme="majorHAnsi" w:cstheme="majorHAnsi"/>
              </w:rPr>
            </w:pPr>
            <w:r>
              <w:rPr>
                <w:rFonts w:asciiTheme="majorHAnsi" w:hAnsiTheme="majorHAnsi" w:cstheme="majorHAnsi"/>
              </w:rPr>
              <w:t>F</w:t>
            </w:r>
            <w:r w:rsidR="00B94B4D" w:rsidRPr="00237662">
              <w:rPr>
                <w:rFonts w:asciiTheme="majorHAnsi" w:hAnsiTheme="majorHAnsi" w:cstheme="majorHAnsi"/>
              </w:rPr>
              <w:t>unds are not used properly as per agreed workplan and budget within the organizational policies. Agreed-upon reports are not submitted on time</w:t>
            </w:r>
          </w:p>
        </w:tc>
        <w:tc>
          <w:tcPr>
            <w:tcW w:w="4340" w:type="dxa"/>
          </w:tcPr>
          <w:p w14:paraId="129018E9" w14:textId="77777777"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 xml:space="preserve">Complying the approved work plan and spend as per budget by strictly following the organizational relevant policies, where policies are unavailable, develop without any delay. Implement financial monitoring strictly with reports and documented actions. </w:t>
            </w:r>
          </w:p>
        </w:tc>
        <w:tc>
          <w:tcPr>
            <w:tcW w:w="2631" w:type="dxa"/>
          </w:tcPr>
          <w:p w14:paraId="3D1855E5" w14:textId="2A6591B5" w:rsidR="00B94B4D" w:rsidRPr="00237662" w:rsidRDefault="00CD171F" w:rsidP="000C38EC">
            <w:pPr>
              <w:spacing w:after="0"/>
              <w:jc w:val="both"/>
              <w:rPr>
                <w:rFonts w:asciiTheme="majorHAnsi" w:eastAsia="Times New Roman" w:hAnsiTheme="majorHAnsi" w:cstheme="majorHAnsi"/>
                <w:lang w:eastAsia="es-EC"/>
              </w:rPr>
            </w:pPr>
            <w:r>
              <w:rPr>
                <w:rFonts w:asciiTheme="majorHAnsi" w:eastAsia="Times New Roman" w:hAnsiTheme="majorHAnsi" w:cstheme="majorHAnsi"/>
                <w:lang w:eastAsia="es-EC"/>
              </w:rPr>
              <w:t xml:space="preserve">All </w:t>
            </w:r>
            <w:r w:rsidR="00B94B4D" w:rsidRPr="00237662">
              <w:rPr>
                <w:rFonts w:asciiTheme="majorHAnsi" w:eastAsia="Times New Roman" w:hAnsiTheme="majorHAnsi" w:cstheme="majorHAnsi"/>
                <w:lang w:eastAsia="es-EC"/>
              </w:rPr>
              <w:t>PRs</w:t>
            </w:r>
          </w:p>
        </w:tc>
      </w:tr>
      <w:tr w:rsidR="00B94B4D" w:rsidRPr="00237662" w14:paraId="04D6A80E" w14:textId="77777777" w:rsidTr="000C38EC">
        <w:tc>
          <w:tcPr>
            <w:tcW w:w="3485" w:type="dxa"/>
          </w:tcPr>
          <w:p w14:paraId="56D2D08A" w14:textId="15939F2E" w:rsidR="00B94B4D" w:rsidRPr="00237662" w:rsidRDefault="00B94B4D" w:rsidP="000C38EC">
            <w:pPr>
              <w:spacing w:after="0"/>
              <w:jc w:val="both"/>
              <w:rPr>
                <w:rFonts w:asciiTheme="majorHAnsi" w:hAnsiTheme="majorHAnsi" w:cstheme="majorHAnsi"/>
              </w:rPr>
            </w:pPr>
            <w:r w:rsidRPr="000C62D8">
              <w:rPr>
                <w:rFonts w:asciiTheme="majorHAnsi" w:hAnsiTheme="majorHAnsi" w:cstheme="majorHAnsi"/>
                <w:b/>
                <w:bCs/>
              </w:rPr>
              <w:t>Accounting and Financial Reporting</w:t>
            </w:r>
            <w:r w:rsidRPr="00237662">
              <w:rPr>
                <w:rFonts w:asciiTheme="majorHAnsi" w:hAnsiTheme="majorHAnsi" w:cstheme="majorHAnsi"/>
              </w:rPr>
              <w:t>: Global Fund funds are not properly recorded, accounted for, or reported by PR or SRs</w:t>
            </w:r>
          </w:p>
        </w:tc>
        <w:tc>
          <w:tcPr>
            <w:tcW w:w="4340" w:type="dxa"/>
          </w:tcPr>
          <w:p w14:paraId="735690E6" w14:textId="4619FF29" w:rsidR="00B94B4D" w:rsidRPr="00237662" w:rsidRDefault="00CD171F" w:rsidP="000C38EC">
            <w:pPr>
              <w:spacing w:after="0"/>
              <w:jc w:val="both"/>
              <w:rPr>
                <w:rFonts w:asciiTheme="majorHAnsi" w:eastAsia="Times New Roman" w:hAnsiTheme="majorHAnsi" w:cstheme="majorHAnsi"/>
                <w:lang w:eastAsia="es-EC"/>
              </w:rPr>
            </w:pPr>
            <w:r>
              <w:rPr>
                <w:rFonts w:asciiTheme="majorHAnsi" w:eastAsia="Times New Roman" w:hAnsiTheme="majorHAnsi" w:cstheme="majorHAnsi"/>
                <w:lang w:eastAsia="es-EC"/>
              </w:rPr>
              <w:t xml:space="preserve">There is </w:t>
            </w:r>
            <w:r w:rsidR="00B94B4D" w:rsidRPr="00237662">
              <w:rPr>
                <w:rFonts w:asciiTheme="majorHAnsi" w:eastAsia="Times New Roman" w:hAnsiTheme="majorHAnsi" w:cstheme="majorHAnsi"/>
                <w:lang w:eastAsia="es-EC"/>
              </w:rPr>
              <w:t>tally-based accounting software</w:t>
            </w:r>
            <w:r>
              <w:rPr>
                <w:rFonts w:asciiTheme="majorHAnsi" w:eastAsia="Times New Roman" w:hAnsiTheme="majorHAnsi" w:cstheme="majorHAnsi"/>
                <w:lang w:eastAsia="es-EC"/>
              </w:rPr>
              <w:t xml:space="preserve"> to be used</w:t>
            </w:r>
            <w:r w:rsidR="00B94B4D" w:rsidRPr="00237662">
              <w:rPr>
                <w:rFonts w:asciiTheme="majorHAnsi" w:eastAsia="Times New Roman" w:hAnsiTheme="majorHAnsi" w:cstheme="majorHAnsi"/>
                <w:lang w:eastAsia="es-EC"/>
              </w:rPr>
              <w:t xml:space="preserve">. </w:t>
            </w:r>
            <w:r>
              <w:rPr>
                <w:rFonts w:asciiTheme="majorHAnsi" w:eastAsia="Times New Roman" w:hAnsiTheme="majorHAnsi" w:cstheme="majorHAnsi"/>
                <w:lang w:eastAsia="es-EC"/>
              </w:rPr>
              <w:t xml:space="preserve">Regular </w:t>
            </w:r>
            <w:r w:rsidR="00B94B4D" w:rsidRPr="00237662">
              <w:rPr>
                <w:rFonts w:asciiTheme="majorHAnsi" w:eastAsia="Times New Roman" w:hAnsiTheme="majorHAnsi" w:cstheme="majorHAnsi"/>
                <w:lang w:eastAsia="es-EC"/>
              </w:rPr>
              <w:t>verif</w:t>
            </w:r>
            <w:r>
              <w:rPr>
                <w:rFonts w:asciiTheme="majorHAnsi" w:eastAsia="Times New Roman" w:hAnsiTheme="majorHAnsi" w:cstheme="majorHAnsi"/>
                <w:lang w:eastAsia="es-EC"/>
              </w:rPr>
              <w:t>ication of</w:t>
            </w:r>
            <w:r w:rsidR="00B94B4D" w:rsidRPr="00237662">
              <w:rPr>
                <w:rFonts w:asciiTheme="majorHAnsi" w:eastAsia="Times New Roman" w:hAnsiTheme="majorHAnsi" w:cstheme="majorHAnsi"/>
                <w:lang w:eastAsia="es-EC"/>
              </w:rPr>
              <w:t xml:space="preserve"> the accuracy of the figures of the submitted report </w:t>
            </w:r>
            <w:r>
              <w:rPr>
                <w:rFonts w:asciiTheme="majorHAnsi" w:eastAsia="Times New Roman" w:hAnsiTheme="majorHAnsi" w:cstheme="majorHAnsi"/>
                <w:lang w:eastAsia="es-EC"/>
              </w:rPr>
              <w:t>to be</w:t>
            </w:r>
            <w:r w:rsidR="00B94B4D" w:rsidRPr="00237662">
              <w:rPr>
                <w:rFonts w:asciiTheme="majorHAnsi" w:eastAsia="Times New Roman" w:hAnsiTheme="majorHAnsi" w:cstheme="majorHAnsi"/>
                <w:lang w:eastAsia="es-EC"/>
              </w:rPr>
              <w:t xml:space="preserve"> aligned with the software based financial report. PR</w:t>
            </w:r>
            <w:r w:rsidR="00B94B4D">
              <w:rPr>
                <w:rFonts w:asciiTheme="majorHAnsi" w:eastAsia="Times New Roman" w:hAnsiTheme="majorHAnsi" w:cstheme="majorHAnsi"/>
                <w:lang w:eastAsia="es-EC"/>
              </w:rPr>
              <w:t>s</w:t>
            </w:r>
            <w:r w:rsidR="00B94B4D" w:rsidRPr="00237662">
              <w:rPr>
                <w:rFonts w:asciiTheme="majorHAnsi" w:eastAsia="Times New Roman" w:hAnsiTheme="majorHAnsi" w:cstheme="majorHAnsi"/>
                <w:lang w:eastAsia="es-EC"/>
              </w:rPr>
              <w:t xml:space="preserve"> is submitting PUDR to GF semi-annually. All figures are supported by the ERP Microsoft navigation system. Therefore, chance of inaccurate data recording and reporting s minimal. </w:t>
            </w:r>
          </w:p>
          <w:p w14:paraId="5B01AAFC" w14:textId="77777777" w:rsidR="00B94B4D" w:rsidRPr="00237662" w:rsidRDefault="00B94B4D" w:rsidP="000C38EC">
            <w:pPr>
              <w:spacing w:after="0"/>
              <w:jc w:val="both"/>
              <w:rPr>
                <w:rFonts w:asciiTheme="majorHAnsi" w:eastAsia="Times New Roman" w:hAnsiTheme="majorHAnsi" w:cstheme="majorHAnsi"/>
                <w:lang w:eastAsia="es-EC"/>
              </w:rPr>
            </w:pPr>
          </w:p>
        </w:tc>
        <w:tc>
          <w:tcPr>
            <w:tcW w:w="2631" w:type="dxa"/>
          </w:tcPr>
          <w:p w14:paraId="6A0960E2" w14:textId="77777777"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All PRs</w:t>
            </w:r>
          </w:p>
        </w:tc>
      </w:tr>
      <w:tr w:rsidR="00B94B4D" w:rsidRPr="00237662" w14:paraId="0A5D31CA" w14:textId="77777777" w:rsidTr="000C38EC">
        <w:tc>
          <w:tcPr>
            <w:tcW w:w="3485" w:type="dxa"/>
          </w:tcPr>
          <w:p w14:paraId="39F9CE6B" w14:textId="77777777" w:rsidR="00B94B4D" w:rsidRPr="00237662" w:rsidRDefault="00B94B4D" w:rsidP="000C38EC">
            <w:pPr>
              <w:spacing w:after="0"/>
              <w:jc w:val="both"/>
              <w:rPr>
                <w:rFonts w:asciiTheme="majorHAnsi" w:hAnsiTheme="majorHAnsi" w:cstheme="majorHAnsi"/>
              </w:rPr>
            </w:pPr>
            <w:r w:rsidRPr="000C62D8">
              <w:rPr>
                <w:rFonts w:asciiTheme="majorHAnsi" w:hAnsiTheme="majorHAnsi" w:cstheme="majorHAnsi"/>
                <w:b/>
                <w:bCs/>
              </w:rPr>
              <w:t>National Program Governance and Grant Oversight</w:t>
            </w:r>
            <w:r w:rsidRPr="00237662">
              <w:rPr>
                <w:rFonts w:asciiTheme="majorHAnsi" w:hAnsiTheme="majorHAnsi" w:cstheme="majorHAnsi"/>
              </w:rPr>
              <w:t>: Possibility that the CCM exhibits unmitigated conflict(s) of interest; poor multi-stakeholder and constituency representation; weak organizational structure, policies and processes; inadequate leadership and quality of CCM secretariat staff; lack of transparency; ineffective PR selection, oversight or sanctions; or insufficient engagement and coordination with program stakeholders and partners</w:t>
            </w:r>
          </w:p>
        </w:tc>
        <w:tc>
          <w:tcPr>
            <w:tcW w:w="4340" w:type="dxa"/>
          </w:tcPr>
          <w:p w14:paraId="3F70B497" w14:textId="77777777"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Under the guidance of GMS consultants, BCCM was restructured by following the Global Fund guidelines. through elections, members of various constituency have now on-board. Meetings are taking place, COI polices signed by Individual CCM</w:t>
            </w:r>
            <w:r>
              <w:rPr>
                <w:rFonts w:asciiTheme="majorHAnsi" w:eastAsia="Times New Roman" w:hAnsiTheme="majorHAnsi" w:cstheme="majorHAnsi"/>
                <w:lang w:eastAsia="es-EC"/>
              </w:rPr>
              <w:fldChar w:fldCharType="begin"/>
            </w:r>
            <w:r>
              <w:instrText xml:space="preserve"> TA \l "</w:instrText>
            </w:r>
            <w:r w:rsidRPr="00197864">
              <w:rPr>
                <w:rFonts w:asciiTheme="majorHAnsi" w:eastAsia="Times New Roman" w:hAnsiTheme="majorHAnsi" w:cstheme="majorHAnsi"/>
                <w:lang w:eastAsia="es-EC"/>
              </w:rPr>
              <w:instrText>CCM: Country Coordination Mechanism</w:instrText>
            </w:r>
            <w:r>
              <w:instrText xml:space="preserve">" \s "CCM" \c 1 </w:instrText>
            </w:r>
            <w:r>
              <w:rPr>
                <w:rFonts w:asciiTheme="majorHAnsi" w:eastAsia="Times New Roman" w:hAnsiTheme="majorHAnsi" w:cstheme="majorHAnsi"/>
                <w:lang w:eastAsia="es-EC"/>
              </w:rPr>
              <w:fldChar w:fldCharType="end"/>
            </w:r>
            <w:r w:rsidRPr="00237662">
              <w:rPr>
                <w:rFonts w:asciiTheme="majorHAnsi" w:eastAsia="Times New Roman" w:hAnsiTheme="majorHAnsi" w:cstheme="majorHAnsi"/>
                <w:lang w:eastAsia="es-EC"/>
              </w:rPr>
              <w:t xml:space="preserve"> members and as such decisions are made transparently, oversight committee of BCCM is functional and conducting oversight visits, PR selection was conducted by following the Global Fund guidelines, Moreover, the civil society and other stakeholders also have remarkable representation in the BCCM.</w:t>
            </w:r>
          </w:p>
        </w:tc>
        <w:tc>
          <w:tcPr>
            <w:tcW w:w="2631" w:type="dxa"/>
          </w:tcPr>
          <w:p w14:paraId="61CCD6E6" w14:textId="77777777"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BCCM and BCCM</w:t>
            </w:r>
            <w:r>
              <w:rPr>
                <w:rFonts w:asciiTheme="majorHAnsi" w:eastAsia="Times New Roman" w:hAnsiTheme="majorHAnsi" w:cstheme="majorHAnsi"/>
                <w:lang w:eastAsia="es-EC"/>
              </w:rPr>
              <w:fldChar w:fldCharType="begin"/>
            </w:r>
            <w:r>
              <w:instrText xml:space="preserve"> TA \l "</w:instrText>
            </w:r>
            <w:r w:rsidRPr="00AF2721">
              <w:rPr>
                <w:rFonts w:asciiTheme="majorHAnsi" w:eastAsia="Times New Roman" w:hAnsiTheme="majorHAnsi" w:cstheme="majorHAnsi"/>
                <w:lang w:eastAsia="es-EC"/>
              </w:rPr>
              <w:instrText>BCCM: Bangladesh Country Coordination Mechanism</w:instrText>
            </w:r>
            <w:r>
              <w:instrText xml:space="preserve">" \s "BCCM" \c 1 </w:instrText>
            </w:r>
            <w:r>
              <w:rPr>
                <w:rFonts w:asciiTheme="majorHAnsi" w:eastAsia="Times New Roman" w:hAnsiTheme="majorHAnsi" w:cstheme="majorHAnsi"/>
                <w:lang w:eastAsia="es-EC"/>
              </w:rPr>
              <w:fldChar w:fldCharType="end"/>
            </w:r>
            <w:r w:rsidRPr="00237662">
              <w:rPr>
                <w:rFonts w:asciiTheme="majorHAnsi" w:eastAsia="Times New Roman" w:hAnsiTheme="majorHAnsi" w:cstheme="majorHAnsi"/>
                <w:lang w:eastAsia="es-EC"/>
              </w:rPr>
              <w:t xml:space="preserve"> oversight committee</w:t>
            </w:r>
          </w:p>
        </w:tc>
      </w:tr>
      <w:tr w:rsidR="00B94B4D" w:rsidRPr="00237662" w14:paraId="3CF37C5C" w14:textId="77777777" w:rsidTr="000C38EC">
        <w:tc>
          <w:tcPr>
            <w:tcW w:w="3485" w:type="dxa"/>
          </w:tcPr>
          <w:p w14:paraId="37D15791" w14:textId="3CBABA23" w:rsidR="00B94B4D" w:rsidRPr="00237662" w:rsidRDefault="00B94B4D" w:rsidP="000C38EC">
            <w:pPr>
              <w:spacing w:after="0"/>
              <w:jc w:val="both"/>
              <w:rPr>
                <w:rFonts w:asciiTheme="majorHAnsi" w:hAnsiTheme="majorHAnsi" w:cstheme="majorHAnsi"/>
              </w:rPr>
            </w:pPr>
            <w:r w:rsidRPr="000C62D8">
              <w:rPr>
                <w:rFonts w:asciiTheme="majorHAnsi" w:hAnsiTheme="majorHAnsi" w:cstheme="majorHAnsi"/>
                <w:b/>
                <w:bCs/>
              </w:rPr>
              <w:t>Risks related to human rights and gender</w:t>
            </w:r>
            <w:r w:rsidRPr="00237662">
              <w:rPr>
                <w:rFonts w:asciiTheme="majorHAnsi" w:hAnsiTheme="majorHAnsi" w:cstheme="majorHAnsi"/>
              </w:rPr>
              <w:t>: Gender-based violence and human rights issues may create problems in rendering services to KPs</w:t>
            </w:r>
            <w:r w:rsidR="00CD171F">
              <w:rPr>
                <w:rFonts w:asciiTheme="majorHAnsi" w:hAnsiTheme="majorHAnsi" w:cstheme="majorHAnsi"/>
              </w:rPr>
              <w:t xml:space="preserve">. </w:t>
            </w:r>
          </w:p>
        </w:tc>
        <w:tc>
          <w:tcPr>
            <w:tcW w:w="4340" w:type="dxa"/>
          </w:tcPr>
          <w:p w14:paraId="75192001" w14:textId="77777777"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Routine advocacy and sensitization meetings with relevant stakeholders need to done. The NTF has to be functionalized.</w:t>
            </w:r>
          </w:p>
        </w:tc>
        <w:tc>
          <w:tcPr>
            <w:tcW w:w="2631" w:type="dxa"/>
          </w:tcPr>
          <w:p w14:paraId="5FEDB2DC" w14:textId="77777777" w:rsidR="00B94B4D" w:rsidRPr="00237662" w:rsidRDefault="00B94B4D" w:rsidP="000C38EC">
            <w:pPr>
              <w:spacing w:after="0"/>
              <w:jc w:val="both"/>
              <w:rPr>
                <w:rFonts w:asciiTheme="majorHAnsi" w:eastAsia="Times New Roman" w:hAnsiTheme="majorHAnsi" w:cstheme="majorHAnsi"/>
                <w:lang w:eastAsia="es-EC"/>
              </w:rPr>
            </w:pPr>
            <w:r w:rsidRPr="00237662">
              <w:rPr>
                <w:rFonts w:asciiTheme="majorHAnsi" w:eastAsia="Times New Roman" w:hAnsiTheme="majorHAnsi" w:cstheme="majorHAnsi"/>
                <w:lang w:eastAsia="es-EC"/>
              </w:rPr>
              <w:t>National Task Force (NTF), BCCM, All PRs and SRs</w:t>
            </w:r>
          </w:p>
        </w:tc>
      </w:tr>
    </w:tbl>
    <w:p w14:paraId="563FE06A" w14:textId="6B91191F" w:rsidR="00B94B4D" w:rsidRDefault="00B94B4D" w:rsidP="0003674B">
      <w:pPr>
        <w:pStyle w:val="ListParagraph"/>
        <w:spacing w:after="0"/>
        <w:ind w:left="450"/>
      </w:pPr>
    </w:p>
    <w:p w14:paraId="387DB991" w14:textId="77777777" w:rsidR="00B94B4D" w:rsidRPr="00D474E6" w:rsidRDefault="00B94B4D" w:rsidP="0003674B">
      <w:pPr>
        <w:pStyle w:val="ListParagraph"/>
        <w:spacing w:after="0"/>
        <w:ind w:left="450"/>
      </w:pPr>
    </w:p>
    <w:p w14:paraId="17E9147F" w14:textId="7B77F4B9" w:rsidR="001F3BE7" w:rsidRPr="004C5D88" w:rsidRDefault="0099505A" w:rsidP="0099505A">
      <w:pPr>
        <w:pStyle w:val="ListParagraph"/>
        <w:spacing w:after="0" w:line="260" w:lineRule="atLeast"/>
        <w:ind w:left="360"/>
      </w:pPr>
      <w:r>
        <w:br w:type="page"/>
      </w:r>
    </w:p>
    <w:p w14:paraId="69E78736" w14:textId="10A67A93" w:rsidR="00CE446A" w:rsidRDefault="00CE446A" w:rsidP="009B6C0D">
      <w:pPr>
        <w:spacing w:after="0" w:line="0" w:lineRule="auto"/>
      </w:pPr>
    </w:p>
    <w:p w14:paraId="5C9A9EAC" w14:textId="16171C73" w:rsidR="0098274C" w:rsidRPr="005305D5" w:rsidRDefault="0003674B" w:rsidP="0003674B">
      <w:pPr>
        <w:pStyle w:val="Heading1"/>
        <w:numPr>
          <w:ilvl w:val="0"/>
          <w:numId w:val="0"/>
        </w:numPr>
        <w:spacing w:before="0"/>
        <w:ind w:left="567" w:hanging="567"/>
      </w:pPr>
      <w:r>
        <w:t xml:space="preserve">Section 4: </w:t>
      </w:r>
      <w:r w:rsidR="0098274C" w:rsidRPr="005305D5">
        <w:t>Co-Financing, Sustainability and Transition</w:t>
      </w:r>
    </w:p>
    <w:p w14:paraId="449DC752" w14:textId="77777777" w:rsidR="00410AD8" w:rsidRDefault="00410AD8" w:rsidP="009B6C0D">
      <w:pPr>
        <w:spacing w:after="0"/>
      </w:pPr>
    </w:p>
    <w:p w14:paraId="2BC4CF3A" w14:textId="34B19D80" w:rsidR="00CF2EAA" w:rsidRDefault="003C1B00" w:rsidP="009B6C0D">
      <w:pPr>
        <w:spacing w:after="0"/>
        <w:jc w:val="both"/>
      </w:pPr>
      <w:r>
        <w:t xml:space="preserve">To respond to the questions below, refer to the </w:t>
      </w:r>
      <w:r w:rsidRPr="00DD3612">
        <w:rPr>
          <w:i/>
        </w:rPr>
        <w:t>Instructions</w:t>
      </w:r>
      <w:r w:rsidR="00F70A6C">
        <w:t>,</w:t>
      </w:r>
      <w:r w:rsidR="00F70A6C" w:rsidRPr="00CD7709">
        <w:t xml:space="preserve"> </w:t>
      </w:r>
      <w:r w:rsidR="00966EBC" w:rsidRPr="00CD7709">
        <w:t>the</w:t>
      </w:r>
      <w:r w:rsidR="00472475">
        <w:t xml:space="preserve"> domestic financing section of the</w:t>
      </w:r>
      <w:r w:rsidR="00966EBC" w:rsidRPr="00CD7709">
        <w:rPr>
          <w:b/>
        </w:rPr>
        <w:t xml:space="preserve"> allocation letter</w:t>
      </w:r>
      <w:bookmarkStart w:id="31" w:name="_Hlk13737743"/>
      <w:r w:rsidR="00F70A6C">
        <w:t xml:space="preserve">, </w:t>
      </w:r>
      <w:bookmarkStart w:id="32" w:name="_Hlk14421843"/>
      <w:r w:rsidR="00187E3E" w:rsidRPr="00CD7709">
        <w:rPr>
          <w:b/>
        </w:rPr>
        <w:t xml:space="preserve">the </w:t>
      </w:r>
      <w:hyperlink r:id="rId23" w:history="1">
        <w:r w:rsidR="00187E3E" w:rsidRPr="00571BEA">
          <w:rPr>
            <w:rStyle w:val="Hyperlink"/>
            <w:rFonts w:cs="Arial"/>
          </w:rPr>
          <w:t>Sustainability, Transition and Co-Financing Guidance Note</w:t>
        </w:r>
      </w:hyperlink>
      <w:r w:rsidR="00187E3E" w:rsidRPr="00CD7709">
        <w:rPr>
          <w:b/>
        </w:rPr>
        <w:t>,</w:t>
      </w:r>
      <w:bookmarkEnd w:id="32"/>
      <w:r w:rsidR="00187E3E">
        <w:rPr>
          <w:b/>
        </w:rPr>
        <w:t xml:space="preserve"> </w:t>
      </w:r>
      <w:r w:rsidR="00F70A6C" w:rsidRPr="00D02225">
        <w:rPr>
          <w:b/>
        </w:rPr>
        <w:t>Funding Landscape Table(s), Programma</w:t>
      </w:r>
      <w:r w:rsidR="00CD7709">
        <w:rPr>
          <w:b/>
        </w:rPr>
        <w:t>tic Gap T</w:t>
      </w:r>
      <w:r w:rsidR="00410AD8" w:rsidRPr="00D02225">
        <w:rPr>
          <w:b/>
        </w:rPr>
        <w:t>ables(s)</w:t>
      </w:r>
      <w:r w:rsidR="00410AD8">
        <w:t xml:space="preserve">, </w:t>
      </w:r>
      <w:r w:rsidR="00410AD8" w:rsidRPr="00CD7709">
        <w:rPr>
          <w:b/>
        </w:rPr>
        <w:t xml:space="preserve">and </w:t>
      </w:r>
      <w:r w:rsidR="003E5DCA">
        <w:rPr>
          <w:b/>
        </w:rPr>
        <w:t>a sustainability</w:t>
      </w:r>
      <w:r w:rsidR="00A912A7">
        <w:rPr>
          <w:b/>
        </w:rPr>
        <w:t xml:space="preserve"> plan</w:t>
      </w:r>
      <w:r w:rsidR="003E5DCA">
        <w:rPr>
          <w:b/>
        </w:rPr>
        <w:t xml:space="preserve"> and/or t</w:t>
      </w:r>
      <w:r w:rsidR="00410AD8" w:rsidRPr="00CD7709">
        <w:rPr>
          <w:b/>
        </w:rPr>
        <w:t>ransi</w:t>
      </w:r>
      <w:r w:rsidR="003E5DCA">
        <w:rPr>
          <w:b/>
        </w:rPr>
        <w:t xml:space="preserve">tion </w:t>
      </w:r>
      <w:r w:rsidR="00A912A7">
        <w:rPr>
          <w:b/>
        </w:rPr>
        <w:t>work-</w:t>
      </w:r>
      <w:r w:rsidR="003E5DCA">
        <w:rPr>
          <w:b/>
        </w:rPr>
        <w:t>p</w:t>
      </w:r>
      <w:r w:rsidR="00410AD8" w:rsidRPr="00CD7709">
        <w:rPr>
          <w:b/>
        </w:rPr>
        <w:t>lan</w:t>
      </w:r>
      <w:r w:rsidR="00341B45">
        <w:t>, if available</w:t>
      </w:r>
      <w:r w:rsidR="00551E26">
        <w:rPr>
          <w:rStyle w:val="FootnoteReference"/>
        </w:rPr>
        <w:footnoteReference w:id="5"/>
      </w:r>
      <w:r w:rsidR="00410AD8">
        <w:t xml:space="preserve">. </w:t>
      </w:r>
    </w:p>
    <w:bookmarkEnd w:id="31"/>
    <w:p w14:paraId="7A0E6229" w14:textId="77777777" w:rsidR="00250AD1" w:rsidRDefault="00250AD1" w:rsidP="009B6C0D">
      <w:pPr>
        <w:spacing w:after="0"/>
      </w:pPr>
    </w:p>
    <w:p w14:paraId="7648BDA5" w14:textId="49FAEF17" w:rsidR="0098274C" w:rsidRPr="005305D5" w:rsidRDefault="0098274C" w:rsidP="00C57762">
      <w:pPr>
        <w:pStyle w:val="Heading2"/>
        <w:numPr>
          <w:ilvl w:val="1"/>
          <w:numId w:val="26"/>
        </w:numPr>
        <w:shd w:val="clear" w:color="auto" w:fill="D9D9D9" w:themeFill="background1" w:themeFillShade="D9"/>
        <w:spacing w:before="0" w:after="0" w:line="240" w:lineRule="auto"/>
        <w:contextualSpacing/>
      </w:pPr>
      <w:r w:rsidRPr="00C92797">
        <w:rPr>
          <w:shd w:val="clear" w:color="auto" w:fill="D9D9D9" w:themeFill="background1" w:themeFillShade="D9"/>
        </w:rPr>
        <w:t>Co-Financing</w:t>
      </w:r>
    </w:p>
    <w:p w14:paraId="19446AFC" w14:textId="77777777" w:rsidR="00DE1608" w:rsidRPr="0003674B" w:rsidRDefault="00DE1608" w:rsidP="0003674B">
      <w:pPr>
        <w:pStyle w:val="ListParagraph"/>
        <w:spacing w:after="0" w:line="260" w:lineRule="atLeast"/>
        <w:ind w:left="360"/>
        <w:rPr>
          <w:rFonts w:eastAsia="SimSun"/>
          <w:lang w:eastAsia="zh-CN"/>
        </w:rPr>
      </w:pPr>
    </w:p>
    <w:p w14:paraId="230EC1F9" w14:textId="0137F5A3" w:rsidR="0098274C" w:rsidRPr="0003674B" w:rsidRDefault="0098274C" w:rsidP="00C57762">
      <w:pPr>
        <w:pStyle w:val="ListParagraph"/>
        <w:numPr>
          <w:ilvl w:val="0"/>
          <w:numId w:val="18"/>
        </w:numPr>
        <w:spacing w:after="0" w:line="260" w:lineRule="atLeast"/>
        <w:ind w:left="360"/>
        <w:rPr>
          <w:rFonts w:eastAsia="SimSun"/>
          <w:lang w:eastAsia="zh-CN"/>
        </w:rPr>
      </w:pPr>
      <w:r w:rsidRPr="00D474E6">
        <w:t xml:space="preserve">Have </w:t>
      </w:r>
      <w:r w:rsidR="00F70A6C" w:rsidRPr="000C6718">
        <w:rPr>
          <w:b/>
        </w:rPr>
        <w:t xml:space="preserve">co-financing </w:t>
      </w:r>
      <w:r w:rsidRPr="000C6718">
        <w:rPr>
          <w:b/>
        </w:rPr>
        <w:t>commitments</w:t>
      </w:r>
      <w:r w:rsidRPr="00D474E6">
        <w:t xml:space="preserve"> for the </w:t>
      </w:r>
      <w:r w:rsidR="000027DE" w:rsidRPr="000C6718">
        <w:rPr>
          <w:b/>
        </w:rPr>
        <w:t>current</w:t>
      </w:r>
      <w:r w:rsidRPr="00D474E6">
        <w:t xml:space="preserve"> allocation period been realized?</w:t>
      </w:r>
    </w:p>
    <w:p w14:paraId="55FA5FBF" w14:textId="77777777" w:rsidR="0003674B" w:rsidRPr="00D474E6" w:rsidRDefault="0003674B" w:rsidP="0003674B">
      <w:pPr>
        <w:pStyle w:val="ListParagraph"/>
        <w:spacing w:after="0" w:line="260" w:lineRule="atLeast"/>
        <w:ind w:left="360"/>
        <w:rPr>
          <w:rFonts w:eastAsia="SimSun"/>
          <w:lang w:eastAsia="zh-CN"/>
        </w:rPr>
      </w:pPr>
    </w:p>
    <w:p w14:paraId="08342881" w14:textId="34AC1D64" w:rsidR="0098274C" w:rsidRDefault="004535E1" w:rsidP="009B6C0D">
      <w:pPr>
        <w:pStyle w:val="ListParagraph"/>
        <w:spacing w:after="0"/>
      </w:pPr>
      <w:sdt>
        <w:sdtPr>
          <w:id w:val="924852934"/>
          <w14:checkbox>
            <w14:checked w14:val="1"/>
            <w14:checkedState w14:val="2612" w14:font="MS Gothic"/>
            <w14:uncheckedState w14:val="2610" w14:font="MS Gothic"/>
          </w14:checkbox>
        </w:sdtPr>
        <w:sdtEndPr/>
        <w:sdtContent>
          <w:r w:rsidR="00A10066">
            <w:rPr>
              <w:rFonts w:ascii="MS Gothic" w:eastAsia="MS Gothic" w:hAnsi="MS Gothic" w:hint="eastAsia"/>
            </w:rPr>
            <w:t>☒</w:t>
          </w:r>
        </w:sdtContent>
      </w:sdt>
      <w:r w:rsidR="0098274C" w:rsidRPr="005305D5">
        <w:t xml:space="preserve"> Yes         </w:t>
      </w:r>
      <w:sdt>
        <w:sdtPr>
          <w:id w:val="1334948662"/>
          <w14:checkbox>
            <w14:checked w14:val="0"/>
            <w14:checkedState w14:val="2612" w14:font="MS Gothic"/>
            <w14:uncheckedState w14:val="2610" w14:font="MS Gothic"/>
          </w14:checkbox>
        </w:sdtPr>
        <w:sdtEndPr/>
        <w:sdtContent>
          <w:r w:rsidR="0098274C" w:rsidRPr="005305D5">
            <w:rPr>
              <w:rFonts w:ascii="Segoe UI Symbol" w:hAnsi="Segoe UI Symbol" w:cs="Segoe UI Symbol"/>
            </w:rPr>
            <w:t>☐</w:t>
          </w:r>
        </w:sdtContent>
      </w:sdt>
      <w:r w:rsidR="0098274C" w:rsidRPr="005305D5">
        <w:t xml:space="preserve"> No</w:t>
      </w:r>
    </w:p>
    <w:p w14:paraId="7740FA70" w14:textId="77777777" w:rsidR="0003674B" w:rsidRPr="005305D5" w:rsidRDefault="0003674B" w:rsidP="009B6C0D">
      <w:pPr>
        <w:pStyle w:val="ListParagraph"/>
        <w:spacing w:after="0"/>
      </w:pPr>
    </w:p>
    <w:p w14:paraId="022BA27D" w14:textId="115C1E12" w:rsidR="0098274C" w:rsidRDefault="0098274C" w:rsidP="001B52C3">
      <w:pPr>
        <w:spacing w:after="0"/>
        <w:ind w:left="360"/>
      </w:pPr>
      <w:r w:rsidRPr="005305D5">
        <w:t xml:space="preserve">If </w:t>
      </w:r>
      <w:r w:rsidRPr="005305D5">
        <w:rPr>
          <w:b/>
        </w:rPr>
        <w:t>yes</w:t>
      </w:r>
      <w:r w:rsidRPr="005305D5">
        <w:t xml:space="preserve">, attach supporting documentation demonstrating the extent to which </w:t>
      </w:r>
      <w:r w:rsidR="00F70A6C">
        <w:t xml:space="preserve">co-financing </w:t>
      </w:r>
      <w:r w:rsidRPr="005305D5">
        <w:t xml:space="preserve">commitments have been met. </w:t>
      </w:r>
    </w:p>
    <w:p w14:paraId="15FA4559" w14:textId="77777777" w:rsidR="0003674B" w:rsidRPr="005305D5" w:rsidRDefault="0003674B" w:rsidP="001B52C3">
      <w:pPr>
        <w:spacing w:after="0"/>
        <w:ind w:left="360"/>
      </w:pPr>
    </w:p>
    <w:p w14:paraId="66F85316" w14:textId="22889FC3" w:rsidR="0098274C" w:rsidRDefault="0098274C" w:rsidP="001B52C3">
      <w:pPr>
        <w:spacing w:after="0"/>
        <w:ind w:left="360"/>
      </w:pPr>
      <w:r w:rsidRPr="005305D5">
        <w:t xml:space="preserve">If </w:t>
      </w:r>
      <w:r w:rsidRPr="006F0F32">
        <w:rPr>
          <w:b/>
        </w:rPr>
        <w:t>no</w:t>
      </w:r>
      <w:r w:rsidRPr="005305D5">
        <w:t xml:space="preserve">, </w:t>
      </w:r>
      <w:r w:rsidR="00341B45">
        <w:t>explain why</w:t>
      </w:r>
      <w:r w:rsidRPr="005305D5">
        <w:t xml:space="preserve"> and outline the impact o</w:t>
      </w:r>
      <w:r w:rsidR="00BF55BF">
        <w:t>f this situation on the program.</w:t>
      </w:r>
    </w:p>
    <w:p w14:paraId="12E4F25B" w14:textId="33E5A130" w:rsidR="0003674B" w:rsidRPr="005305D5" w:rsidRDefault="0003674B" w:rsidP="009B6C0D">
      <w:pPr>
        <w:spacing w:after="0"/>
      </w:pPr>
    </w:p>
    <w:tbl>
      <w:tblPr>
        <w:tblStyle w:val="TableGrid"/>
        <w:tblW w:w="0" w:type="auto"/>
        <w:tblLook w:val="04A0" w:firstRow="1" w:lastRow="0" w:firstColumn="1" w:lastColumn="0" w:noHBand="0" w:noVBand="1"/>
      </w:tblPr>
      <w:tblGrid>
        <w:gridCol w:w="10456"/>
      </w:tblGrid>
      <w:tr w:rsidR="0098274C" w:rsidRPr="005305D5" w14:paraId="07DEFA91" w14:textId="77777777" w:rsidTr="00485471">
        <w:tc>
          <w:tcPr>
            <w:tcW w:w="10456" w:type="dxa"/>
          </w:tcPr>
          <w:p w14:paraId="07F38DCF" w14:textId="77777777" w:rsidR="00772F84" w:rsidRDefault="0098274C" w:rsidP="00772F84">
            <w:pPr>
              <w:spacing w:after="0"/>
            </w:pPr>
            <w:r w:rsidRPr="005305D5">
              <w:t>[Applicant response]</w:t>
            </w:r>
            <w:r w:rsidR="00EB430D">
              <w:t xml:space="preserve"> </w:t>
            </w:r>
          </w:p>
          <w:p w14:paraId="574BA794" w14:textId="77F1B9C3" w:rsidR="003C7EB2" w:rsidRDefault="00A10066" w:rsidP="007054D5">
            <w:pPr>
              <w:spacing w:after="0"/>
              <w:jc w:val="both"/>
            </w:pPr>
            <w:r w:rsidRPr="00A10066">
              <w:t xml:space="preserve">Government has met the co-financing commitments in current grant cycle and it </w:t>
            </w:r>
            <w:r w:rsidR="00E670B8">
              <w:t xml:space="preserve">has </w:t>
            </w:r>
            <w:r w:rsidR="005B30A5">
              <w:t xml:space="preserve">realized </w:t>
            </w:r>
            <w:r w:rsidR="00772F84">
              <w:t xml:space="preserve">the co-financing amount </w:t>
            </w:r>
            <w:r w:rsidR="00E670B8">
              <w:t>through 4</w:t>
            </w:r>
            <w:r w:rsidR="00E670B8" w:rsidRPr="00E670B8">
              <w:rPr>
                <w:vertAlign w:val="superscript"/>
              </w:rPr>
              <w:t>th</w:t>
            </w:r>
            <w:r w:rsidR="00E670B8">
              <w:t xml:space="preserve"> sector programme</w:t>
            </w:r>
            <w:r w:rsidR="005B30A5">
              <w:t xml:space="preserve"> budget and operational plan</w:t>
            </w:r>
            <w:r w:rsidRPr="00A10066">
              <w:t xml:space="preserve">. </w:t>
            </w:r>
            <w:r w:rsidR="00E670B8">
              <w:t xml:space="preserve">The figure </w:t>
            </w:r>
            <w:r w:rsidR="00772F84">
              <w:t>6</w:t>
            </w:r>
            <w:r w:rsidR="006A3DFD">
              <w:t xml:space="preserve"> and 7 </w:t>
            </w:r>
            <w:r w:rsidR="00E670B8">
              <w:t>shows</w:t>
            </w:r>
            <w:r w:rsidR="00772F84">
              <w:t xml:space="preserve"> </w:t>
            </w:r>
            <w:r w:rsidR="00772F84" w:rsidRPr="00772F84">
              <w:t>82% of domestic resources has spent out of committed amount</w:t>
            </w:r>
            <w:r w:rsidR="00772F84">
              <w:t xml:space="preserve"> from national budget</w:t>
            </w:r>
            <w:r w:rsidR="007054D5">
              <w:t xml:space="preserve"> (document attached)</w:t>
            </w:r>
            <w:r w:rsidR="00772F84" w:rsidRPr="00772F84">
              <w:t xml:space="preserve">. </w:t>
            </w:r>
            <w:r w:rsidR="00E670B8">
              <w:t xml:space="preserve"> </w:t>
            </w:r>
            <w:r w:rsidR="00A34024">
              <w:t xml:space="preserve"> </w:t>
            </w:r>
          </w:p>
          <w:p w14:paraId="2B83E8D9" w14:textId="21D47CAE" w:rsidR="003C7EB2" w:rsidRDefault="003C7EB2" w:rsidP="003C7EB2">
            <w:pPr>
              <w:spacing w:after="0"/>
            </w:pPr>
            <w:r>
              <w:rPr>
                <w:noProof/>
                <w:lang w:bidi="bn-BD"/>
              </w:rPr>
              <w:drawing>
                <wp:anchor distT="0" distB="0" distL="114300" distR="114300" simplePos="0" relativeHeight="251672576" behindDoc="0" locked="0" layoutInCell="1" allowOverlap="1" wp14:anchorId="667C9918" wp14:editId="781377B7">
                  <wp:simplePos x="0" y="0"/>
                  <wp:positionH relativeFrom="margin">
                    <wp:posOffset>3186430</wp:posOffset>
                  </wp:positionH>
                  <wp:positionV relativeFrom="margin">
                    <wp:posOffset>798830</wp:posOffset>
                  </wp:positionV>
                  <wp:extent cx="2459355" cy="2014855"/>
                  <wp:effectExtent l="0" t="0" r="17145" b="4445"/>
                  <wp:wrapSquare wrapText="bothSides"/>
                  <wp:docPr id="15" name="Chart 15">
                    <a:extLst xmlns:a="http://schemas.openxmlformats.org/drawingml/2006/main">
                      <a:ext uri="{FF2B5EF4-FFF2-40B4-BE49-F238E27FC236}">
                        <a16:creationId xmlns:a16="http://schemas.microsoft.com/office/drawing/2014/main" id="{55CE3481-9A4D-4F6C-854A-F696957C2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32C19AD9" w14:textId="0C68CCC2" w:rsidR="003C7EB2" w:rsidRDefault="00485471" w:rsidP="003C7EB2">
            <w:pPr>
              <w:spacing w:after="0"/>
            </w:pPr>
            <w:r w:rsidRPr="005E1DEF">
              <w:rPr>
                <w:noProof/>
                <w:color w:val="FFFFFF" w:themeColor="background1"/>
                <w:lang w:bidi="bn-BD"/>
              </w:rPr>
              <w:drawing>
                <wp:inline distT="0" distB="0" distL="0" distR="0" wp14:anchorId="1B753A0A" wp14:editId="7803071E">
                  <wp:extent cx="2723881" cy="2008505"/>
                  <wp:effectExtent l="0" t="0" r="635" b="10795"/>
                  <wp:docPr id="17" name="Chart 17">
                    <a:extLst xmlns:a="http://schemas.openxmlformats.org/drawingml/2006/main">
                      <a:ext uri="{FF2B5EF4-FFF2-40B4-BE49-F238E27FC236}">
                        <a16:creationId xmlns:a16="http://schemas.microsoft.com/office/drawing/2014/main" id="{F7393BA8-BE65-40CF-97B7-429FEB565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680D7AE" w14:textId="430D02C0" w:rsidR="0098274C" w:rsidRPr="005305D5" w:rsidRDefault="0098274C" w:rsidP="003C7EB2">
            <w:pPr>
              <w:spacing w:after="0"/>
            </w:pPr>
          </w:p>
        </w:tc>
      </w:tr>
    </w:tbl>
    <w:p w14:paraId="6EB69FC6" w14:textId="4344703D" w:rsidR="0003674B" w:rsidRDefault="0003674B" w:rsidP="00BF55BF">
      <w:pPr>
        <w:spacing w:after="0"/>
        <w:rPr>
          <w:lang w:eastAsia="zh-CN"/>
        </w:rPr>
      </w:pPr>
    </w:p>
    <w:p w14:paraId="60AFADE4" w14:textId="4FF12C02" w:rsidR="0098274C" w:rsidRPr="0003674B" w:rsidRDefault="477BDD52" w:rsidP="00C57762">
      <w:pPr>
        <w:pStyle w:val="ListParagraph"/>
        <w:numPr>
          <w:ilvl w:val="0"/>
          <w:numId w:val="18"/>
        </w:numPr>
        <w:spacing w:after="0" w:line="260" w:lineRule="atLeast"/>
        <w:ind w:left="360"/>
        <w:rPr>
          <w:rFonts w:eastAsia="SimSun"/>
          <w:lang w:eastAsia="zh-CN"/>
        </w:rPr>
      </w:pPr>
      <w:r w:rsidRPr="00D474E6">
        <w:t xml:space="preserve">Do </w:t>
      </w:r>
      <w:r w:rsidRPr="000C6718">
        <w:rPr>
          <w:b/>
        </w:rPr>
        <w:t>co-financing commitments</w:t>
      </w:r>
      <w:r w:rsidRPr="00D474E6">
        <w:t xml:space="preserve"> for the </w:t>
      </w:r>
      <w:r w:rsidR="009B2486" w:rsidRPr="000C6718">
        <w:rPr>
          <w:b/>
        </w:rPr>
        <w:t>next</w:t>
      </w:r>
      <w:r w:rsidRPr="00D474E6">
        <w:t xml:space="preserve"> allocation period meet minimum requirements to fully access the co-financing incentive? </w:t>
      </w:r>
    </w:p>
    <w:p w14:paraId="72322017" w14:textId="77777777" w:rsidR="0003674B" w:rsidRPr="00D474E6" w:rsidRDefault="0003674B" w:rsidP="0003674B">
      <w:pPr>
        <w:pStyle w:val="ListParagraph"/>
        <w:spacing w:after="0" w:line="260" w:lineRule="atLeast"/>
        <w:ind w:left="360"/>
        <w:rPr>
          <w:rFonts w:eastAsia="SimSun"/>
          <w:lang w:eastAsia="zh-CN"/>
        </w:rPr>
      </w:pPr>
    </w:p>
    <w:p w14:paraId="4EAEE9E1" w14:textId="5C8FC7D4" w:rsidR="0098274C" w:rsidRDefault="004535E1" w:rsidP="009B6C0D">
      <w:pPr>
        <w:pStyle w:val="ListParagraph"/>
        <w:spacing w:after="0"/>
      </w:pPr>
      <w:sdt>
        <w:sdtPr>
          <w:id w:val="-1936279169"/>
          <w14:checkbox>
            <w14:checked w14:val="1"/>
            <w14:checkedState w14:val="2612" w14:font="MS Gothic"/>
            <w14:uncheckedState w14:val="2610" w14:font="MS Gothic"/>
          </w14:checkbox>
        </w:sdtPr>
        <w:sdtEndPr/>
        <w:sdtContent>
          <w:r w:rsidR="002F3BFC">
            <w:rPr>
              <w:rFonts w:ascii="MS Gothic" w:eastAsia="MS Gothic" w:hAnsi="MS Gothic" w:hint="eastAsia"/>
            </w:rPr>
            <w:t>☒</w:t>
          </w:r>
        </w:sdtContent>
      </w:sdt>
      <w:r w:rsidR="0098274C" w:rsidRPr="005305D5">
        <w:t xml:space="preserve"> Yes         </w:t>
      </w:r>
      <w:sdt>
        <w:sdtPr>
          <w:id w:val="-1870989213"/>
          <w14:checkbox>
            <w14:checked w14:val="0"/>
            <w14:checkedState w14:val="2612" w14:font="MS Gothic"/>
            <w14:uncheckedState w14:val="2610" w14:font="MS Gothic"/>
          </w14:checkbox>
        </w:sdtPr>
        <w:sdtEndPr/>
        <w:sdtContent>
          <w:r w:rsidR="0098274C" w:rsidRPr="005305D5">
            <w:rPr>
              <w:rFonts w:ascii="Segoe UI Symbol" w:hAnsi="Segoe UI Symbol" w:cs="Segoe UI Symbol"/>
            </w:rPr>
            <w:t>☐</w:t>
          </w:r>
        </w:sdtContent>
      </w:sdt>
      <w:r w:rsidR="0098274C" w:rsidRPr="005305D5">
        <w:t xml:space="preserve"> No</w:t>
      </w:r>
    </w:p>
    <w:p w14:paraId="6AD21767" w14:textId="77777777" w:rsidR="0003674B" w:rsidRPr="005305D5" w:rsidRDefault="0003674B" w:rsidP="009B6C0D">
      <w:pPr>
        <w:pStyle w:val="ListParagraph"/>
        <w:spacing w:after="0"/>
      </w:pPr>
    </w:p>
    <w:p w14:paraId="27324351" w14:textId="511FF96A" w:rsidR="0098274C" w:rsidRDefault="0098274C" w:rsidP="001B52C3">
      <w:pPr>
        <w:spacing w:after="0"/>
        <w:ind w:left="360"/>
      </w:pPr>
      <w:r w:rsidRPr="005305D5">
        <w:t xml:space="preserve">If details on commitments are available, attach supporting documentation demonstrating the extent to which </w:t>
      </w:r>
      <w:r w:rsidR="00F70A6C">
        <w:t>co-financing</w:t>
      </w:r>
      <w:r w:rsidR="00F70A6C" w:rsidRPr="005305D5">
        <w:t xml:space="preserve"> </w:t>
      </w:r>
      <w:r w:rsidRPr="005305D5">
        <w:t xml:space="preserve">commitments have been made. </w:t>
      </w:r>
    </w:p>
    <w:p w14:paraId="52B04919" w14:textId="77777777" w:rsidR="0003674B" w:rsidRPr="005305D5" w:rsidRDefault="0003674B" w:rsidP="001B52C3">
      <w:pPr>
        <w:spacing w:after="0"/>
        <w:ind w:left="360"/>
      </w:pPr>
    </w:p>
    <w:p w14:paraId="03903574" w14:textId="6F1C664A" w:rsidR="0098274C" w:rsidRDefault="0098274C" w:rsidP="001B52C3">
      <w:pPr>
        <w:spacing w:after="0"/>
        <w:ind w:left="360"/>
        <w:rPr>
          <w:rFonts w:eastAsia="Times New Roman"/>
        </w:rPr>
      </w:pPr>
      <w:r w:rsidRPr="005305D5">
        <w:t>If co-financing commitments do not meet minimum requirements, explain why</w:t>
      </w:r>
      <w:r w:rsidRPr="005305D5">
        <w:rPr>
          <w:rFonts w:eastAsia="Times New Roman"/>
        </w:rPr>
        <w:t>.</w:t>
      </w:r>
    </w:p>
    <w:p w14:paraId="2F8D0C5C" w14:textId="77777777" w:rsidR="0003674B" w:rsidRPr="005305D5" w:rsidRDefault="0003674B" w:rsidP="009B6C0D">
      <w:pPr>
        <w:spacing w:after="0"/>
        <w:rPr>
          <w:rFonts w:eastAsia="Times New Roman"/>
        </w:rPr>
      </w:pPr>
    </w:p>
    <w:tbl>
      <w:tblPr>
        <w:tblStyle w:val="TableGrid"/>
        <w:tblW w:w="0" w:type="auto"/>
        <w:tblLook w:val="04A0" w:firstRow="1" w:lastRow="0" w:firstColumn="1" w:lastColumn="0" w:noHBand="0" w:noVBand="1"/>
      </w:tblPr>
      <w:tblGrid>
        <w:gridCol w:w="10456"/>
      </w:tblGrid>
      <w:tr w:rsidR="0098274C" w:rsidRPr="005305D5" w14:paraId="3DA5C604" w14:textId="77777777" w:rsidTr="00D63E4B">
        <w:tc>
          <w:tcPr>
            <w:tcW w:w="10790" w:type="dxa"/>
          </w:tcPr>
          <w:p w14:paraId="7F57F9B9" w14:textId="6E717946" w:rsidR="0088647A" w:rsidRDefault="00996130" w:rsidP="00FB7B62">
            <w:pPr>
              <w:spacing w:after="0"/>
            </w:pPr>
            <w:r w:rsidRPr="003371D6">
              <w:rPr>
                <w:rFonts w:ascii="Calibri" w:eastAsia="Times New Roman" w:hAnsi="Calibri" w:cs="Calibri"/>
                <w:noProof/>
                <w:color w:val="000000"/>
                <w:lang w:bidi="bn-BD"/>
              </w:rPr>
              <w:drawing>
                <wp:anchor distT="0" distB="0" distL="114300" distR="114300" simplePos="0" relativeHeight="251671552" behindDoc="0" locked="0" layoutInCell="1" allowOverlap="1" wp14:anchorId="4B7F4A06" wp14:editId="4CCE8824">
                  <wp:simplePos x="0" y="0"/>
                  <wp:positionH relativeFrom="margin">
                    <wp:posOffset>3276600</wp:posOffset>
                  </wp:positionH>
                  <wp:positionV relativeFrom="margin">
                    <wp:posOffset>1905</wp:posOffset>
                  </wp:positionV>
                  <wp:extent cx="3223895" cy="2298700"/>
                  <wp:effectExtent l="0" t="0" r="14605" b="6350"/>
                  <wp:wrapSquare wrapText="bothSides"/>
                  <wp:docPr id="14" name="Chart 14">
                    <a:extLst xmlns:a="http://schemas.openxmlformats.org/drawingml/2006/main">
                      <a:ext uri="{FF2B5EF4-FFF2-40B4-BE49-F238E27FC236}">
                        <a16:creationId xmlns:a16="http://schemas.microsoft.com/office/drawing/2014/main" id="{BD0F1E79-7557-448F-8018-EF458162AD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98274C" w:rsidRPr="005305D5">
              <w:t>[Applicant response]</w:t>
            </w:r>
            <w:r w:rsidR="00FB7B62">
              <w:t xml:space="preserve"> </w:t>
            </w:r>
          </w:p>
          <w:p w14:paraId="50CDDACF" w14:textId="1EA011FF" w:rsidR="00C10A91" w:rsidRDefault="00FB7B62" w:rsidP="000D1691">
            <w:pPr>
              <w:spacing w:after="0"/>
              <w:jc w:val="both"/>
            </w:pPr>
            <w:r>
              <w:t xml:space="preserve">The total estimated </w:t>
            </w:r>
            <w:r w:rsidR="007C1E88" w:rsidRPr="007C1E88">
              <w:t xml:space="preserve">costs </w:t>
            </w:r>
            <w:r>
              <w:t xml:space="preserve">in the </w:t>
            </w:r>
            <w:r w:rsidR="0088647A">
              <w:t>4</w:t>
            </w:r>
            <w:r w:rsidR="0088647A" w:rsidRPr="0088647A">
              <w:rPr>
                <w:vertAlign w:val="superscript"/>
              </w:rPr>
              <w:t>th</w:t>
            </w:r>
            <w:r w:rsidR="0088647A">
              <w:t xml:space="preserve"> revised </w:t>
            </w:r>
            <w:r>
              <w:t>NSP</w:t>
            </w:r>
            <w:r w:rsidR="0088647A">
              <w:t xml:space="preserve"> for the year 2020-2023 </w:t>
            </w:r>
            <w:r>
              <w:t>for HIV is USD</w:t>
            </w:r>
            <w:r w:rsidR="0088647A">
              <w:t xml:space="preserve"> </w:t>
            </w:r>
            <w:r>
              <w:t>$</w:t>
            </w:r>
            <w:r w:rsidR="0088647A">
              <w:t xml:space="preserve"> </w:t>
            </w:r>
            <w:r w:rsidR="00655127" w:rsidRPr="00655127">
              <w:t>223</w:t>
            </w:r>
            <w:r w:rsidR="00655127">
              <w:t>,</w:t>
            </w:r>
            <w:r w:rsidR="00655127" w:rsidRPr="00655127">
              <w:t>973</w:t>
            </w:r>
            <w:r w:rsidR="00655127">
              <w:t>,</w:t>
            </w:r>
            <w:r w:rsidR="00655127" w:rsidRPr="00655127">
              <w:t>040</w:t>
            </w:r>
            <w:r>
              <w:t xml:space="preserve">. In the OP under the </w:t>
            </w:r>
            <w:r w:rsidR="00B010F2">
              <w:t>4</w:t>
            </w:r>
            <w:r w:rsidR="00B010F2" w:rsidRPr="00B010F2">
              <w:rPr>
                <w:vertAlign w:val="superscript"/>
              </w:rPr>
              <w:t>th</w:t>
            </w:r>
            <w:r w:rsidR="00B010F2">
              <w:t xml:space="preserve"> </w:t>
            </w:r>
            <w:r>
              <w:t xml:space="preserve">health sector program, USD$ </w:t>
            </w:r>
            <w:r w:rsidR="00655127" w:rsidRPr="00655127">
              <w:t>14</w:t>
            </w:r>
            <w:r w:rsidR="00655127">
              <w:t>,</w:t>
            </w:r>
            <w:r w:rsidR="00655127" w:rsidRPr="00655127">
              <w:t>747</w:t>
            </w:r>
            <w:r w:rsidR="00655127">
              <w:t>,1</w:t>
            </w:r>
            <w:r w:rsidR="00655127" w:rsidRPr="00655127">
              <w:t xml:space="preserve">10 </w:t>
            </w:r>
            <w:r>
              <w:t>has been</w:t>
            </w:r>
            <w:r w:rsidR="0088647A">
              <w:t xml:space="preserve"> </w:t>
            </w:r>
            <w:r>
              <w:t xml:space="preserve">allocated for HIV interventions, treatment and care </w:t>
            </w:r>
            <w:r w:rsidR="00655127">
              <w:t>during the same period</w:t>
            </w:r>
            <w:r>
              <w:t>. The</w:t>
            </w:r>
            <w:r w:rsidR="0088647A">
              <w:t xml:space="preserve"> </w:t>
            </w:r>
            <w:r>
              <w:t>GF will provide USD $ 2</w:t>
            </w:r>
            <w:r w:rsidR="00F42B9B">
              <w:t xml:space="preserve">3 </w:t>
            </w:r>
            <w:r>
              <w:t xml:space="preserve">m for </w:t>
            </w:r>
            <w:r w:rsidR="00F42B9B">
              <w:t xml:space="preserve">37 months </w:t>
            </w:r>
            <w:r>
              <w:t>(i.e.</w:t>
            </w:r>
            <w:r w:rsidR="00F42B9B">
              <w:t xml:space="preserve"> Dec</w:t>
            </w:r>
            <w:r>
              <w:t xml:space="preserve"> </w:t>
            </w:r>
            <w:r w:rsidR="00F42B9B">
              <w:t>20</w:t>
            </w:r>
            <w:r>
              <w:t>20</w:t>
            </w:r>
            <w:r w:rsidR="00F42B9B">
              <w:t xml:space="preserve"> Dec 2023</w:t>
            </w:r>
            <w:r>
              <w:t xml:space="preserve">). Therefore, </w:t>
            </w:r>
            <w:r w:rsidR="007C1E88">
              <w:t xml:space="preserve">in the period of </w:t>
            </w:r>
            <w:r>
              <w:t>20</w:t>
            </w:r>
            <w:r w:rsidR="00F42B9B">
              <w:t>20</w:t>
            </w:r>
            <w:r>
              <w:t>-202</w:t>
            </w:r>
            <w:r w:rsidR="00F42B9B">
              <w:t>3</w:t>
            </w:r>
            <w:r>
              <w:t>, there</w:t>
            </w:r>
            <w:r w:rsidR="0088647A">
              <w:t xml:space="preserve"> </w:t>
            </w:r>
            <w:r>
              <w:t>is a gap of USD$</w:t>
            </w:r>
            <w:r w:rsidR="00F42B9B">
              <w:t xml:space="preserve"> </w:t>
            </w:r>
            <w:r w:rsidR="00F42B9B" w:rsidRPr="00F42B9B">
              <w:t>209,225,930</w:t>
            </w:r>
            <w:r w:rsidR="00F42B9B">
              <w:t xml:space="preserve"> </w:t>
            </w:r>
            <w:r>
              <w:t>for implementing various components of the NSP.</w:t>
            </w:r>
            <w:r w:rsidR="0088647A">
              <w:t xml:space="preserve"> </w:t>
            </w:r>
            <w:r>
              <w:t xml:space="preserve">It is expected that </w:t>
            </w:r>
            <w:r w:rsidR="007C1E88">
              <w:t xml:space="preserve">efficient utilization of </w:t>
            </w:r>
            <w:r>
              <w:t xml:space="preserve">domestic funding will be </w:t>
            </w:r>
            <w:r w:rsidR="007C1E88">
              <w:t xml:space="preserve">optimized </w:t>
            </w:r>
            <w:r>
              <w:t>in-line</w:t>
            </w:r>
            <w:r w:rsidR="0088647A">
              <w:t xml:space="preserve"> </w:t>
            </w:r>
            <w:r>
              <w:t>with enhanced economic growth of Bangladesh as documented over the last several years</w:t>
            </w:r>
            <w:r w:rsidR="00F42B9B">
              <w:t xml:space="preserve"> after mid-term revi</w:t>
            </w:r>
            <w:r w:rsidR="007054D5">
              <w:t xml:space="preserve">sion </w:t>
            </w:r>
            <w:r w:rsidR="00F42B9B">
              <w:t xml:space="preserve">of </w:t>
            </w:r>
            <w:r w:rsidR="007C1E88">
              <w:t>4</w:t>
            </w:r>
            <w:r w:rsidR="007C1E88" w:rsidRPr="00C10A91">
              <w:rPr>
                <w:vertAlign w:val="superscript"/>
              </w:rPr>
              <w:t>th</w:t>
            </w:r>
            <w:r w:rsidR="007C1E88">
              <w:t xml:space="preserve"> </w:t>
            </w:r>
            <w:r w:rsidR="00F42B9B">
              <w:t>HPNSP in March-April 2020</w:t>
            </w:r>
            <w:r>
              <w:t>. Unfortunately, service gaps (as reflected the programmatic gap table) in terms of coverage of</w:t>
            </w:r>
            <w:r w:rsidR="0088647A">
              <w:t xml:space="preserve"> </w:t>
            </w:r>
            <w:r>
              <w:t>KPs still remain</w:t>
            </w:r>
            <w:r w:rsidR="007C1E88">
              <w:t>s</w:t>
            </w:r>
            <w:r w:rsidR="0040371B">
              <w:t xml:space="preserve"> though better aligned with NSP</w:t>
            </w:r>
            <w:r>
              <w:t xml:space="preserve">. However, it is predicted that with </w:t>
            </w:r>
            <w:r w:rsidR="007C1E88">
              <w:t xml:space="preserve">better utilization of </w:t>
            </w:r>
            <w:r>
              <w:t>government funding, this service</w:t>
            </w:r>
            <w:r w:rsidR="0088647A">
              <w:t xml:space="preserve"> </w:t>
            </w:r>
            <w:r>
              <w:t xml:space="preserve">gap will eventually be reduced. </w:t>
            </w:r>
            <w:r w:rsidR="007054D5">
              <w:t xml:space="preserve">Quite a few </w:t>
            </w:r>
            <w:r>
              <w:t>issues have been considered under the</w:t>
            </w:r>
            <w:r w:rsidR="0088647A">
              <w:t xml:space="preserve"> </w:t>
            </w:r>
            <w:r>
              <w:t xml:space="preserve">proposed Funding Request, </w:t>
            </w:r>
            <w:r w:rsidR="007C1E88">
              <w:t xml:space="preserve">which is </w:t>
            </w:r>
            <w:r>
              <w:t xml:space="preserve">sustainability of HIV </w:t>
            </w:r>
            <w:r w:rsidR="007054D5">
              <w:t>programme</w:t>
            </w:r>
            <w:r>
              <w:t xml:space="preserve">. </w:t>
            </w:r>
            <w:r w:rsidR="007C1E88">
              <w:t xml:space="preserve">Hence, </w:t>
            </w:r>
            <w:r w:rsidR="005C6A8B">
              <w:t xml:space="preserve">integration </w:t>
            </w:r>
            <w:r w:rsidR="007C1E88">
              <w:t xml:space="preserve">of STIs, SRH, HTS, treatment and care </w:t>
            </w:r>
            <w:r w:rsidR="005C6A8B">
              <w:t>service</w:t>
            </w:r>
            <w:r w:rsidR="007C1E88">
              <w:t>s</w:t>
            </w:r>
            <w:r w:rsidR="005C6A8B">
              <w:t xml:space="preserve"> to </w:t>
            </w:r>
            <w:r>
              <w:t>government healthcare settings</w:t>
            </w:r>
            <w:r w:rsidR="007C1E88">
              <w:t xml:space="preserve"> has been planned</w:t>
            </w:r>
            <w:r>
              <w:t xml:space="preserve">. </w:t>
            </w:r>
            <w:r w:rsidR="007054D5">
              <w:t>A</w:t>
            </w:r>
            <w:r w:rsidR="005C6A8B">
              <w:t xml:space="preserve">t 28 districts, </w:t>
            </w:r>
            <w:r w:rsidR="005C6A8B" w:rsidRPr="005C6A8B">
              <w:t xml:space="preserve">government </w:t>
            </w:r>
            <w:r w:rsidR="005C6A8B">
              <w:t xml:space="preserve">will provide HTS, treatment, </w:t>
            </w:r>
            <w:r>
              <w:t xml:space="preserve">care, support for </w:t>
            </w:r>
            <w:r w:rsidR="005C6A8B">
              <w:t xml:space="preserve">KPs, immigrants and general population </w:t>
            </w:r>
            <w:r w:rsidR="007054D5">
              <w:t xml:space="preserve">including </w:t>
            </w:r>
            <w:r>
              <w:t>PLHIV</w:t>
            </w:r>
            <w:r w:rsidR="005C6A8B">
              <w:t xml:space="preserve">. </w:t>
            </w:r>
            <w:r w:rsidR="007054D5">
              <w:t xml:space="preserve">ASP has been </w:t>
            </w:r>
            <w:r>
              <w:t xml:space="preserve">supporting serological and </w:t>
            </w:r>
            <w:r w:rsidR="00A64EDA">
              <w:t>behavioral</w:t>
            </w:r>
            <w:r>
              <w:t xml:space="preserve"> surveillances, training of health</w:t>
            </w:r>
            <w:r w:rsidR="0088647A">
              <w:t xml:space="preserve"> </w:t>
            </w:r>
            <w:r>
              <w:t>care providers on STIs, HIV and AIDS.</w:t>
            </w:r>
            <w:r w:rsidR="0088647A">
              <w:t xml:space="preserve"> </w:t>
            </w:r>
            <w:r w:rsidR="00C10A91" w:rsidRPr="00C10A91">
              <w:t xml:space="preserve">The figure- </w:t>
            </w:r>
            <w:r w:rsidR="007054D5">
              <w:t>8</w:t>
            </w:r>
            <w:r w:rsidR="00C10A91" w:rsidRPr="00C10A91">
              <w:t xml:space="preserve"> shows the anticipated funding for HIV from 2019-2023 from 4</w:t>
            </w:r>
            <w:r w:rsidR="00C10A91" w:rsidRPr="007054D5">
              <w:rPr>
                <w:vertAlign w:val="superscript"/>
              </w:rPr>
              <w:t>th</w:t>
            </w:r>
            <w:r w:rsidR="007054D5">
              <w:t xml:space="preserve"> </w:t>
            </w:r>
            <w:r w:rsidR="00E4452E">
              <w:t xml:space="preserve">sector programme </w:t>
            </w:r>
            <w:r w:rsidR="00C10A91" w:rsidRPr="00C10A91">
              <w:t xml:space="preserve">is US $ 17,495,433 under the OP of Tuberculosis-Leprosy &amp; AIDS STD Programme which is 76% of GF </w:t>
            </w:r>
            <w:r w:rsidR="00344AF7">
              <w:t xml:space="preserve">upcoming </w:t>
            </w:r>
            <w:r w:rsidR="00C10A91" w:rsidRPr="00C10A91">
              <w:t xml:space="preserve">allocation from 2020-2023. Government has planned 100% coverage of PLHIV for ART from OP budget and it has been providing services from 2017 from different public facilities. </w:t>
            </w:r>
            <w:r w:rsidR="00954F49">
              <w:t xml:space="preserve"> </w:t>
            </w:r>
          </w:p>
          <w:p w14:paraId="482B3BE6" w14:textId="04D5B277" w:rsidR="0098274C" w:rsidRPr="005305D5" w:rsidRDefault="00FB7B62" w:rsidP="00344AF7">
            <w:pPr>
              <w:spacing w:after="0"/>
              <w:jc w:val="both"/>
            </w:pPr>
            <w:r>
              <w:t xml:space="preserve">These efforts </w:t>
            </w:r>
            <w:r w:rsidR="00C10A91">
              <w:t xml:space="preserve">will be </w:t>
            </w:r>
            <w:r>
              <w:t xml:space="preserve">enhanced gradually </w:t>
            </w:r>
            <w:r w:rsidR="00344AF7">
              <w:t xml:space="preserve">though </w:t>
            </w:r>
            <w:r>
              <w:t>the public health</w:t>
            </w:r>
            <w:r w:rsidR="0088647A">
              <w:t xml:space="preserve"> </w:t>
            </w:r>
            <w:r>
              <w:t>systems of Bangladesh</w:t>
            </w:r>
            <w:r w:rsidR="00344AF7">
              <w:t>.</w:t>
            </w:r>
            <w:r>
              <w:t xml:space="preserve"> </w:t>
            </w:r>
          </w:p>
        </w:tc>
      </w:tr>
    </w:tbl>
    <w:p w14:paraId="2F215546" w14:textId="3A267F71" w:rsidR="0003674B" w:rsidRDefault="0003674B" w:rsidP="00BF55BF">
      <w:pPr>
        <w:spacing w:after="0"/>
      </w:pPr>
    </w:p>
    <w:p w14:paraId="6EFF32F9" w14:textId="0E7105B5" w:rsidR="0098274C" w:rsidRPr="00D474E6" w:rsidRDefault="006D0956" w:rsidP="00C57762">
      <w:pPr>
        <w:pStyle w:val="ListParagraph"/>
        <w:numPr>
          <w:ilvl w:val="0"/>
          <w:numId w:val="18"/>
        </w:numPr>
        <w:spacing w:after="0" w:line="260" w:lineRule="atLeast"/>
        <w:ind w:left="360"/>
        <w:rPr>
          <w:b/>
        </w:rPr>
      </w:pPr>
      <w:r>
        <w:t>Summarize</w:t>
      </w:r>
      <w:r w:rsidR="0098274C" w:rsidRPr="00D474E6">
        <w:t xml:space="preserve"> the </w:t>
      </w:r>
      <w:r w:rsidR="0098274C" w:rsidRPr="001B4CC6">
        <w:rPr>
          <w:b/>
        </w:rPr>
        <w:t>programmatic areas</w:t>
      </w:r>
      <w:r w:rsidR="0098274C" w:rsidRPr="00D474E6">
        <w:t xml:space="preserve"> to be supported by domestic co-financing in the </w:t>
      </w:r>
      <w:r w:rsidR="009B2486">
        <w:t>next</w:t>
      </w:r>
      <w:r w:rsidR="0098274C" w:rsidRPr="00D474E6">
        <w:t xml:space="preserve"> </w:t>
      </w:r>
      <w:r w:rsidR="001B4CC6">
        <w:t>allocation period</w:t>
      </w:r>
      <w:r w:rsidR="0098274C" w:rsidRPr="00D474E6">
        <w:t>. In particular:</w:t>
      </w:r>
    </w:p>
    <w:p w14:paraId="147CF3CF" w14:textId="62896BF8" w:rsidR="004F1255" w:rsidRDefault="477BDD52" w:rsidP="00C57762">
      <w:pPr>
        <w:pStyle w:val="ListParagraph"/>
        <w:numPr>
          <w:ilvl w:val="2"/>
          <w:numId w:val="18"/>
        </w:numPr>
        <w:spacing w:after="0" w:line="260" w:lineRule="atLeast"/>
        <w:ind w:left="900"/>
      </w:pPr>
      <w:r>
        <w:t xml:space="preserve">The financing of key program costs of national disease plans and/or health systems; </w:t>
      </w:r>
    </w:p>
    <w:p w14:paraId="6A7B0610" w14:textId="6A267FCE" w:rsidR="0015388D" w:rsidRPr="005305D5" w:rsidRDefault="477BDD52" w:rsidP="003E74DA">
      <w:pPr>
        <w:pStyle w:val="ListParagraph"/>
        <w:numPr>
          <w:ilvl w:val="2"/>
          <w:numId w:val="18"/>
        </w:numPr>
        <w:spacing w:after="0" w:line="260" w:lineRule="atLeast"/>
        <w:ind w:left="990"/>
      </w:pPr>
      <w:r>
        <w:t xml:space="preserve">The planned uptake of interventions </w:t>
      </w:r>
      <w:r w:rsidR="00131851">
        <w:t>currently</w:t>
      </w:r>
      <w:r>
        <w:t xml:space="preserve"> funded by the Global Fund.</w:t>
      </w:r>
    </w:p>
    <w:tbl>
      <w:tblPr>
        <w:tblStyle w:val="TableGrid"/>
        <w:tblW w:w="0" w:type="auto"/>
        <w:tblLook w:val="04A0" w:firstRow="1" w:lastRow="0" w:firstColumn="1" w:lastColumn="0" w:noHBand="0" w:noVBand="1"/>
      </w:tblPr>
      <w:tblGrid>
        <w:gridCol w:w="10456"/>
      </w:tblGrid>
      <w:tr w:rsidR="0098274C" w:rsidRPr="005305D5" w14:paraId="55932626" w14:textId="77777777" w:rsidTr="5011C524">
        <w:tc>
          <w:tcPr>
            <w:tcW w:w="10790" w:type="dxa"/>
          </w:tcPr>
          <w:p w14:paraId="6C084A1E" w14:textId="77777777" w:rsidR="00E27819" w:rsidRPr="005305D5" w:rsidRDefault="00E27819" w:rsidP="009B6C0D">
            <w:pPr>
              <w:spacing w:after="0"/>
            </w:pPr>
            <w:r w:rsidRPr="005305D5">
              <w:t>[Applicant response]</w:t>
            </w:r>
          </w:p>
          <w:p w14:paraId="426922D2" w14:textId="0B9B1018" w:rsidR="00034462" w:rsidRPr="0045724C" w:rsidRDefault="00034462" w:rsidP="00FB7B62">
            <w:pPr>
              <w:keepNext/>
              <w:spacing w:after="0"/>
              <w:jc w:val="both"/>
              <w:rPr>
                <w:b/>
                <w:bCs/>
              </w:rPr>
            </w:pPr>
            <w:r w:rsidRPr="0045724C">
              <w:rPr>
                <w:b/>
                <w:bCs/>
              </w:rPr>
              <w:t>The financing of key program costs of national disease plans and/or health systems</w:t>
            </w:r>
          </w:p>
          <w:p w14:paraId="751AE632" w14:textId="16938E25" w:rsidR="00FB7B62" w:rsidRDefault="00707431" w:rsidP="00707431">
            <w:pPr>
              <w:keepNext/>
              <w:spacing w:after="0"/>
              <w:jc w:val="both"/>
            </w:pPr>
            <w:r>
              <w:t>AIDS/ STD Programme is implementing HTS and ART services through 28 government hospital in 23 priority districts since 2017. Each of the hospital authority deployed one medical officer, one nurse as counselor and M</w:t>
            </w:r>
            <w:r w:rsidR="00344AF7">
              <w:t xml:space="preserve">edical </w:t>
            </w:r>
            <w:r>
              <w:t>T</w:t>
            </w:r>
            <w:r w:rsidR="00344AF7">
              <w:t>echnologist (MT)</w:t>
            </w:r>
            <w:r>
              <w:t xml:space="preserve"> lab</w:t>
            </w:r>
            <w:r w:rsidR="00344AF7">
              <w:t>oratory</w:t>
            </w:r>
            <w:r>
              <w:t xml:space="preserve"> (total 84 persons) for continuing the services. On the other hand, hospital Director/ superintendent is coordinating and supervising the services regular basis. Recently, ASP recruited 28 full time counselors cum </w:t>
            </w:r>
            <w:r w:rsidR="00B9349F">
              <w:t>administrator, and</w:t>
            </w:r>
            <w:r>
              <w:t xml:space="preserve"> MT lab </w:t>
            </w:r>
            <w:r w:rsidR="007C1E88">
              <w:t xml:space="preserve">at </w:t>
            </w:r>
            <w:r>
              <w:t xml:space="preserve">all those centers in January, 2020 who are working in the government hospital to serve the beneficiaries. ASP also recruited three </w:t>
            </w:r>
            <w:r w:rsidR="007C1E88">
              <w:t xml:space="preserve">programme </w:t>
            </w:r>
            <w:r>
              <w:t>coordinators for the headquarter to coordinate and monitor the services. The HTS and ART logistics including ARV, testing kits are supporting by OP budget.</w:t>
            </w:r>
            <w:r w:rsidR="008E0054">
              <w:t xml:space="preserve"> </w:t>
            </w:r>
            <w:r>
              <w:t xml:space="preserve">Beside </w:t>
            </w:r>
            <w:r w:rsidR="00E943A2">
              <w:t>this, 13</w:t>
            </w:r>
            <w:r>
              <w:t xml:space="preserve"> </w:t>
            </w:r>
            <w:r w:rsidR="00E943A2">
              <w:t xml:space="preserve">senior level officials </w:t>
            </w:r>
            <w:r>
              <w:t xml:space="preserve">from government OP are in regular organogram including Line Director, Director, Deputy Director, Programme manager, Deputy Programme managers, Medical officers who oversee the implementation as part of the national </w:t>
            </w:r>
            <w:r w:rsidR="007C1E88">
              <w:t>response and</w:t>
            </w:r>
            <w:r>
              <w:t xml:space="preserve"> are </w:t>
            </w:r>
            <w:r w:rsidR="00B9349F">
              <w:t>being paid</w:t>
            </w:r>
            <w:r>
              <w:t xml:space="preserve"> by government revenue. However, </w:t>
            </w:r>
            <w:r w:rsidR="00FB7B62">
              <w:t>Under the 4</w:t>
            </w:r>
            <w:r w:rsidR="00FB7B62" w:rsidRPr="00E458AA">
              <w:rPr>
                <w:vertAlign w:val="superscript"/>
              </w:rPr>
              <w:t>th</w:t>
            </w:r>
            <w:r w:rsidR="00FB7B62">
              <w:t xml:space="preserve"> HPNSP operational plans, ASP has NSP objective wise plans for the following services:</w:t>
            </w:r>
          </w:p>
          <w:p w14:paraId="23FE0E77" w14:textId="78E6D596" w:rsidR="00FB7B62" w:rsidRDefault="00FB7B62" w:rsidP="00FB7B62">
            <w:pPr>
              <w:keepNext/>
              <w:spacing w:after="0"/>
              <w:jc w:val="both"/>
            </w:pPr>
            <w:r w:rsidRPr="00E458AA">
              <w:rPr>
                <w:b/>
                <w:bCs/>
              </w:rPr>
              <w:t>Objective 1</w:t>
            </w:r>
            <w:r>
              <w:t xml:space="preserve"> of NSP prevention services for KPs</w:t>
            </w:r>
          </w:p>
          <w:p w14:paraId="647DC046" w14:textId="0738E923" w:rsidR="00FB7B62" w:rsidRDefault="00FB7B62" w:rsidP="00DA7581">
            <w:pPr>
              <w:pStyle w:val="ListParagraph"/>
              <w:keepNext/>
              <w:numPr>
                <w:ilvl w:val="0"/>
                <w:numId w:val="38"/>
              </w:numPr>
              <w:spacing w:after="0"/>
              <w:jc w:val="both"/>
            </w:pPr>
            <w:r>
              <w:t xml:space="preserve">There are provision of prevention programme for the different </w:t>
            </w:r>
            <w:r w:rsidR="001A543F">
              <w:t xml:space="preserve">types of </w:t>
            </w:r>
            <w:r>
              <w:t>KPs</w:t>
            </w:r>
            <w:r w:rsidR="001A543F">
              <w:t xml:space="preserve"> include </w:t>
            </w:r>
            <w:r>
              <w:t>Brothel Based Female Sex Workers- 3600, Hotel/ Street Sex Workers- 5000, PWID- 10,000, MSM/ TG- 5000. Meanwhile</w:t>
            </w:r>
            <w:r w:rsidR="001A543F">
              <w:t>,</w:t>
            </w:r>
            <w:r>
              <w:t xml:space="preserve"> the brothel-based sex workers package</w:t>
            </w:r>
            <w:r w:rsidR="001A543F">
              <w:t xml:space="preserve"> has begun</w:t>
            </w:r>
            <w:r>
              <w:t xml:space="preserve"> and </w:t>
            </w:r>
            <w:r w:rsidR="001A543F">
              <w:t>it is s</w:t>
            </w:r>
            <w:r>
              <w:t xml:space="preserve">erving 3600 FSW. Rest of the </w:t>
            </w:r>
            <w:r w:rsidR="001A543F">
              <w:t xml:space="preserve">interventions </w:t>
            </w:r>
            <w:r>
              <w:t>are under process of</w:t>
            </w:r>
            <w:r w:rsidR="001A543F">
              <w:t xml:space="preserve"> implementation</w:t>
            </w:r>
            <w:r>
              <w:t xml:space="preserve">. Besides this, ASP procuring different service logistics for the KPs including condom, syringe, methadone from the OP fund.   </w:t>
            </w:r>
          </w:p>
          <w:p w14:paraId="47461D7D" w14:textId="74B64532" w:rsidR="00FB7B62" w:rsidRDefault="00FB7B62" w:rsidP="00DA7581">
            <w:pPr>
              <w:pStyle w:val="ListParagraph"/>
              <w:keepNext/>
              <w:numPr>
                <w:ilvl w:val="0"/>
                <w:numId w:val="38"/>
              </w:numPr>
              <w:spacing w:after="0"/>
              <w:jc w:val="both"/>
            </w:pPr>
            <w:r>
              <w:t xml:space="preserve">Case Detection: ASP has started its HIV testing services at 28 government hospitals in 23 priority districts since December 2018. Centrally, ASP has been procuring </w:t>
            </w:r>
            <w:r w:rsidR="001A543F">
              <w:t xml:space="preserve">HIV </w:t>
            </w:r>
            <w:r>
              <w:t xml:space="preserve">testing kits and accessories and supplying to these hospitals. ASP has appointed counsellor and </w:t>
            </w:r>
            <w:r w:rsidR="001A543F">
              <w:t>medical technologist for laboratory (MT-Lab)</w:t>
            </w:r>
            <w:r>
              <w:t xml:space="preserve"> for all those hospitals who </w:t>
            </w:r>
            <w:r w:rsidR="001A543F">
              <w:t xml:space="preserve">does </w:t>
            </w:r>
            <w:r>
              <w:t xml:space="preserve">HIV testing. Hospital authority has provided space and supports </w:t>
            </w:r>
            <w:r w:rsidR="00660CDA">
              <w:t xml:space="preserve">to </w:t>
            </w:r>
            <w:r>
              <w:t xml:space="preserve">HTS center. </w:t>
            </w:r>
            <w:r w:rsidR="00660CDA">
              <w:t xml:space="preserve">Physician, </w:t>
            </w:r>
            <w:r>
              <w:t xml:space="preserve">nurses and MT </w:t>
            </w:r>
            <w:r w:rsidR="00660CDA">
              <w:t>L</w:t>
            </w:r>
            <w:r>
              <w:t xml:space="preserve">ab from the </w:t>
            </w:r>
            <w:r w:rsidR="00660CDA">
              <w:t xml:space="preserve">government </w:t>
            </w:r>
            <w:r>
              <w:t>revenue budget are working in the HTS center</w:t>
            </w:r>
            <w:r w:rsidR="00660CDA">
              <w:t xml:space="preserve"> to attain 90-90-90 targets</w:t>
            </w:r>
            <w:r>
              <w:t xml:space="preserve">. </w:t>
            </w:r>
          </w:p>
          <w:p w14:paraId="67E61901" w14:textId="4D546E2B" w:rsidR="00FB7B62" w:rsidRDefault="00FB7B62" w:rsidP="00DA7581">
            <w:pPr>
              <w:pStyle w:val="ListParagraph"/>
              <w:keepNext/>
              <w:numPr>
                <w:ilvl w:val="0"/>
                <w:numId w:val="38"/>
              </w:numPr>
              <w:spacing w:after="0"/>
              <w:jc w:val="both"/>
            </w:pPr>
            <w:r>
              <w:t>Mass awareness: Mass awareness programme</w:t>
            </w:r>
            <w:r w:rsidR="00660CDA">
              <w:t xml:space="preserve"> has been</w:t>
            </w:r>
            <w:r>
              <w:t xml:space="preserve"> </w:t>
            </w:r>
            <w:r w:rsidR="00660CDA">
              <w:t xml:space="preserve">airing </w:t>
            </w:r>
            <w:r>
              <w:t xml:space="preserve">through </w:t>
            </w:r>
            <w:r w:rsidR="00660CDA">
              <w:t>electronic media Bangladesh television (</w:t>
            </w:r>
            <w:r>
              <w:t>BTV</w:t>
            </w:r>
            <w:r w:rsidR="00660CDA">
              <w:t>)</w:t>
            </w:r>
            <w:r>
              <w:t xml:space="preserve"> and other popular media under the </w:t>
            </w:r>
            <w:r w:rsidR="00660CDA">
              <w:t xml:space="preserve">HPNSP </w:t>
            </w:r>
            <w:r>
              <w:t>OP</w:t>
            </w:r>
            <w:r w:rsidR="00660CDA">
              <w:t xml:space="preserve"> from sector programme.</w:t>
            </w:r>
            <w:r>
              <w:fldChar w:fldCharType="begin"/>
            </w:r>
            <w:r>
              <w:instrText xml:space="preserve"> TA \s "GoB" </w:instrText>
            </w:r>
            <w:r>
              <w:fldChar w:fldCharType="end"/>
            </w:r>
            <w:r>
              <w:t xml:space="preserve"> </w:t>
            </w:r>
          </w:p>
          <w:p w14:paraId="785698C6" w14:textId="69392E9F" w:rsidR="00FB7B62" w:rsidRDefault="00FB7B62" w:rsidP="00FB7B62">
            <w:pPr>
              <w:keepNext/>
              <w:spacing w:after="0"/>
              <w:jc w:val="both"/>
            </w:pPr>
            <w:r>
              <w:t xml:space="preserve"> </w:t>
            </w:r>
            <w:r w:rsidRPr="00E458AA">
              <w:rPr>
                <w:b/>
                <w:bCs/>
              </w:rPr>
              <w:t>Objective 2</w:t>
            </w:r>
            <w:r>
              <w:t>: universal access to treatment care</w:t>
            </w:r>
          </w:p>
          <w:p w14:paraId="2D2FE4A9" w14:textId="5B09F973" w:rsidR="00FB7B62" w:rsidRDefault="00FB7B62" w:rsidP="00DA7581">
            <w:pPr>
              <w:pStyle w:val="ListParagraph"/>
              <w:keepNext/>
              <w:numPr>
                <w:ilvl w:val="0"/>
                <w:numId w:val="39"/>
              </w:numPr>
              <w:spacing w:after="0"/>
              <w:jc w:val="both"/>
            </w:pPr>
            <w:r>
              <w:t xml:space="preserve">ASP has been working for increasing treatment coverage to PLHIV. ASP already established 10 ART/ </w:t>
            </w:r>
            <w:r w:rsidR="009F1775">
              <w:t>re-</w:t>
            </w:r>
            <w:r>
              <w:t>fill center</w:t>
            </w:r>
            <w:r w:rsidR="009F1775">
              <w:t>s</w:t>
            </w:r>
            <w:r>
              <w:t xml:space="preserve"> </w:t>
            </w:r>
            <w:r w:rsidR="009F1775">
              <w:t xml:space="preserve">in alignment with </w:t>
            </w:r>
            <w:r>
              <w:t xml:space="preserve">the geographical presence of the PLHIV population. Respective </w:t>
            </w:r>
            <w:r w:rsidR="009F1775">
              <w:t xml:space="preserve">public </w:t>
            </w:r>
            <w:r>
              <w:t xml:space="preserve">hospitals have arranged space, physicians, nurse and other relevant staff to </w:t>
            </w:r>
            <w:r w:rsidR="009F1775">
              <w:t xml:space="preserve">provide </w:t>
            </w:r>
            <w:r>
              <w:t>services in qualitative manner. ASP procures ARVs from the OP fund and supplies to the hospital in a regular basis</w:t>
            </w:r>
            <w:r w:rsidR="009F1775">
              <w:t>. H</w:t>
            </w:r>
            <w:r>
              <w:t xml:space="preserve">ospital authorities support for the drug for opportunistic infection management. </w:t>
            </w:r>
          </w:p>
          <w:p w14:paraId="2163E8A9" w14:textId="15BF9A68" w:rsidR="00FB7B62" w:rsidRDefault="00FB7B62" w:rsidP="00DA7581">
            <w:pPr>
              <w:pStyle w:val="ListParagraph"/>
              <w:keepNext/>
              <w:numPr>
                <w:ilvl w:val="0"/>
                <w:numId w:val="39"/>
              </w:numPr>
              <w:spacing w:after="0"/>
              <w:jc w:val="both"/>
            </w:pPr>
            <w:r>
              <w:t xml:space="preserve">PMTCT </w:t>
            </w:r>
            <w:r w:rsidR="00733E22">
              <w:t>p</w:t>
            </w:r>
            <w:r>
              <w:t xml:space="preserve">rogramme: with the support from UNICEF </w:t>
            </w:r>
            <w:r w:rsidR="009F1775">
              <w:t xml:space="preserve">at </w:t>
            </w:r>
            <w:r>
              <w:t>selected hospitals ASP has been implementing PMTCT programme in 11 hospital</w:t>
            </w:r>
            <w:r w:rsidR="009F1775">
              <w:t>s</w:t>
            </w:r>
            <w:r>
              <w:t xml:space="preserve"> under the priority districts.  </w:t>
            </w:r>
          </w:p>
          <w:p w14:paraId="10E156E4" w14:textId="25A5ADAA" w:rsidR="00FB7B62" w:rsidRDefault="00FB7B62" w:rsidP="00FB7B62">
            <w:pPr>
              <w:keepNext/>
              <w:spacing w:after="0"/>
              <w:jc w:val="both"/>
            </w:pPr>
            <w:r w:rsidRPr="00C47AC6">
              <w:rPr>
                <w:b/>
                <w:bCs/>
              </w:rPr>
              <w:t>Objective 3</w:t>
            </w:r>
            <w:r>
              <w:t xml:space="preserve">: coordination and capacity building </w:t>
            </w:r>
          </w:p>
          <w:p w14:paraId="2FCF24D9" w14:textId="77777777" w:rsidR="00FB7B62" w:rsidRDefault="00FB7B62" w:rsidP="00DA7581">
            <w:pPr>
              <w:pStyle w:val="ListParagraph"/>
              <w:keepNext/>
              <w:numPr>
                <w:ilvl w:val="0"/>
                <w:numId w:val="36"/>
              </w:numPr>
              <w:spacing w:after="0"/>
              <w:jc w:val="both"/>
            </w:pPr>
            <w:r>
              <w:t xml:space="preserve">Training and capacity building activities are continuing under OP fund for the different level of health service providers including doctor, nurse, MT lab and other relevant staff. </w:t>
            </w:r>
          </w:p>
          <w:p w14:paraId="38C55F44" w14:textId="4910D185" w:rsidR="00FB7B62" w:rsidRDefault="00FB7B62" w:rsidP="00FB7B62">
            <w:pPr>
              <w:keepNext/>
              <w:spacing w:after="0"/>
              <w:jc w:val="both"/>
            </w:pPr>
            <w:r w:rsidRPr="00C47AC6">
              <w:rPr>
                <w:b/>
                <w:bCs/>
              </w:rPr>
              <w:t>Objective 4</w:t>
            </w:r>
            <w:r>
              <w:t xml:space="preserve">: Strategic information  </w:t>
            </w:r>
          </w:p>
          <w:p w14:paraId="079B703E" w14:textId="44A919A9" w:rsidR="00FB7B62" w:rsidRDefault="00FB7B62" w:rsidP="00DA7581">
            <w:pPr>
              <w:pStyle w:val="ListParagraph"/>
              <w:keepNext/>
              <w:numPr>
                <w:ilvl w:val="0"/>
                <w:numId w:val="37"/>
              </w:numPr>
              <w:spacing w:after="0"/>
              <w:jc w:val="both"/>
            </w:pPr>
            <w:r>
              <w:t>ASP is implementing STI surveillance (2019- 2021) through IEDCR to understand the prevalence and factors associated with the STIs</w:t>
            </w:r>
          </w:p>
          <w:p w14:paraId="11B1C849" w14:textId="77777777" w:rsidR="00EF42DA" w:rsidRDefault="00EF42DA" w:rsidP="009B6C0D">
            <w:pPr>
              <w:spacing w:after="0"/>
              <w:rPr>
                <w:b/>
                <w:bCs/>
              </w:rPr>
            </w:pPr>
          </w:p>
          <w:p w14:paraId="27D3FD5C" w14:textId="5D07DCE3" w:rsidR="0098274C" w:rsidRDefault="0045724C" w:rsidP="009B6C0D">
            <w:pPr>
              <w:spacing w:after="0"/>
              <w:rPr>
                <w:b/>
                <w:bCs/>
              </w:rPr>
            </w:pPr>
            <w:r w:rsidRPr="0045724C">
              <w:rPr>
                <w:b/>
                <w:bCs/>
              </w:rPr>
              <w:t>The planned uptake of interventions currently funded by the Global Fund</w:t>
            </w:r>
          </w:p>
          <w:p w14:paraId="60074DB2" w14:textId="6884C0BB" w:rsidR="008E0054" w:rsidRPr="00B420FC" w:rsidRDefault="008E0054" w:rsidP="009B6C0D">
            <w:pPr>
              <w:spacing w:after="0"/>
            </w:pPr>
            <w:r w:rsidRPr="00B420FC">
              <w:t>Currently, government has minimum uptake from GF funding which is a total of US $</w:t>
            </w:r>
            <w:r w:rsidR="001A4726" w:rsidRPr="00B420FC">
              <w:t xml:space="preserve">1,074,700 </w:t>
            </w:r>
            <w:r w:rsidRPr="00B420FC">
              <w:t>f</w:t>
            </w:r>
            <w:r w:rsidR="00223762" w:rsidRPr="00B420FC">
              <w:t>or</w:t>
            </w:r>
            <w:r w:rsidRPr="00B420FC">
              <w:t xml:space="preserve"> 2017-2020.  ASP has been using the GF money to complement government resource in agreement with GF </w:t>
            </w:r>
            <w:r w:rsidR="00223762" w:rsidRPr="00B420FC">
              <w:t>C</w:t>
            </w:r>
            <w:r w:rsidRPr="00B420FC">
              <w:t>ountry Team. Following are the interventions supported by GF:</w:t>
            </w:r>
          </w:p>
          <w:p w14:paraId="24B7B3E0" w14:textId="0F26A9DC" w:rsidR="008E0054" w:rsidRPr="00B420FC" w:rsidRDefault="008E0054" w:rsidP="00DA7581">
            <w:pPr>
              <w:pStyle w:val="ListParagraph"/>
              <w:numPr>
                <w:ilvl w:val="0"/>
                <w:numId w:val="40"/>
              </w:numPr>
              <w:shd w:val="clear" w:color="auto" w:fill="FFFFFF"/>
              <w:spacing w:after="0" w:line="240" w:lineRule="auto"/>
              <w:rPr>
                <w:rFonts w:eastAsia="Times New Roman" w:cs="Arial"/>
                <w:color w:val="222222"/>
              </w:rPr>
            </w:pPr>
            <w:r w:rsidRPr="00B420FC">
              <w:rPr>
                <w:rFonts w:eastAsia="Times New Roman" w:cs="Arial"/>
                <w:color w:val="222222"/>
              </w:rPr>
              <w:t xml:space="preserve">ASP </w:t>
            </w:r>
            <w:r w:rsidR="001A4726" w:rsidRPr="00B420FC">
              <w:rPr>
                <w:rFonts w:eastAsia="Times New Roman" w:cs="Arial"/>
                <w:color w:val="222222"/>
              </w:rPr>
              <w:t xml:space="preserve">has been working for strengthening </w:t>
            </w:r>
            <w:r w:rsidR="00223762" w:rsidRPr="00B420FC">
              <w:rPr>
                <w:rFonts w:eastAsia="Times New Roman" w:cs="Arial"/>
                <w:color w:val="222222"/>
              </w:rPr>
              <w:t xml:space="preserve">HIV </w:t>
            </w:r>
            <w:r w:rsidR="001A4726" w:rsidRPr="00B420FC">
              <w:rPr>
                <w:rFonts w:eastAsia="Times New Roman" w:cs="Arial"/>
                <w:color w:val="222222"/>
              </w:rPr>
              <w:t>routine reporting and MIS system</w:t>
            </w:r>
            <w:r w:rsidR="00223762" w:rsidRPr="00B420FC">
              <w:rPr>
                <w:rFonts w:eastAsia="Times New Roman" w:cs="Arial"/>
                <w:color w:val="222222"/>
              </w:rPr>
              <w:t xml:space="preserve"> of DGHS</w:t>
            </w:r>
            <w:r w:rsidR="001A4726" w:rsidRPr="00B420FC">
              <w:rPr>
                <w:rFonts w:eastAsia="Times New Roman" w:cs="Arial"/>
                <w:color w:val="222222"/>
              </w:rPr>
              <w:t>. The HIV programmatic data are being incorporated in national DHIS2</w:t>
            </w:r>
            <w:r w:rsidR="00223762" w:rsidRPr="00B420FC">
              <w:rPr>
                <w:rFonts w:eastAsia="Times New Roman" w:cs="Arial"/>
                <w:color w:val="222222"/>
              </w:rPr>
              <w:t xml:space="preserve"> in corporation with NGOs. </w:t>
            </w:r>
          </w:p>
          <w:p w14:paraId="11F43A83" w14:textId="4907B973" w:rsidR="00223762" w:rsidRPr="00B420FC" w:rsidRDefault="00223762" w:rsidP="00DA7581">
            <w:pPr>
              <w:pStyle w:val="ListParagraph"/>
              <w:numPr>
                <w:ilvl w:val="0"/>
                <w:numId w:val="40"/>
              </w:numPr>
              <w:shd w:val="clear" w:color="auto" w:fill="FFFFFF"/>
              <w:spacing w:after="0" w:line="240" w:lineRule="auto"/>
              <w:rPr>
                <w:rFonts w:eastAsia="Times New Roman" w:cs="Arial"/>
                <w:color w:val="222222"/>
              </w:rPr>
            </w:pPr>
            <w:r w:rsidRPr="00B420FC">
              <w:rPr>
                <w:rFonts w:eastAsia="Times New Roman" w:cs="Arial"/>
                <w:color w:val="222222"/>
              </w:rPr>
              <w:t xml:space="preserve">ASP has been conducting routine </w:t>
            </w:r>
            <w:r w:rsidR="008E0054" w:rsidRPr="00B420FC">
              <w:rPr>
                <w:rFonts w:eastAsia="Times New Roman" w:cs="Arial"/>
                <w:color w:val="222222"/>
              </w:rPr>
              <w:t>monitoring and supervision</w:t>
            </w:r>
            <w:r w:rsidRPr="00B420FC">
              <w:rPr>
                <w:rFonts w:eastAsia="Times New Roman" w:cs="Arial"/>
                <w:color w:val="222222"/>
              </w:rPr>
              <w:t xml:space="preserve"> visit to </w:t>
            </w:r>
            <w:r w:rsidR="008E0054" w:rsidRPr="00B420FC">
              <w:rPr>
                <w:rFonts w:eastAsia="Times New Roman" w:cs="Arial"/>
                <w:color w:val="222222"/>
              </w:rPr>
              <w:t>DIC</w:t>
            </w:r>
            <w:r w:rsidRPr="00B420FC">
              <w:rPr>
                <w:rFonts w:eastAsia="Times New Roman" w:cs="Arial"/>
                <w:color w:val="222222"/>
              </w:rPr>
              <w:t>s; IBBS has been planned and it has been ongoing to update country situation on HIV prevalence.</w:t>
            </w:r>
            <w:r w:rsidR="008E0054" w:rsidRPr="00B420FC">
              <w:rPr>
                <w:rFonts w:eastAsia="Times New Roman" w:cs="Arial"/>
                <w:color w:val="222222"/>
              </w:rPr>
              <w:t xml:space="preserve"> </w:t>
            </w:r>
          </w:p>
          <w:p w14:paraId="367C5824" w14:textId="0C408916" w:rsidR="008E0054" w:rsidRPr="00B420FC" w:rsidRDefault="00223762" w:rsidP="00DA7581">
            <w:pPr>
              <w:pStyle w:val="ListParagraph"/>
              <w:numPr>
                <w:ilvl w:val="0"/>
                <w:numId w:val="40"/>
              </w:numPr>
              <w:shd w:val="clear" w:color="auto" w:fill="FFFFFF"/>
              <w:spacing w:after="0" w:line="240" w:lineRule="auto"/>
              <w:rPr>
                <w:rFonts w:eastAsia="Times New Roman" w:cs="Arial"/>
                <w:color w:val="222222"/>
              </w:rPr>
            </w:pPr>
            <w:r w:rsidRPr="00B420FC">
              <w:rPr>
                <w:rFonts w:eastAsia="Times New Roman" w:cs="Arial"/>
                <w:color w:val="222222"/>
              </w:rPr>
              <w:t>Higher level advocacy with other government ministries</w:t>
            </w:r>
            <w:r w:rsidR="008E0054" w:rsidRPr="00B420FC">
              <w:rPr>
                <w:rFonts w:eastAsia="Times New Roman" w:cs="Arial"/>
                <w:color w:val="222222"/>
              </w:rPr>
              <w:t> </w:t>
            </w:r>
            <w:r w:rsidRPr="00B420FC">
              <w:rPr>
                <w:rFonts w:eastAsia="Times New Roman" w:cs="Arial"/>
                <w:color w:val="222222"/>
              </w:rPr>
              <w:t xml:space="preserve">and department is on going to mobilize both resource and opinion toward HIV intervention </w:t>
            </w:r>
          </w:p>
          <w:p w14:paraId="5A1B65E0" w14:textId="33C8DDDB" w:rsidR="00223762" w:rsidRPr="00B420FC" w:rsidRDefault="00223762" w:rsidP="00DA7581">
            <w:pPr>
              <w:pStyle w:val="ListParagraph"/>
              <w:numPr>
                <w:ilvl w:val="0"/>
                <w:numId w:val="40"/>
              </w:numPr>
              <w:shd w:val="clear" w:color="auto" w:fill="FFFFFF"/>
              <w:spacing w:after="0" w:line="240" w:lineRule="auto"/>
              <w:rPr>
                <w:rFonts w:eastAsia="Times New Roman" w:cs="Arial"/>
                <w:color w:val="222222"/>
              </w:rPr>
            </w:pPr>
            <w:r w:rsidRPr="00B420FC">
              <w:rPr>
                <w:rFonts w:eastAsia="Times New Roman" w:cs="Arial"/>
                <w:color w:val="222222"/>
              </w:rPr>
              <w:t>Capacity building of government staff and service providers for reducing stigma, discrimination and ensuring quality of care is ongoing activity of ASP</w:t>
            </w:r>
          </w:p>
          <w:p w14:paraId="2F02AAF1" w14:textId="50F64214" w:rsidR="00223762" w:rsidRPr="00B420FC" w:rsidRDefault="00223762" w:rsidP="00DA7581">
            <w:pPr>
              <w:pStyle w:val="ListParagraph"/>
              <w:numPr>
                <w:ilvl w:val="0"/>
                <w:numId w:val="40"/>
              </w:numPr>
              <w:shd w:val="clear" w:color="auto" w:fill="FFFFFF"/>
              <w:spacing w:after="0" w:line="240" w:lineRule="auto"/>
              <w:rPr>
                <w:rFonts w:eastAsia="Times New Roman" w:cs="Arial"/>
                <w:color w:val="222222"/>
              </w:rPr>
            </w:pPr>
            <w:r w:rsidRPr="00B420FC">
              <w:rPr>
                <w:rFonts w:eastAsia="Times New Roman" w:cs="Arial"/>
                <w:color w:val="222222"/>
              </w:rPr>
              <w:t xml:space="preserve">ASP has been working with </w:t>
            </w:r>
            <w:r w:rsidR="00D150FB" w:rsidRPr="00B420FC">
              <w:rPr>
                <w:rFonts w:eastAsia="Times New Roman" w:cs="Arial"/>
                <w:color w:val="222222"/>
              </w:rPr>
              <w:t xml:space="preserve">the </w:t>
            </w:r>
            <w:r w:rsidRPr="00B420FC">
              <w:rPr>
                <w:rFonts w:eastAsia="Times New Roman" w:cs="Arial"/>
                <w:color w:val="222222"/>
              </w:rPr>
              <w:t>management of government hospitals</w:t>
            </w:r>
            <w:r w:rsidR="00D150FB" w:rsidRPr="00B420FC">
              <w:rPr>
                <w:rFonts w:eastAsia="Times New Roman" w:cs="Arial"/>
                <w:color w:val="222222"/>
              </w:rPr>
              <w:t xml:space="preserve"> for creating enabling environment for KPs and PLHIV; it provides training and orientation in tis regards.</w:t>
            </w:r>
          </w:p>
          <w:p w14:paraId="5B4E26A8" w14:textId="5F131BD1" w:rsidR="008E0054" w:rsidRPr="00B420FC" w:rsidRDefault="00D150FB" w:rsidP="00DA7581">
            <w:pPr>
              <w:pStyle w:val="ListParagraph"/>
              <w:numPr>
                <w:ilvl w:val="0"/>
                <w:numId w:val="40"/>
              </w:numPr>
              <w:shd w:val="clear" w:color="auto" w:fill="FFFFFF"/>
              <w:spacing w:after="0" w:line="240" w:lineRule="auto"/>
              <w:rPr>
                <w:rFonts w:eastAsia="Times New Roman" w:cs="Arial"/>
                <w:color w:val="222222"/>
              </w:rPr>
            </w:pPr>
            <w:r w:rsidRPr="00B420FC">
              <w:rPr>
                <w:rFonts w:eastAsia="Times New Roman" w:cs="Arial"/>
                <w:color w:val="222222"/>
              </w:rPr>
              <w:t>ASP has established functional linkage in between district health managers and DICs and NGO-PRs staff for integration of services</w:t>
            </w:r>
          </w:p>
          <w:p w14:paraId="6F4C1A20" w14:textId="3A206997" w:rsidR="00E27819" w:rsidRPr="005305D5" w:rsidRDefault="00D150FB" w:rsidP="00DA7581">
            <w:pPr>
              <w:pStyle w:val="ListParagraph"/>
              <w:numPr>
                <w:ilvl w:val="0"/>
                <w:numId w:val="40"/>
              </w:numPr>
              <w:shd w:val="clear" w:color="auto" w:fill="FFFFFF"/>
              <w:spacing w:after="0" w:line="240" w:lineRule="auto"/>
            </w:pPr>
            <w:r w:rsidRPr="00B420FC">
              <w:rPr>
                <w:rFonts w:eastAsia="Times New Roman" w:cs="Arial"/>
                <w:color w:val="222222"/>
              </w:rPr>
              <w:t>ASP takes the leadership role to d</w:t>
            </w:r>
            <w:r w:rsidR="008E0054" w:rsidRPr="00B420FC">
              <w:rPr>
                <w:rFonts w:eastAsia="Times New Roman" w:cs="Arial"/>
                <w:color w:val="222222"/>
              </w:rPr>
              <w:t>evelop</w:t>
            </w:r>
            <w:r w:rsidRPr="00B420FC">
              <w:rPr>
                <w:rFonts w:eastAsia="Times New Roman" w:cs="Arial"/>
                <w:color w:val="222222"/>
              </w:rPr>
              <w:t>/</w:t>
            </w:r>
            <w:r w:rsidR="008E0054" w:rsidRPr="00B420FC">
              <w:rPr>
                <w:rFonts w:eastAsia="Times New Roman" w:cs="Arial"/>
                <w:color w:val="222222"/>
              </w:rPr>
              <w:t>revise SOP/guideline/manual related to HIV programme</w:t>
            </w:r>
            <w:r w:rsidRPr="00B420FC">
              <w:rPr>
                <w:rFonts w:eastAsia="Times New Roman" w:cs="Arial"/>
                <w:color w:val="222222"/>
              </w:rPr>
              <w:t xml:space="preserve"> implementation or technical update.</w:t>
            </w:r>
            <w:r w:rsidRPr="00EF42DA">
              <w:rPr>
                <w:rFonts w:eastAsia="Times New Roman" w:cs="Arial"/>
                <w:color w:val="222222"/>
                <w:sz w:val="24"/>
                <w:szCs w:val="24"/>
              </w:rPr>
              <w:t xml:space="preserve"> </w:t>
            </w:r>
          </w:p>
        </w:tc>
      </w:tr>
    </w:tbl>
    <w:p w14:paraId="0956C7F5" w14:textId="62FE5847" w:rsidR="0003674B" w:rsidRDefault="0003674B" w:rsidP="009B6C0D">
      <w:pPr>
        <w:spacing w:after="0"/>
      </w:pPr>
    </w:p>
    <w:p w14:paraId="0B6FE9EB" w14:textId="620202F0" w:rsidR="0003674B" w:rsidRPr="00EF42DA" w:rsidRDefault="0018557F" w:rsidP="003E74DA">
      <w:pPr>
        <w:pStyle w:val="ListParagraph"/>
        <w:numPr>
          <w:ilvl w:val="0"/>
          <w:numId w:val="18"/>
        </w:numPr>
        <w:spacing w:after="0"/>
        <w:ind w:left="360"/>
      </w:pPr>
      <w:r w:rsidRPr="5011C524">
        <w:t>S</w:t>
      </w:r>
      <w:r w:rsidRPr="00EF42DA">
        <w:rPr>
          <w:rFonts w:eastAsia="Arial" w:cs="Arial"/>
        </w:rPr>
        <w:t xml:space="preserve">pecify how co-financing commitments will be </w:t>
      </w:r>
      <w:r w:rsidRPr="00EF42DA">
        <w:rPr>
          <w:rFonts w:eastAsia="Arial" w:cs="Arial"/>
          <w:b/>
        </w:rPr>
        <w:t>tracked and reported</w:t>
      </w:r>
      <w:r w:rsidRPr="00EF42DA">
        <w:rPr>
          <w:rFonts w:eastAsia="Arial" w:cs="Arial"/>
        </w:rPr>
        <w:t xml:space="preserve">. If public financial management systems and/or expenditure tracking mechanisms require strengthening and/or institutionalization, indicate how this funding request will address these needs. </w:t>
      </w:r>
    </w:p>
    <w:p w14:paraId="023789C2" w14:textId="77777777" w:rsidR="00EF42DA" w:rsidRPr="0018557F" w:rsidRDefault="00EF42DA" w:rsidP="00EF42DA">
      <w:pPr>
        <w:pStyle w:val="ListParagraph"/>
        <w:spacing w:after="0"/>
        <w:ind w:left="360"/>
      </w:pPr>
    </w:p>
    <w:tbl>
      <w:tblPr>
        <w:tblStyle w:val="TableGrid"/>
        <w:tblW w:w="0" w:type="auto"/>
        <w:tblLayout w:type="fixed"/>
        <w:tblLook w:val="04A0" w:firstRow="1" w:lastRow="0" w:firstColumn="1" w:lastColumn="0" w:noHBand="0" w:noVBand="1"/>
      </w:tblPr>
      <w:tblGrid>
        <w:gridCol w:w="10466"/>
      </w:tblGrid>
      <w:tr w:rsidR="5011C524" w14:paraId="6BAE677A" w14:textId="77777777" w:rsidTr="5011C524">
        <w:tc>
          <w:tcPr>
            <w:tcW w:w="10466" w:type="dxa"/>
          </w:tcPr>
          <w:p w14:paraId="43392FEE" w14:textId="3B37D8CB" w:rsidR="00F713EE" w:rsidRDefault="5011C524" w:rsidP="00F713EE">
            <w:pPr>
              <w:spacing w:after="0"/>
              <w:rPr>
                <w:rFonts w:eastAsia="Arial" w:cs="Arial"/>
                <w:lang w:val="en-GB"/>
              </w:rPr>
            </w:pPr>
            <w:r w:rsidRPr="5011C524">
              <w:rPr>
                <w:rFonts w:eastAsia="Arial" w:cs="Arial"/>
                <w:lang w:val="en-GB"/>
              </w:rPr>
              <w:t>[Applicant response]</w:t>
            </w:r>
          </w:p>
          <w:p w14:paraId="23E38C8D" w14:textId="03F08672" w:rsidR="5011C524" w:rsidRDefault="00F713EE" w:rsidP="00F713EE">
            <w:pPr>
              <w:spacing w:after="0"/>
              <w:jc w:val="both"/>
            </w:pPr>
            <w:r w:rsidRPr="00F713EE">
              <w:rPr>
                <w:rFonts w:eastAsia="Arial" w:cs="Arial"/>
                <w:lang w:val="en-GB"/>
              </w:rPr>
              <w:t>The GoB has its own Implementation Monitoring and Evaluation Division (IMED) under the</w:t>
            </w:r>
            <w:r>
              <w:rPr>
                <w:rFonts w:eastAsia="Arial" w:cs="Arial"/>
                <w:lang w:val="en-GB"/>
              </w:rPr>
              <w:t xml:space="preserve"> </w:t>
            </w:r>
            <w:r w:rsidRPr="00F713EE">
              <w:rPr>
                <w:rFonts w:eastAsia="Arial" w:cs="Arial"/>
                <w:lang w:val="en-GB"/>
              </w:rPr>
              <w:t>Ministry of Planning. This Division collects quarterly program implementation and spending</w:t>
            </w:r>
            <w:r>
              <w:rPr>
                <w:rFonts w:eastAsia="Arial" w:cs="Arial"/>
                <w:lang w:val="en-GB"/>
              </w:rPr>
              <w:t xml:space="preserve"> </w:t>
            </w:r>
            <w:r w:rsidRPr="00F713EE">
              <w:rPr>
                <w:rFonts w:eastAsia="Arial" w:cs="Arial"/>
                <w:lang w:val="en-GB"/>
              </w:rPr>
              <w:t>status from all ministries, departments and divisions, including ASP. Based on the collected</w:t>
            </w:r>
            <w:r>
              <w:rPr>
                <w:rFonts w:eastAsia="Arial" w:cs="Arial"/>
                <w:lang w:val="en-GB"/>
              </w:rPr>
              <w:t xml:space="preserve"> </w:t>
            </w:r>
            <w:r w:rsidRPr="00F713EE">
              <w:rPr>
                <w:rFonts w:eastAsia="Arial" w:cs="Arial"/>
                <w:lang w:val="en-GB"/>
              </w:rPr>
              <w:t>data, IMED analyses the program implementation and spending progress and provide</w:t>
            </w:r>
            <w:r>
              <w:rPr>
                <w:rFonts w:eastAsia="Arial" w:cs="Arial"/>
                <w:lang w:val="en-GB"/>
              </w:rPr>
              <w:t xml:space="preserve"> </w:t>
            </w:r>
            <w:r w:rsidRPr="00F713EE">
              <w:rPr>
                <w:rFonts w:eastAsia="Arial" w:cs="Arial"/>
                <w:lang w:val="en-GB"/>
              </w:rPr>
              <w:t>necessary feedback to concerned ministries,</w:t>
            </w:r>
            <w:r>
              <w:rPr>
                <w:rFonts w:eastAsia="Arial" w:cs="Arial"/>
                <w:lang w:val="en-GB"/>
              </w:rPr>
              <w:t xml:space="preserve"> </w:t>
            </w:r>
            <w:r w:rsidRPr="00F713EE">
              <w:rPr>
                <w:rFonts w:eastAsia="Arial" w:cs="Arial"/>
                <w:lang w:val="en-GB"/>
              </w:rPr>
              <w:t>departments and divisions</w:t>
            </w:r>
            <w:r>
              <w:rPr>
                <w:rFonts w:eastAsia="Arial" w:cs="Arial"/>
                <w:lang w:val="en-GB"/>
              </w:rPr>
              <w:t xml:space="preserve"> </w:t>
            </w:r>
            <w:r w:rsidRPr="00F713EE">
              <w:rPr>
                <w:rFonts w:eastAsia="Arial" w:cs="Arial"/>
                <w:lang w:val="en-GB"/>
              </w:rPr>
              <w:t>(http://www.imed.gov.bd). Besides this, Program Management and Monitoring Unit (PMMU),</w:t>
            </w:r>
            <w:r>
              <w:rPr>
                <w:rFonts w:eastAsia="Arial" w:cs="Arial"/>
                <w:lang w:val="en-GB"/>
              </w:rPr>
              <w:t xml:space="preserve"> </w:t>
            </w:r>
            <w:r w:rsidRPr="00F713EE">
              <w:rPr>
                <w:rFonts w:eastAsia="Arial" w:cs="Arial"/>
                <w:lang w:val="en-GB"/>
              </w:rPr>
              <w:t>under the Planning Wing of the MOHFW regularly monitors progress (Program and Financial).</w:t>
            </w:r>
            <w:r>
              <w:rPr>
                <w:rFonts w:eastAsia="Arial" w:cs="Arial"/>
                <w:lang w:val="en-GB"/>
              </w:rPr>
              <w:t xml:space="preserve"> </w:t>
            </w:r>
            <w:r w:rsidRPr="00F713EE">
              <w:rPr>
                <w:rFonts w:eastAsia="Arial" w:cs="Arial"/>
                <w:lang w:val="en-GB"/>
              </w:rPr>
              <w:t>Bi-annual and annual reports are also produced and disseminated.</w:t>
            </w:r>
            <w:r>
              <w:rPr>
                <w:rFonts w:eastAsia="Arial" w:cs="Arial"/>
                <w:lang w:val="en-GB"/>
              </w:rPr>
              <w:t xml:space="preserve"> </w:t>
            </w:r>
            <w:r w:rsidRPr="00F713EE">
              <w:rPr>
                <w:rFonts w:eastAsia="Arial" w:cs="Arial"/>
                <w:lang w:val="en-GB"/>
              </w:rPr>
              <w:t>Apart from the GoB mechanism, the country has two mechanisms for tracking the response</w:t>
            </w:r>
            <w:r>
              <w:rPr>
                <w:rFonts w:eastAsia="Arial" w:cs="Arial"/>
                <w:lang w:val="en-GB"/>
              </w:rPr>
              <w:t xml:space="preserve"> </w:t>
            </w:r>
            <w:r w:rsidRPr="00F713EE">
              <w:rPr>
                <w:rFonts w:eastAsia="Arial" w:cs="Arial"/>
                <w:lang w:val="en-GB"/>
              </w:rPr>
              <w:t>and health expenditure; the Global AIDS Response and Progress Report (GARPR) report is</w:t>
            </w:r>
            <w:r>
              <w:rPr>
                <w:rFonts w:eastAsia="Arial" w:cs="Arial"/>
                <w:lang w:val="en-GB"/>
              </w:rPr>
              <w:t xml:space="preserve"> </w:t>
            </w:r>
            <w:r w:rsidRPr="00F713EE">
              <w:rPr>
                <w:rFonts w:eastAsia="Arial" w:cs="Arial"/>
                <w:lang w:val="en-GB"/>
              </w:rPr>
              <w:t>produced annually and periodic National AIDS Spending Assessment (NASA) is produced</w:t>
            </w:r>
            <w:r>
              <w:rPr>
                <w:rFonts w:eastAsia="Arial" w:cs="Arial"/>
                <w:lang w:val="en-GB"/>
              </w:rPr>
              <w:t xml:space="preserve"> </w:t>
            </w:r>
            <w:r w:rsidRPr="00F713EE">
              <w:rPr>
                <w:rFonts w:eastAsia="Arial" w:cs="Arial"/>
                <w:lang w:val="en-GB"/>
              </w:rPr>
              <w:t>every two years</w:t>
            </w:r>
            <w:r>
              <w:rPr>
                <w:rFonts w:eastAsia="Arial" w:cs="Arial"/>
                <w:lang w:val="en-GB"/>
              </w:rPr>
              <w:t xml:space="preserve">. </w:t>
            </w:r>
          </w:p>
          <w:p w14:paraId="26725E03" w14:textId="275D541A" w:rsidR="5011C524" w:rsidRDefault="5011C524" w:rsidP="009B6C0D">
            <w:pPr>
              <w:spacing w:after="0"/>
              <w:rPr>
                <w:rFonts w:eastAsia="Arial" w:cs="Arial"/>
                <w:lang w:val="en-GB"/>
              </w:rPr>
            </w:pPr>
          </w:p>
        </w:tc>
      </w:tr>
    </w:tbl>
    <w:p w14:paraId="3B356966" w14:textId="0E89ED98" w:rsidR="00672B5C" w:rsidRPr="00BF55BF" w:rsidRDefault="00672B5C" w:rsidP="00BF55BF">
      <w:pPr>
        <w:spacing w:after="0" w:line="0" w:lineRule="auto"/>
      </w:pPr>
    </w:p>
    <w:p w14:paraId="5F32000B" w14:textId="77777777" w:rsidR="001B52C3" w:rsidRDefault="001B52C3">
      <w:pPr>
        <w:spacing w:after="160" w:line="0" w:lineRule="auto"/>
        <w:rPr>
          <w:rFonts w:eastAsiaTheme="majorEastAsia" w:cs="Arial"/>
          <w:b/>
          <w:bCs/>
          <w:noProof/>
        </w:rPr>
      </w:pPr>
      <w:r>
        <w:br w:type="page"/>
      </w:r>
    </w:p>
    <w:p w14:paraId="5EE78B8F" w14:textId="61D26322" w:rsidR="0098274C" w:rsidRPr="005305D5" w:rsidRDefault="0098274C" w:rsidP="00C57762">
      <w:pPr>
        <w:pStyle w:val="Heading2"/>
        <w:numPr>
          <w:ilvl w:val="1"/>
          <w:numId w:val="26"/>
        </w:numPr>
        <w:shd w:val="clear" w:color="auto" w:fill="D9D9D9" w:themeFill="background1" w:themeFillShade="D9"/>
        <w:spacing w:before="0" w:after="0" w:line="240" w:lineRule="auto"/>
        <w:contextualSpacing/>
      </w:pPr>
      <w:r w:rsidRPr="005305D5">
        <w:t>Sustainability and Transition</w:t>
      </w:r>
    </w:p>
    <w:p w14:paraId="7F1D36E4" w14:textId="129BB5E4" w:rsidR="00D06C7F" w:rsidRDefault="00D06C7F" w:rsidP="00D06C7F">
      <w:pPr>
        <w:spacing w:after="0" w:line="260" w:lineRule="atLeast"/>
      </w:pPr>
    </w:p>
    <w:p w14:paraId="71E0730C" w14:textId="264B563C" w:rsidR="0006089C" w:rsidRDefault="00C7401B" w:rsidP="00C57762">
      <w:pPr>
        <w:pStyle w:val="ListParagraph"/>
        <w:numPr>
          <w:ilvl w:val="0"/>
          <w:numId w:val="19"/>
        </w:numPr>
        <w:spacing w:after="0" w:line="260" w:lineRule="atLeast"/>
      </w:pPr>
      <w:bookmarkStart w:id="33" w:name="_Hlk15383591"/>
      <w:r>
        <w:t xml:space="preserve">Based on the analysis in the </w:t>
      </w:r>
      <w:r w:rsidRPr="00C7401B">
        <w:rPr>
          <w:b/>
        </w:rPr>
        <w:t>Funding Landscape T</w:t>
      </w:r>
      <w:r w:rsidR="00F70A6C" w:rsidRPr="00C7401B">
        <w:rPr>
          <w:b/>
        </w:rPr>
        <w:t>able(s)</w:t>
      </w:r>
      <w:r w:rsidR="00F70A6C" w:rsidRPr="00D474E6">
        <w:t xml:space="preserve">, </w:t>
      </w:r>
      <w:r w:rsidR="007543E4" w:rsidRPr="00D474E6">
        <w:t>describe the</w:t>
      </w:r>
      <w:r w:rsidR="00C21AC9" w:rsidRPr="00D474E6">
        <w:t xml:space="preserve"> funding need and </w:t>
      </w:r>
      <w:r w:rsidR="007543E4" w:rsidRPr="00D474E6">
        <w:t xml:space="preserve">anticipated </w:t>
      </w:r>
      <w:r w:rsidR="0098274C" w:rsidRPr="00D474E6">
        <w:t>funding</w:t>
      </w:r>
      <w:r w:rsidR="00C21AC9" w:rsidRPr="00D474E6">
        <w:t>,</w:t>
      </w:r>
      <w:r w:rsidR="0098274C" w:rsidRPr="00D474E6">
        <w:t xml:space="preserve"> </w:t>
      </w:r>
      <w:r w:rsidR="007543E4" w:rsidRPr="00D474E6">
        <w:t>highlighting</w:t>
      </w:r>
      <w:r w:rsidR="0098274C" w:rsidRPr="00D474E6">
        <w:t xml:space="preserve"> gaps for major program areas in the </w:t>
      </w:r>
      <w:r w:rsidR="00706746">
        <w:t>next</w:t>
      </w:r>
      <w:r w:rsidR="0098274C" w:rsidRPr="00D474E6">
        <w:t xml:space="preserve"> allocation period. </w:t>
      </w:r>
    </w:p>
    <w:p w14:paraId="6987D937" w14:textId="77777777" w:rsidR="0003674B" w:rsidRDefault="0003674B" w:rsidP="0003674B">
      <w:pPr>
        <w:pStyle w:val="ListParagraph"/>
        <w:spacing w:after="0" w:line="260" w:lineRule="atLeast"/>
        <w:ind w:left="360"/>
      </w:pPr>
    </w:p>
    <w:p w14:paraId="73E1E4C2" w14:textId="49AC11B5" w:rsidR="000C4145" w:rsidRPr="000C4145" w:rsidRDefault="0098274C" w:rsidP="009B6C0D">
      <w:pPr>
        <w:pStyle w:val="ListParagraph"/>
        <w:spacing w:after="0" w:line="260" w:lineRule="atLeast"/>
        <w:ind w:left="360"/>
      </w:pPr>
      <w:r w:rsidRPr="00D474E6">
        <w:t>Also</w:t>
      </w:r>
      <w:r w:rsidR="00F42618">
        <w:t>,</w:t>
      </w:r>
      <w:r w:rsidRPr="00D474E6">
        <w:t xml:space="preserve"> describe how</w:t>
      </w:r>
      <w:r w:rsidR="006D0956">
        <w:t xml:space="preserve"> </w:t>
      </w:r>
      <w:r w:rsidR="005147D1" w:rsidRPr="00187E3E">
        <w:t>(</w:t>
      </w:r>
      <w:r w:rsidR="007543E4" w:rsidRPr="00187E3E">
        <w:t xml:space="preserve">i) </w:t>
      </w:r>
      <w:r w:rsidRPr="00D474E6">
        <w:t xml:space="preserve">national authorities will work to secure additional funding or new sources of </w:t>
      </w:r>
      <w:r w:rsidR="00F42618">
        <w:t>funding,</w:t>
      </w:r>
      <w:r w:rsidR="00F42618" w:rsidRPr="00D474E6">
        <w:t xml:space="preserve"> </w:t>
      </w:r>
      <w:r w:rsidR="00556795" w:rsidRPr="00D474E6">
        <w:t>and</w:t>
      </w:r>
      <w:r w:rsidR="005147D1">
        <w:t>/or</w:t>
      </w:r>
      <w:r w:rsidR="00C21AC9" w:rsidRPr="00D474E6">
        <w:t xml:space="preserve"> </w:t>
      </w:r>
      <w:r w:rsidR="005147D1" w:rsidRPr="00187E3E">
        <w:t>(</w:t>
      </w:r>
      <w:r w:rsidR="007543E4" w:rsidRPr="00187E3E">
        <w:t>ii)</w:t>
      </w:r>
      <w:r w:rsidR="007543E4" w:rsidRPr="00D474E6">
        <w:t xml:space="preserve"> </w:t>
      </w:r>
      <w:r w:rsidR="00C21AC9" w:rsidRPr="00D474E6">
        <w:t>pursue efficiencies</w:t>
      </w:r>
      <w:r w:rsidRPr="00D474E6">
        <w:t xml:space="preserve"> to ensure sufficient support for key interventions, particularly those currently </w:t>
      </w:r>
      <w:r w:rsidR="006D0956">
        <w:t>funded</w:t>
      </w:r>
      <w:r w:rsidR="006D0956" w:rsidRPr="00D474E6">
        <w:t xml:space="preserve"> </w:t>
      </w:r>
      <w:r w:rsidRPr="00D474E6">
        <w:t>by</w:t>
      </w:r>
      <w:r w:rsidR="00C21AC9" w:rsidRPr="00D474E6">
        <w:t xml:space="preserve"> the Global Fund.</w:t>
      </w:r>
    </w:p>
    <w:p w14:paraId="15A831D5" w14:textId="39FB2CAB" w:rsidR="003122A9" w:rsidRPr="00D474E6" w:rsidRDefault="003122A9" w:rsidP="009B6C0D">
      <w:pPr>
        <w:pStyle w:val="ListParagraph"/>
        <w:spacing w:after="0" w:line="260" w:lineRule="atLeast"/>
        <w:ind w:left="360"/>
      </w:pPr>
    </w:p>
    <w:tbl>
      <w:tblPr>
        <w:tblStyle w:val="TableGrid"/>
        <w:tblW w:w="0" w:type="auto"/>
        <w:tblLook w:val="04A0" w:firstRow="1" w:lastRow="0" w:firstColumn="1" w:lastColumn="0" w:noHBand="0" w:noVBand="1"/>
      </w:tblPr>
      <w:tblGrid>
        <w:gridCol w:w="10456"/>
      </w:tblGrid>
      <w:tr w:rsidR="0098274C" w:rsidRPr="005305D5" w14:paraId="0315BC21" w14:textId="77777777" w:rsidTr="00D63E4B">
        <w:tc>
          <w:tcPr>
            <w:tcW w:w="10790" w:type="dxa"/>
          </w:tcPr>
          <w:p w14:paraId="3C11DCCA" w14:textId="7BA6C4D8" w:rsidR="0098274C" w:rsidRDefault="0098274C" w:rsidP="009B6C0D">
            <w:pPr>
              <w:spacing w:after="0"/>
            </w:pPr>
            <w:r w:rsidRPr="005305D5">
              <w:t>[Applicant response]</w:t>
            </w:r>
          </w:p>
          <w:p w14:paraId="47DA9BAA" w14:textId="77777777" w:rsidR="00307A74" w:rsidRDefault="00307A74" w:rsidP="009B6C0D">
            <w:pPr>
              <w:spacing w:after="0"/>
            </w:pPr>
          </w:p>
          <w:p w14:paraId="19D82916" w14:textId="2A11CFDE" w:rsidR="00CE7AFB" w:rsidRDefault="00CE7AFB" w:rsidP="00CF63DA">
            <w:pPr>
              <w:spacing w:after="0"/>
              <w:jc w:val="both"/>
            </w:pPr>
            <w:r>
              <w:t>Considering the updated NSP 2018-2023</w:t>
            </w:r>
            <w:r w:rsidR="00CF63DA">
              <w:t xml:space="preserve"> target to reach</w:t>
            </w:r>
            <w:r w:rsidR="00EF1B1C">
              <w:t xml:space="preserve"> [2, page 35]</w:t>
            </w:r>
            <w:r w:rsidR="00CF63DA">
              <w:t xml:space="preserve"> and to attain the targets of 2030</w:t>
            </w:r>
            <w:r>
              <w:t>, there is huge gap in funding for programme implementation. According to NSP</w:t>
            </w:r>
            <w:r w:rsidR="00CF63DA">
              <w:t xml:space="preserve"> and investment care 2019</w:t>
            </w:r>
            <w:r>
              <w:t xml:space="preserve">, it requires </w:t>
            </w:r>
            <w:r w:rsidRPr="00CE7AFB">
              <w:t>an average of USD 21.7 million a year to adopt the targets set in the NSP, new HIV infections could be</w:t>
            </w:r>
            <w:r w:rsidR="00CF63DA">
              <w:t xml:space="preserve"> then</w:t>
            </w:r>
            <w:r w:rsidRPr="00CE7AFB">
              <w:t xml:space="preserve"> reduced to 338 per year by 2030</w:t>
            </w:r>
            <w:r>
              <w:t xml:space="preserve"> to achieve 90-90-90 targets</w:t>
            </w:r>
            <w:r w:rsidR="00CF63DA">
              <w:t xml:space="preserve"> [15, page 45, </w:t>
            </w:r>
            <w:r w:rsidR="003436B1">
              <w:t xml:space="preserve">52, </w:t>
            </w:r>
            <w:r w:rsidR="00CF63DA">
              <w:t>table 15]</w:t>
            </w:r>
            <w:r>
              <w:t>. But, the funding landscape shows</w:t>
            </w:r>
            <w:r w:rsidR="00CF63DA">
              <w:t xml:space="preserve">, from 2021-2023, there is 340%, 370% and 420% funding deficit </w:t>
            </w:r>
            <w:r w:rsidR="00255849">
              <w:t xml:space="preserve">respectively in </w:t>
            </w:r>
            <w:r w:rsidR="00CF63DA">
              <w:t xml:space="preserve">each year.  Figure </w:t>
            </w:r>
            <w:r w:rsidR="00513B22">
              <w:t xml:space="preserve">9 </w:t>
            </w:r>
            <w:r w:rsidR="00CF63DA">
              <w:t xml:space="preserve">and figure </w:t>
            </w:r>
            <w:r w:rsidR="00513B22">
              <w:t>10</w:t>
            </w:r>
            <w:r w:rsidR="00CF63DA">
              <w:t xml:space="preserve"> shows the funding gap without funding request and </w:t>
            </w:r>
            <w:r w:rsidR="00344AF7">
              <w:t xml:space="preserve">with </w:t>
            </w:r>
            <w:r w:rsidR="00CF63DA">
              <w:t xml:space="preserve">funding request below. </w:t>
            </w:r>
          </w:p>
          <w:p w14:paraId="301DF7D2" w14:textId="5CCED9E2" w:rsidR="00344AF7" w:rsidRDefault="00344AF7" w:rsidP="00CF63DA">
            <w:pPr>
              <w:spacing w:after="0"/>
              <w:jc w:val="both"/>
            </w:pPr>
          </w:p>
          <w:p w14:paraId="645C8775" w14:textId="068988C0" w:rsidR="00CF63DA" w:rsidRPr="005305D5" w:rsidRDefault="00344AF7" w:rsidP="00CF63DA">
            <w:pPr>
              <w:spacing w:after="0"/>
              <w:jc w:val="both"/>
            </w:pPr>
            <w:r>
              <w:rPr>
                <w:noProof/>
              </w:rPr>
              <w:drawing>
                <wp:anchor distT="0" distB="0" distL="114300" distR="114300" simplePos="0" relativeHeight="251692032" behindDoc="0" locked="0" layoutInCell="1" allowOverlap="1" wp14:anchorId="6EEE70F8" wp14:editId="425C476B">
                  <wp:simplePos x="0" y="0"/>
                  <wp:positionH relativeFrom="margin">
                    <wp:posOffset>3199130</wp:posOffset>
                  </wp:positionH>
                  <wp:positionV relativeFrom="margin">
                    <wp:posOffset>1489075</wp:posOffset>
                  </wp:positionV>
                  <wp:extent cx="3129280" cy="2362835"/>
                  <wp:effectExtent l="0" t="0" r="13970" b="18415"/>
                  <wp:wrapSquare wrapText="bothSides"/>
                  <wp:docPr id="2" name="Chart 2">
                    <a:extLst xmlns:a="http://schemas.openxmlformats.org/drawingml/2006/main">
                      <a:ext uri="{FF2B5EF4-FFF2-40B4-BE49-F238E27FC236}">
                        <a16:creationId xmlns:a16="http://schemas.microsoft.com/office/drawing/2014/main" id="{4FAE6879-BFC1-4B45-A36F-215200DB0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EF42DA" w:rsidRPr="0065507A">
              <w:rPr>
                <w:rFonts w:ascii="Calibri" w:eastAsia="Times New Roman" w:hAnsi="Calibri" w:cs="Calibri"/>
                <w:noProof/>
                <w:color w:val="000000"/>
                <w:lang w:bidi="bn-BD"/>
              </w:rPr>
              <w:drawing>
                <wp:inline distT="0" distB="0" distL="0" distR="0" wp14:anchorId="0BE011F7" wp14:editId="4A2D31BA">
                  <wp:extent cx="2994338" cy="2401910"/>
                  <wp:effectExtent l="0" t="0" r="15875" b="17780"/>
                  <wp:docPr id="22" name="Chart 22">
                    <a:extLst xmlns:a="http://schemas.openxmlformats.org/drawingml/2006/main">
                      <a:ext uri="{FF2B5EF4-FFF2-40B4-BE49-F238E27FC236}">
                        <a16:creationId xmlns:a16="http://schemas.microsoft.com/office/drawing/2014/main" id="{E3C85BC5-1D1D-4474-8D93-237F3F7619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4500408" w14:textId="294E2671" w:rsidR="0098274C" w:rsidRDefault="0098274C" w:rsidP="00CF63DA">
            <w:pPr>
              <w:spacing w:after="0"/>
              <w:jc w:val="both"/>
            </w:pPr>
          </w:p>
          <w:p w14:paraId="2B83B03E" w14:textId="4D0F578D" w:rsidR="0098274C" w:rsidRDefault="00EF1B1C" w:rsidP="00977BE6">
            <w:pPr>
              <w:spacing w:after="0"/>
              <w:jc w:val="both"/>
            </w:pPr>
            <w:r>
              <w:t>The gaps of funding primarily in</w:t>
            </w:r>
            <w:r w:rsidR="00E75730">
              <w:t xml:space="preserve"> HIV</w:t>
            </w:r>
            <w:r>
              <w:t xml:space="preserve"> prevention areas which needs US $ 14.8 per year to reach the coverage of </w:t>
            </w:r>
            <w:r w:rsidR="00E75730">
              <w:t>KPs based on national size estimate</w:t>
            </w:r>
            <w:r>
              <w:t xml:space="preserve">. </w:t>
            </w:r>
            <w:r w:rsidR="00E75730">
              <w:t xml:space="preserve">There are additional US $ </w:t>
            </w:r>
            <w:r w:rsidR="00E75730" w:rsidRPr="00E75730">
              <w:t>2</w:t>
            </w:r>
            <w:r w:rsidR="00E75730">
              <w:t>,</w:t>
            </w:r>
            <w:r w:rsidR="00E75730" w:rsidRPr="00E75730">
              <w:t>847</w:t>
            </w:r>
            <w:r w:rsidR="00E75730">
              <w:t>,</w:t>
            </w:r>
            <w:r w:rsidR="00E75730" w:rsidRPr="00E75730">
              <w:t>630</w:t>
            </w:r>
            <w:r w:rsidR="00E75730">
              <w:t xml:space="preserve"> available </w:t>
            </w:r>
            <w:r w:rsidR="00410349">
              <w:t xml:space="preserve">from </w:t>
            </w:r>
            <w:r w:rsidR="00E75730">
              <w:t>other external sources (UNICEF, UNFPA and I</w:t>
            </w:r>
            <w:r w:rsidR="001B1C31">
              <w:t>OM</w:t>
            </w:r>
            <w:r w:rsidR="00E75730">
              <w:t xml:space="preserve">) than GF from 2021-2023 but the gaps remain significant. </w:t>
            </w:r>
            <w:r w:rsidR="00410349">
              <w:t>ASP will mobilize some resources from o</w:t>
            </w:r>
            <w:r w:rsidR="001B1C31">
              <w:t xml:space="preserve">thers ministries. </w:t>
            </w:r>
            <w:r w:rsidR="0067287B">
              <w:t>However, it</w:t>
            </w:r>
            <w:r w:rsidR="00E75730">
              <w:t xml:space="preserve"> has planned to consolidate </w:t>
            </w:r>
            <w:r w:rsidR="00546089">
              <w:t>government funding and to maximize utilization of existing resources</w:t>
            </w:r>
            <w:r w:rsidR="00612221">
              <w:t xml:space="preserve"> efficiently</w:t>
            </w:r>
            <w:r w:rsidR="00546089">
              <w:t>. ASP has</w:t>
            </w:r>
            <w:r w:rsidR="00977BE6">
              <w:t xml:space="preserve"> planned to strengthen efficiency of government money and </w:t>
            </w:r>
            <w:r w:rsidR="00B533CE">
              <w:t xml:space="preserve">to safeguard </w:t>
            </w:r>
            <w:r w:rsidR="00977BE6">
              <w:t>VfM</w:t>
            </w:r>
            <w:r w:rsidR="0067287B">
              <w:t xml:space="preserve"> by collaborating district level facilities, national research institutes and national HMIS. </w:t>
            </w:r>
          </w:p>
          <w:p w14:paraId="5CB767CB" w14:textId="549677ED" w:rsidR="00977BE6" w:rsidRPr="005305D5" w:rsidRDefault="00977BE6" w:rsidP="00977BE6">
            <w:pPr>
              <w:spacing w:after="0"/>
              <w:jc w:val="both"/>
            </w:pPr>
          </w:p>
        </w:tc>
      </w:tr>
    </w:tbl>
    <w:p w14:paraId="70FA9743" w14:textId="43BA2FD2" w:rsidR="00B46BEF" w:rsidRPr="005305D5" w:rsidRDefault="00B46BEF" w:rsidP="009B6C0D">
      <w:pPr>
        <w:spacing w:after="0"/>
      </w:pPr>
    </w:p>
    <w:p w14:paraId="2A333638" w14:textId="223220E9" w:rsidR="00EA6611" w:rsidRPr="00D474E6" w:rsidRDefault="0098274C" w:rsidP="00C57762">
      <w:pPr>
        <w:pStyle w:val="ListParagraph"/>
        <w:numPr>
          <w:ilvl w:val="0"/>
          <w:numId w:val="19"/>
        </w:numPr>
        <w:spacing w:after="0" w:line="260" w:lineRule="atLeast"/>
        <w:jc w:val="both"/>
      </w:pPr>
      <w:bookmarkStart w:id="34" w:name="_Hlk13735435"/>
      <w:r w:rsidRPr="00D474E6">
        <w:t>Highlight challenges related to sustainability</w:t>
      </w:r>
      <w:r w:rsidR="001C4A0C" w:rsidRPr="00D474E6">
        <w:t xml:space="preserve"> (see indicative list in </w:t>
      </w:r>
      <w:r w:rsidR="001C4A0C" w:rsidRPr="00D474E6">
        <w:rPr>
          <w:i/>
        </w:rPr>
        <w:t>Instructions</w:t>
      </w:r>
      <w:r w:rsidR="001C4A0C" w:rsidRPr="00D474E6">
        <w:t>). Explain how these challenges will be address</w:t>
      </w:r>
      <w:r w:rsidR="00341B45">
        <w:t>ed</w:t>
      </w:r>
      <w:r w:rsidR="001C4A0C" w:rsidRPr="00D474E6">
        <w:t xml:space="preserve"> either through this funding request or other </w:t>
      </w:r>
      <w:r w:rsidR="00FF57CD">
        <w:t>means</w:t>
      </w:r>
      <w:r w:rsidR="001C4A0C" w:rsidRPr="00D474E6">
        <w:t>.</w:t>
      </w:r>
      <w:r w:rsidR="001C4A0C" w:rsidRPr="00D474E6" w:rsidDel="001C4A0C">
        <w:t xml:space="preserve"> </w:t>
      </w:r>
      <w:r w:rsidR="008C3DFE" w:rsidRPr="00D474E6">
        <w:t>If already described in the national strategy, sustainability and/or transition plan, and/or other documentation submitted with the funding request, refer to relevant sections</w:t>
      </w:r>
      <w:r w:rsidR="00341B45">
        <w:t xml:space="preserve"> of those documents</w:t>
      </w:r>
      <w:r w:rsidR="008C3DFE" w:rsidRPr="00D474E6">
        <w:t>.</w:t>
      </w:r>
      <w:r w:rsidR="007543E4" w:rsidRPr="00D474E6">
        <w:t xml:space="preserve"> </w:t>
      </w:r>
    </w:p>
    <w:p w14:paraId="78CBEE63" w14:textId="77777777" w:rsidR="001C4A0C" w:rsidRPr="00D209BE" w:rsidRDefault="001C4A0C" w:rsidP="009B6C0D">
      <w:pPr>
        <w:pStyle w:val="ListParagraph"/>
        <w:spacing w:after="0" w:line="260" w:lineRule="atLeast"/>
        <w:ind w:left="360"/>
        <w:jc w:val="both"/>
        <w:rPr>
          <w:highlight w:val="yellow"/>
        </w:rPr>
      </w:pPr>
    </w:p>
    <w:tbl>
      <w:tblPr>
        <w:tblStyle w:val="TableGrid"/>
        <w:tblW w:w="0" w:type="auto"/>
        <w:tblLook w:val="04A0" w:firstRow="1" w:lastRow="0" w:firstColumn="1" w:lastColumn="0" w:noHBand="0" w:noVBand="1"/>
      </w:tblPr>
      <w:tblGrid>
        <w:gridCol w:w="10456"/>
      </w:tblGrid>
      <w:tr w:rsidR="00EA6611" w:rsidRPr="005305D5" w14:paraId="34920C4D" w14:textId="77777777" w:rsidTr="11463A1D">
        <w:tc>
          <w:tcPr>
            <w:tcW w:w="10790" w:type="dxa"/>
          </w:tcPr>
          <w:bookmarkEnd w:id="34"/>
          <w:p w14:paraId="4741D1A5" w14:textId="0B2B76FB" w:rsidR="00410349" w:rsidRDefault="00EA6611" w:rsidP="00410349">
            <w:pPr>
              <w:spacing w:after="0"/>
            </w:pPr>
            <w:r w:rsidRPr="005305D5">
              <w:t>[Applicant response]</w:t>
            </w:r>
          </w:p>
          <w:p w14:paraId="1D802F30" w14:textId="77777777" w:rsidR="00871EB7" w:rsidRDefault="00871EB7" w:rsidP="00410349">
            <w:pPr>
              <w:spacing w:after="0"/>
            </w:pPr>
          </w:p>
          <w:p w14:paraId="3584E267" w14:textId="04DCABA0" w:rsidR="00384F2A" w:rsidRDefault="00CB751C" w:rsidP="00384F2A">
            <w:pPr>
              <w:spacing w:after="0"/>
              <w:jc w:val="both"/>
            </w:pPr>
            <w:r w:rsidRPr="00CB751C">
              <w:t>Considering the vulnerability and epidemiological context of HIV, interventions are directed toward KPs. The CBOs and community people would play visible roles. Furthermore, service delivery models are designed to increase the uptake of services effectively.</w:t>
            </w:r>
            <w:r w:rsidR="00410349">
              <w:t xml:space="preserve"> </w:t>
            </w:r>
            <w:r w:rsidR="00216474">
              <w:t xml:space="preserve">The challenges for HIV programme </w:t>
            </w:r>
            <w:r w:rsidR="00662DAA">
              <w:t>are</w:t>
            </w:r>
            <w:r w:rsidR="00216474" w:rsidRPr="00216474">
              <w:t xml:space="preserve"> </w:t>
            </w:r>
            <w:r w:rsidR="00662DAA">
              <w:t>compound both</w:t>
            </w:r>
            <w:r w:rsidR="00216474">
              <w:t xml:space="preserve"> </w:t>
            </w:r>
            <w:r w:rsidR="00662DAA">
              <w:t xml:space="preserve">in financial and programmatic management. Considering low prevalence of HIV &lt;0.1% among general population causes stumble of external resources and causes less attention from </w:t>
            </w:r>
            <w:r w:rsidR="0097604A">
              <w:t xml:space="preserve">in country </w:t>
            </w:r>
            <w:r w:rsidR="00662DAA">
              <w:t xml:space="preserve">policy makers. On the other hand, continued rise of infection among KPs need additional resources other than GF. </w:t>
            </w:r>
            <w:r w:rsidR="006B2AF6">
              <w:t>Regrettably, lack of m</w:t>
            </w:r>
            <w:r w:rsidR="006E0E32">
              <w:t>obiliz</w:t>
            </w:r>
            <w:r w:rsidR="0097604A">
              <w:t>ing</w:t>
            </w:r>
            <w:r w:rsidR="006E0E32">
              <w:t xml:space="preserve"> domestic resources to scale prevention efforts </w:t>
            </w:r>
            <w:r w:rsidR="006B2AF6">
              <w:t xml:space="preserve">affects both financial and programmatic sustainability. </w:t>
            </w:r>
            <w:r w:rsidR="00384F2A">
              <w:t xml:space="preserve">In Bangladesh, public expenditure of total budget in the health sector is too low. In FY 2018-2019, public health expenditure is only 5% of the total budget, which is the foremost challenges for sustainability of HIV financing. </w:t>
            </w:r>
            <w:r w:rsidR="00410349">
              <w:t>However, s</w:t>
            </w:r>
            <w:r w:rsidR="00410349" w:rsidRPr="00410349">
              <w:t>ustainability has considered through modular approach of interventions as a parallel approach of integration through peers at community level and through referral and linkage at public facilities. To strengthen the services for the KPs in the government health systems, regular meetings, seminars and in-person communications will be maintained. ASP would play the key-roles to ensure sustainability. The government is well-aware of the activities and the target groups and their needs; which will facilitate the sustainability of the program. Moreover, several activities are operated through government revenue budget such as treatment of PLHIV, skills development training for transgender, the inclusion of HIV related issues in the secondary school book and operating HMIS through government web portal and extend social safety net programme for KPs.</w:t>
            </w:r>
          </w:p>
          <w:p w14:paraId="1B58B12F" w14:textId="1BF0A3D2" w:rsidR="00EA6611" w:rsidRPr="005305D5" w:rsidRDefault="00384F2A" w:rsidP="008638F2">
            <w:pPr>
              <w:spacing w:after="0"/>
              <w:jc w:val="both"/>
            </w:pPr>
            <w:r>
              <w:t xml:space="preserve">  </w:t>
            </w:r>
          </w:p>
        </w:tc>
      </w:tr>
    </w:tbl>
    <w:p w14:paraId="52F9156B" w14:textId="77777777" w:rsidR="00EA6611" w:rsidRDefault="00EA6611" w:rsidP="009B6C0D">
      <w:pPr>
        <w:pStyle w:val="ListParagraph"/>
        <w:spacing w:after="0" w:line="260" w:lineRule="atLeast"/>
        <w:ind w:left="360"/>
      </w:pPr>
    </w:p>
    <w:bookmarkEnd w:id="33"/>
    <w:p w14:paraId="37864027" w14:textId="77777777" w:rsidR="0098274C" w:rsidRPr="005305D5" w:rsidRDefault="0098274C" w:rsidP="009B6C0D">
      <w:pPr>
        <w:spacing w:after="0"/>
      </w:pPr>
    </w:p>
    <w:p w14:paraId="3457DBE7" w14:textId="77777777" w:rsidR="0098274C" w:rsidRPr="005305D5" w:rsidRDefault="0098274C" w:rsidP="009B6C0D">
      <w:pPr>
        <w:spacing w:after="0"/>
      </w:pPr>
    </w:p>
    <w:p w14:paraId="0F36C6C4" w14:textId="77777777" w:rsidR="00A57DEB" w:rsidRDefault="00A57DEB" w:rsidP="009B6C0D">
      <w:pPr>
        <w:spacing w:after="0" w:line="0" w:lineRule="auto"/>
        <w:rPr>
          <w:rFonts w:eastAsiaTheme="majorEastAsia" w:cs="Arial"/>
          <w:b/>
          <w:bCs/>
          <w:noProof/>
          <w:sz w:val="30"/>
          <w:szCs w:val="30"/>
          <w:lang w:val="fr-CH"/>
        </w:rPr>
      </w:pPr>
      <w:bookmarkStart w:id="35" w:name="_Toc7081140"/>
      <w:bookmarkStart w:id="36" w:name="_Toc7081815"/>
      <w:bookmarkStart w:id="37" w:name="_Toc7082344"/>
      <w:bookmarkEnd w:id="35"/>
      <w:bookmarkEnd w:id="36"/>
      <w:bookmarkEnd w:id="37"/>
      <w:r>
        <w:rPr>
          <w:lang w:val="fr-CH"/>
        </w:rPr>
        <w:br w:type="page"/>
      </w:r>
    </w:p>
    <w:p w14:paraId="62E704B2" w14:textId="52688803" w:rsidR="0098274C" w:rsidRPr="005B20FC" w:rsidRDefault="0098274C" w:rsidP="009B6C0D">
      <w:pPr>
        <w:pStyle w:val="Heading1"/>
        <w:numPr>
          <w:ilvl w:val="0"/>
          <w:numId w:val="0"/>
        </w:numPr>
        <w:spacing w:before="0"/>
        <w:ind w:left="567" w:hanging="567"/>
        <w:rPr>
          <w:lang w:val="fr-CH"/>
        </w:rPr>
      </w:pPr>
      <w:r w:rsidRPr="005B20FC">
        <w:rPr>
          <w:lang w:val="fr-CH"/>
        </w:rPr>
        <w:t>Annex 1: Documents Checklist</w:t>
      </w:r>
    </w:p>
    <w:p w14:paraId="53AC19D2" w14:textId="77777777" w:rsidR="0098274C" w:rsidRPr="005305D5" w:rsidRDefault="0098274C" w:rsidP="009B6C0D">
      <w:pPr>
        <w:pStyle w:val="ListParagraph"/>
        <w:spacing w:after="0"/>
        <w:rPr>
          <w:lang w:val="fr-CH"/>
        </w:rPr>
      </w:pPr>
    </w:p>
    <w:p w14:paraId="4E447368" w14:textId="36D0B1E4" w:rsidR="00025B85" w:rsidRDefault="00531873" w:rsidP="009B6C0D">
      <w:pPr>
        <w:spacing w:after="0"/>
      </w:pPr>
      <w:r>
        <w:t>U</w:t>
      </w:r>
      <w:r w:rsidR="0098274C" w:rsidRPr="005305D5">
        <w:t>se the list below to verify the completeness of your application package</w:t>
      </w:r>
      <w:r w:rsidR="00025B85">
        <w:t>.</w:t>
      </w:r>
    </w:p>
    <w:p w14:paraId="7F4539E9" w14:textId="77777777" w:rsidR="00D06C7F" w:rsidRPr="005305D5" w:rsidRDefault="00D06C7F" w:rsidP="009B6C0D">
      <w:pPr>
        <w:spacing w:after="0"/>
      </w:pPr>
    </w:p>
    <w:tbl>
      <w:tblPr>
        <w:tblStyle w:val="TableGrid20"/>
        <w:tblW w:w="9209" w:type="dxa"/>
        <w:tblInd w:w="6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7"/>
        <w:gridCol w:w="8642"/>
      </w:tblGrid>
      <w:tr w:rsidR="00226B41" w:rsidRPr="00226B41" w14:paraId="13D7A687" w14:textId="77777777" w:rsidTr="00226B41">
        <w:trPr>
          <w:trHeight w:val="567"/>
        </w:trPr>
        <w:tc>
          <w:tcPr>
            <w:tcW w:w="567" w:type="dxa"/>
            <w:shd w:val="clear" w:color="auto" w:fill="auto"/>
            <w:vAlign w:val="center"/>
          </w:tcPr>
          <w:bookmarkStart w:id="38" w:name="_Hlk15285391"/>
          <w:p w14:paraId="38BED4E4" w14:textId="268F9FB3" w:rsidR="00226B41"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180662496"/>
                <w14:checkbox>
                  <w14:checked w14:val="1"/>
                  <w14:checkedState w14:val="2612" w14:font="MS Gothic"/>
                  <w14:uncheckedState w14:val="2610" w14:font="MS Gothic"/>
                </w14:checkbox>
              </w:sdtPr>
              <w:sdtEndPr/>
              <w:sdtContent>
                <w:r w:rsidR="00421F72">
                  <w:rPr>
                    <w:rFonts w:ascii="MS Gothic" w:eastAsia="MS Gothic" w:hAnsi="MS Gothic" w:cstheme="majorHAnsi" w:hint="eastAsia"/>
                    <w:b/>
                  </w:rPr>
                  <w:t>☒</w:t>
                </w:r>
              </w:sdtContent>
            </w:sdt>
          </w:p>
        </w:tc>
        <w:tc>
          <w:tcPr>
            <w:tcW w:w="8642" w:type="dxa"/>
            <w:vAlign w:val="center"/>
          </w:tcPr>
          <w:p w14:paraId="0BFA13D6" w14:textId="77777777" w:rsidR="00226B41" w:rsidRPr="00226B41" w:rsidRDefault="00226B41" w:rsidP="009B6C0D">
            <w:pPr>
              <w:spacing w:after="0"/>
              <w:ind w:left="239" w:hanging="90"/>
              <w:rPr>
                <w:rFonts w:asciiTheme="majorHAnsi" w:hAnsiTheme="majorHAnsi" w:cstheme="majorHAnsi"/>
                <w:bCs/>
              </w:rPr>
            </w:pPr>
            <w:r w:rsidRPr="00226B41">
              <w:rPr>
                <w:rFonts w:asciiTheme="majorHAnsi" w:hAnsiTheme="majorHAnsi" w:cstheme="majorHAnsi"/>
                <w:bCs/>
              </w:rPr>
              <w:t>Funding Request Form</w:t>
            </w:r>
          </w:p>
        </w:tc>
      </w:tr>
      <w:tr w:rsidR="00226B41" w:rsidRPr="00226B41" w14:paraId="4F6F8948" w14:textId="77777777" w:rsidTr="00226B41">
        <w:trPr>
          <w:trHeight w:val="567"/>
        </w:trPr>
        <w:tc>
          <w:tcPr>
            <w:tcW w:w="567" w:type="dxa"/>
            <w:shd w:val="clear" w:color="auto" w:fill="auto"/>
            <w:vAlign w:val="center"/>
          </w:tcPr>
          <w:p w14:paraId="531C3BD8" w14:textId="4046B9E7" w:rsidR="00226B41"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797372883"/>
                <w14:checkbox>
                  <w14:checked w14:val="0"/>
                  <w14:checkedState w14:val="2612" w14:font="MS Gothic"/>
                  <w14:uncheckedState w14:val="2610" w14:font="MS Gothic"/>
                </w14:checkbox>
              </w:sdtPr>
              <w:sdtEndPr/>
              <w:sdtContent>
                <w:r w:rsidR="00421F72">
                  <w:rPr>
                    <w:rFonts w:ascii="MS Gothic" w:eastAsia="MS Gothic" w:hAnsi="MS Gothic" w:cstheme="majorHAnsi" w:hint="eastAsia"/>
                    <w:b/>
                  </w:rPr>
                  <w:t>☐</w:t>
                </w:r>
              </w:sdtContent>
            </w:sdt>
          </w:p>
        </w:tc>
        <w:tc>
          <w:tcPr>
            <w:tcW w:w="8642" w:type="dxa"/>
            <w:vAlign w:val="center"/>
          </w:tcPr>
          <w:p w14:paraId="7D30AD26" w14:textId="77777777" w:rsidR="00226B41" w:rsidRPr="00226B41" w:rsidRDefault="00226B41" w:rsidP="009B6C0D">
            <w:pPr>
              <w:spacing w:after="0"/>
              <w:ind w:left="239" w:hanging="90"/>
              <w:rPr>
                <w:rFonts w:asciiTheme="majorHAnsi" w:hAnsiTheme="majorHAnsi" w:cstheme="majorHAnsi"/>
                <w:bCs/>
              </w:rPr>
            </w:pPr>
            <w:r w:rsidRPr="00226B41">
              <w:rPr>
                <w:rFonts w:asciiTheme="majorHAnsi" w:eastAsia="SimSun" w:hAnsiTheme="majorHAnsi" w:cstheme="majorHAnsi"/>
                <w:bCs/>
                <w:lang w:eastAsia="zh-CN"/>
              </w:rPr>
              <w:t xml:space="preserve">Programmatic Gap Table(s) </w:t>
            </w:r>
          </w:p>
        </w:tc>
      </w:tr>
      <w:tr w:rsidR="00226B41" w:rsidRPr="00226B41" w14:paraId="66BF4DF9" w14:textId="77777777" w:rsidTr="00226B41">
        <w:trPr>
          <w:trHeight w:val="567"/>
        </w:trPr>
        <w:tc>
          <w:tcPr>
            <w:tcW w:w="567" w:type="dxa"/>
            <w:shd w:val="clear" w:color="auto" w:fill="auto"/>
            <w:vAlign w:val="center"/>
          </w:tcPr>
          <w:p w14:paraId="04F28060" w14:textId="6FFE418F" w:rsidR="00226B41"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1788846860"/>
                <w14:checkbox>
                  <w14:checked w14:val="0"/>
                  <w14:checkedState w14:val="2612" w14:font="MS Gothic"/>
                  <w14:uncheckedState w14:val="2610" w14:font="MS Gothic"/>
                </w14:checkbox>
              </w:sdtPr>
              <w:sdtEndPr/>
              <w:sdtContent>
                <w:r w:rsidR="00B20C4E">
                  <w:rPr>
                    <w:rFonts w:ascii="MS Gothic" w:eastAsia="MS Gothic" w:hAnsi="MS Gothic" w:cstheme="majorHAnsi" w:hint="eastAsia"/>
                    <w:b/>
                  </w:rPr>
                  <w:t>☐</w:t>
                </w:r>
              </w:sdtContent>
            </w:sdt>
          </w:p>
        </w:tc>
        <w:tc>
          <w:tcPr>
            <w:tcW w:w="8642" w:type="dxa"/>
            <w:vAlign w:val="center"/>
          </w:tcPr>
          <w:p w14:paraId="6633A7F5" w14:textId="77777777" w:rsidR="00226B41" w:rsidRPr="00226B41" w:rsidRDefault="00226B41" w:rsidP="009B6C0D">
            <w:pPr>
              <w:spacing w:after="0"/>
              <w:ind w:left="239" w:hanging="90"/>
              <w:rPr>
                <w:rFonts w:asciiTheme="majorHAnsi" w:eastAsia="SimSun" w:hAnsiTheme="majorHAnsi" w:cstheme="majorHAnsi"/>
                <w:bCs/>
                <w:lang w:eastAsia="zh-CN"/>
              </w:rPr>
            </w:pPr>
            <w:r w:rsidRPr="00226B41">
              <w:rPr>
                <w:rFonts w:asciiTheme="majorHAnsi" w:hAnsiTheme="majorHAnsi" w:cstheme="majorHAnsi"/>
                <w:bCs/>
              </w:rPr>
              <w:t xml:space="preserve">Funding Landscape Table(s) </w:t>
            </w:r>
          </w:p>
        </w:tc>
      </w:tr>
      <w:tr w:rsidR="00226B41" w:rsidRPr="00226B41" w14:paraId="4FD5F7E3" w14:textId="77777777" w:rsidTr="00226B41">
        <w:trPr>
          <w:trHeight w:val="567"/>
        </w:trPr>
        <w:tc>
          <w:tcPr>
            <w:tcW w:w="567" w:type="dxa"/>
            <w:shd w:val="clear" w:color="auto" w:fill="auto"/>
            <w:vAlign w:val="center"/>
          </w:tcPr>
          <w:p w14:paraId="541F3FD8" w14:textId="6419BCA7" w:rsidR="00226B41"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189352396"/>
                <w14:checkbox>
                  <w14:checked w14:val="0"/>
                  <w14:checkedState w14:val="2612" w14:font="MS Gothic"/>
                  <w14:uncheckedState w14:val="2610" w14:font="MS Gothic"/>
                </w14:checkbox>
              </w:sdtPr>
              <w:sdtEndPr/>
              <w:sdtContent>
                <w:r w:rsidR="00B20C4E">
                  <w:rPr>
                    <w:rFonts w:ascii="MS Gothic" w:eastAsia="MS Gothic" w:hAnsi="MS Gothic" w:cstheme="majorHAnsi" w:hint="eastAsia"/>
                    <w:b/>
                  </w:rPr>
                  <w:t>☐</w:t>
                </w:r>
              </w:sdtContent>
            </w:sdt>
          </w:p>
        </w:tc>
        <w:tc>
          <w:tcPr>
            <w:tcW w:w="8642" w:type="dxa"/>
            <w:vAlign w:val="center"/>
          </w:tcPr>
          <w:p w14:paraId="4DE11B02" w14:textId="77777777" w:rsidR="00226B41" w:rsidRPr="00226B41" w:rsidRDefault="00226B41" w:rsidP="009B6C0D">
            <w:pPr>
              <w:spacing w:after="0"/>
              <w:ind w:left="239" w:hanging="90"/>
              <w:rPr>
                <w:rFonts w:asciiTheme="majorHAnsi" w:hAnsiTheme="majorHAnsi" w:cstheme="majorHAnsi"/>
                <w:bCs/>
              </w:rPr>
            </w:pPr>
            <w:r w:rsidRPr="00226B41">
              <w:rPr>
                <w:rFonts w:asciiTheme="majorHAnsi" w:hAnsiTheme="majorHAnsi" w:cstheme="majorHAnsi"/>
                <w:bCs/>
              </w:rPr>
              <w:t>Performance Framework</w:t>
            </w:r>
          </w:p>
        </w:tc>
      </w:tr>
      <w:tr w:rsidR="00226B41" w:rsidRPr="00226B41" w14:paraId="25F505B8" w14:textId="77777777" w:rsidTr="00226B41">
        <w:trPr>
          <w:trHeight w:val="567"/>
        </w:trPr>
        <w:tc>
          <w:tcPr>
            <w:tcW w:w="567" w:type="dxa"/>
            <w:shd w:val="clear" w:color="auto" w:fill="auto"/>
            <w:vAlign w:val="center"/>
          </w:tcPr>
          <w:p w14:paraId="5E93A956" w14:textId="08EA6F37" w:rsidR="00226B41"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595447511"/>
                <w14:checkbox>
                  <w14:checked w14:val="0"/>
                  <w14:checkedState w14:val="2612" w14:font="MS Gothic"/>
                  <w14:uncheckedState w14:val="2610" w14:font="MS Gothic"/>
                </w14:checkbox>
              </w:sdtPr>
              <w:sdtEndPr/>
              <w:sdtContent>
                <w:r w:rsidR="00B20C4E">
                  <w:rPr>
                    <w:rFonts w:ascii="MS Gothic" w:eastAsia="MS Gothic" w:hAnsi="MS Gothic" w:cstheme="majorHAnsi" w:hint="eastAsia"/>
                    <w:b/>
                  </w:rPr>
                  <w:t>☐</w:t>
                </w:r>
              </w:sdtContent>
            </w:sdt>
          </w:p>
        </w:tc>
        <w:tc>
          <w:tcPr>
            <w:tcW w:w="8642" w:type="dxa"/>
            <w:vAlign w:val="center"/>
          </w:tcPr>
          <w:p w14:paraId="61D43B55" w14:textId="77777777" w:rsidR="00226B41" w:rsidRPr="00226B41" w:rsidRDefault="00226B41" w:rsidP="009B6C0D">
            <w:pPr>
              <w:spacing w:after="0"/>
              <w:ind w:left="239" w:hanging="90"/>
              <w:rPr>
                <w:rFonts w:asciiTheme="majorHAnsi" w:hAnsiTheme="majorHAnsi" w:cstheme="majorHAnsi"/>
                <w:bCs/>
              </w:rPr>
            </w:pPr>
            <w:r w:rsidRPr="00226B41">
              <w:rPr>
                <w:rFonts w:asciiTheme="majorHAnsi" w:hAnsiTheme="majorHAnsi" w:cstheme="majorHAnsi"/>
                <w:bCs/>
              </w:rPr>
              <w:t>Budget</w:t>
            </w:r>
          </w:p>
        </w:tc>
      </w:tr>
      <w:tr w:rsidR="00226B41" w:rsidRPr="00226B41" w14:paraId="57161831" w14:textId="77777777" w:rsidTr="00226B41">
        <w:trPr>
          <w:trHeight w:val="567"/>
        </w:trPr>
        <w:tc>
          <w:tcPr>
            <w:tcW w:w="567" w:type="dxa"/>
            <w:shd w:val="clear" w:color="auto" w:fill="auto"/>
            <w:vAlign w:val="center"/>
          </w:tcPr>
          <w:p w14:paraId="43E93584" w14:textId="725FEDBC" w:rsidR="00226B41"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2051445561"/>
                <w14:checkbox>
                  <w14:checked w14:val="0"/>
                  <w14:checkedState w14:val="2612" w14:font="MS Gothic"/>
                  <w14:uncheckedState w14:val="2610" w14:font="MS Gothic"/>
                </w14:checkbox>
              </w:sdtPr>
              <w:sdtEndPr/>
              <w:sdtContent>
                <w:r w:rsidR="00B20C4E">
                  <w:rPr>
                    <w:rFonts w:ascii="MS Gothic" w:eastAsia="MS Gothic" w:hAnsi="MS Gothic" w:cstheme="majorHAnsi" w:hint="eastAsia"/>
                    <w:b/>
                  </w:rPr>
                  <w:t>☐</w:t>
                </w:r>
              </w:sdtContent>
            </w:sdt>
          </w:p>
        </w:tc>
        <w:tc>
          <w:tcPr>
            <w:tcW w:w="8642" w:type="dxa"/>
            <w:vAlign w:val="center"/>
          </w:tcPr>
          <w:p w14:paraId="64B6E257" w14:textId="77777777" w:rsidR="00226B41" w:rsidRPr="00226B41" w:rsidRDefault="00226B41" w:rsidP="009B6C0D">
            <w:pPr>
              <w:spacing w:after="0"/>
              <w:ind w:left="239" w:hanging="90"/>
              <w:rPr>
                <w:rFonts w:asciiTheme="majorHAnsi" w:hAnsiTheme="majorHAnsi" w:cstheme="majorHAnsi"/>
                <w:bCs/>
              </w:rPr>
            </w:pPr>
            <w:r w:rsidRPr="00226B41">
              <w:rPr>
                <w:rFonts w:asciiTheme="majorHAnsi" w:hAnsiTheme="majorHAnsi" w:cstheme="majorHAnsi"/>
                <w:bCs/>
              </w:rPr>
              <w:t>Prioritized above allocation request (PAAR)</w:t>
            </w:r>
          </w:p>
        </w:tc>
      </w:tr>
      <w:tr w:rsidR="000D447C" w:rsidRPr="00226B41" w14:paraId="0DFE1738" w14:textId="77777777" w:rsidTr="00226B41">
        <w:trPr>
          <w:trHeight w:val="567"/>
        </w:trPr>
        <w:tc>
          <w:tcPr>
            <w:tcW w:w="567" w:type="dxa"/>
            <w:shd w:val="clear" w:color="auto" w:fill="auto"/>
            <w:vAlign w:val="center"/>
          </w:tcPr>
          <w:p w14:paraId="05AB01EC" w14:textId="047F75A4" w:rsidR="000D447C"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1479722300"/>
                <w14:checkbox>
                  <w14:checked w14:val="0"/>
                  <w14:checkedState w14:val="2612" w14:font="MS Gothic"/>
                  <w14:uncheckedState w14:val="2610" w14:font="MS Gothic"/>
                </w14:checkbox>
              </w:sdtPr>
              <w:sdtEndPr/>
              <w:sdtContent>
                <w:r w:rsidR="00B20C4E">
                  <w:rPr>
                    <w:rFonts w:ascii="MS Gothic" w:eastAsia="MS Gothic" w:hAnsi="MS Gothic" w:cstheme="majorHAnsi" w:hint="eastAsia"/>
                    <w:b/>
                  </w:rPr>
                  <w:t>☐</w:t>
                </w:r>
              </w:sdtContent>
            </w:sdt>
          </w:p>
        </w:tc>
        <w:tc>
          <w:tcPr>
            <w:tcW w:w="8642" w:type="dxa"/>
            <w:vAlign w:val="center"/>
          </w:tcPr>
          <w:p w14:paraId="0C75605A" w14:textId="7DDAF982" w:rsidR="000D447C" w:rsidRPr="00226B41" w:rsidRDefault="000D447C" w:rsidP="009B6C0D">
            <w:pPr>
              <w:spacing w:after="0"/>
              <w:ind w:left="239" w:hanging="90"/>
              <w:rPr>
                <w:rFonts w:asciiTheme="majorHAnsi" w:hAnsiTheme="majorHAnsi" w:cstheme="majorHAnsi"/>
                <w:bCs/>
              </w:rPr>
            </w:pPr>
            <w:r>
              <w:rPr>
                <w:rFonts w:asciiTheme="majorHAnsi" w:hAnsiTheme="majorHAnsi" w:cstheme="majorHAnsi"/>
                <w:bCs/>
              </w:rPr>
              <w:t>Implementation Arrangement</w:t>
            </w:r>
            <w:r w:rsidRPr="005D52EF">
              <w:rPr>
                <w:rFonts w:asciiTheme="majorHAnsi" w:hAnsiTheme="majorHAnsi" w:cstheme="majorHAnsi"/>
                <w:bCs/>
              </w:rPr>
              <w:t xml:space="preserve"> Map</w:t>
            </w:r>
            <w:r>
              <w:rPr>
                <w:rFonts w:asciiTheme="majorHAnsi" w:hAnsiTheme="majorHAnsi" w:cstheme="majorHAnsi"/>
                <w:bCs/>
              </w:rPr>
              <w:t>(s)</w:t>
            </w:r>
            <w:r w:rsidRPr="00226B41">
              <w:rPr>
                <w:rStyle w:val="FootnoteReference"/>
                <w:rFonts w:asciiTheme="majorHAnsi" w:hAnsiTheme="majorHAnsi" w:cstheme="majorHAnsi"/>
                <w:bCs/>
              </w:rPr>
              <w:footnoteReference w:id="6"/>
            </w:r>
          </w:p>
        </w:tc>
      </w:tr>
      <w:tr w:rsidR="000D447C" w:rsidRPr="00226B41" w14:paraId="330F5F85" w14:textId="77777777" w:rsidTr="00226B41">
        <w:trPr>
          <w:trHeight w:val="567"/>
        </w:trPr>
        <w:tc>
          <w:tcPr>
            <w:tcW w:w="567" w:type="dxa"/>
            <w:shd w:val="clear" w:color="auto" w:fill="auto"/>
            <w:vAlign w:val="center"/>
          </w:tcPr>
          <w:p w14:paraId="67CD6D7F" w14:textId="5BFF4D84" w:rsidR="000D447C"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2140713719"/>
                <w14:checkbox>
                  <w14:checked w14:val="0"/>
                  <w14:checkedState w14:val="2612" w14:font="MS Gothic"/>
                  <w14:uncheckedState w14:val="2610" w14:font="MS Gothic"/>
                </w14:checkbox>
              </w:sdtPr>
              <w:sdtEndPr/>
              <w:sdtContent>
                <w:r w:rsidR="00B20C4E">
                  <w:rPr>
                    <w:rFonts w:ascii="MS Gothic" w:eastAsia="MS Gothic" w:hAnsi="MS Gothic" w:cstheme="majorHAnsi" w:hint="eastAsia"/>
                    <w:b/>
                  </w:rPr>
                  <w:t>☐</w:t>
                </w:r>
              </w:sdtContent>
            </w:sdt>
          </w:p>
        </w:tc>
        <w:tc>
          <w:tcPr>
            <w:tcW w:w="8642" w:type="dxa"/>
            <w:vAlign w:val="center"/>
          </w:tcPr>
          <w:p w14:paraId="4EEE9D24" w14:textId="66811D10" w:rsidR="000D447C" w:rsidRPr="00226B41" w:rsidRDefault="000D447C" w:rsidP="009B6C0D">
            <w:pPr>
              <w:spacing w:after="0"/>
              <w:ind w:left="239" w:hanging="90"/>
              <w:rPr>
                <w:rFonts w:asciiTheme="majorHAnsi" w:hAnsiTheme="majorHAnsi" w:cstheme="majorHAnsi"/>
                <w:bCs/>
              </w:rPr>
            </w:pPr>
            <w:r w:rsidRPr="00226B41">
              <w:rPr>
                <w:rFonts w:asciiTheme="majorHAnsi" w:hAnsiTheme="majorHAnsi" w:cstheme="majorHAnsi"/>
                <w:bCs/>
              </w:rPr>
              <w:t>Essential Data Table</w:t>
            </w:r>
            <w:r>
              <w:rPr>
                <w:rFonts w:asciiTheme="majorHAnsi" w:hAnsiTheme="majorHAnsi" w:cstheme="majorHAnsi"/>
                <w:bCs/>
              </w:rPr>
              <w:t>(s)</w:t>
            </w:r>
            <w:r w:rsidRPr="00226B41">
              <w:rPr>
                <w:rFonts w:asciiTheme="majorHAnsi" w:hAnsiTheme="majorHAnsi" w:cstheme="majorHAnsi"/>
                <w:bCs/>
              </w:rPr>
              <w:t xml:space="preserve"> (updated)</w:t>
            </w:r>
          </w:p>
        </w:tc>
      </w:tr>
      <w:tr w:rsidR="000D447C" w:rsidRPr="00226B41" w14:paraId="16D242CF" w14:textId="77777777" w:rsidTr="00226B41">
        <w:trPr>
          <w:trHeight w:val="567"/>
        </w:trPr>
        <w:tc>
          <w:tcPr>
            <w:tcW w:w="567" w:type="dxa"/>
            <w:shd w:val="clear" w:color="auto" w:fill="auto"/>
            <w:vAlign w:val="center"/>
          </w:tcPr>
          <w:p w14:paraId="6FE9CD24" w14:textId="67457CC5" w:rsidR="000D447C"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1115976256"/>
                <w14:checkbox>
                  <w14:checked w14:val="0"/>
                  <w14:checkedState w14:val="2612" w14:font="MS Gothic"/>
                  <w14:uncheckedState w14:val="2610" w14:font="MS Gothic"/>
                </w14:checkbox>
              </w:sdtPr>
              <w:sdtEndPr/>
              <w:sdtContent>
                <w:r w:rsidR="00B20C4E">
                  <w:rPr>
                    <w:rFonts w:ascii="MS Gothic" w:eastAsia="MS Gothic" w:hAnsi="MS Gothic" w:cstheme="majorHAnsi" w:hint="eastAsia"/>
                    <w:b/>
                  </w:rPr>
                  <w:t>☐</w:t>
                </w:r>
              </w:sdtContent>
            </w:sdt>
          </w:p>
        </w:tc>
        <w:tc>
          <w:tcPr>
            <w:tcW w:w="8642" w:type="dxa"/>
            <w:vAlign w:val="center"/>
          </w:tcPr>
          <w:p w14:paraId="776FCB2C" w14:textId="23D022A8" w:rsidR="000D447C" w:rsidRPr="00226B41" w:rsidRDefault="000D447C" w:rsidP="009B6C0D">
            <w:pPr>
              <w:spacing w:after="0"/>
              <w:ind w:left="239" w:hanging="90"/>
              <w:rPr>
                <w:rFonts w:asciiTheme="majorHAnsi" w:hAnsiTheme="majorHAnsi" w:cstheme="majorHAnsi"/>
                <w:bCs/>
              </w:rPr>
            </w:pPr>
            <w:r w:rsidRPr="00226B41">
              <w:rPr>
                <w:rFonts w:asciiTheme="majorHAnsi" w:hAnsiTheme="majorHAnsi" w:cstheme="majorHAnsi"/>
                <w:bCs/>
              </w:rPr>
              <w:t xml:space="preserve">CCM Endorsement of Funding Request </w:t>
            </w:r>
          </w:p>
        </w:tc>
      </w:tr>
      <w:tr w:rsidR="000D447C" w:rsidRPr="00226B41" w14:paraId="5603CF97" w14:textId="77777777" w:rsidTr="00226B41">
        <w:trPr>
          <w:trHeight w:val="567"/>
        </w:trPr>
        <w:tc>
          <w:tcPr>
            <w:tcW w:w="567" w:type="dxa"/>
            <w:shd w:val="clear" w:color="auto" w:fill="auto"/>
            <w:vAlign w:val="center"/>
          </w:tcPr>
          <w:p w14:paraId="4BF9E56F" w14:textId="416DAAE6" w:rsidR="000D447C" w:rsidRDefault="004535E1" w:rsidP="009B6C0D">
            <w:pPr>
              <w:spacing w:after="0"/>
              <w:ind w:hanging="98"/>
              <w:jc w:val="center"/>
              <w:rPr>
                <w:rFonts w:asciiTheme="majorHAnsi" w:hAnsiTheme="majorHAnsi" w:cstheme="majorHAnsi"/>
                <w:b/>
              </w:rPr>
            </w:pPr>
            <w:sdt>
              <w:sdtPr>
                <w:rPr>
                  <w:rFonts w:asciiTheme="majorHAnsi" w:hAnsiTheme="majorHAnsi" w:cstheme="majorHAnsi"/>
                </w:rPr>
                <w:id w:val="-1469969149"/>
                <w14:checkbox>
                  <w14:checked w14:val="0"/>
                  <w14:checkedState w14:val="2612" w14:font="MS Gothic"/>
                  <w14:uncheckedState w14:val="2610" w14:font="MS Gothic"/>
                </w14:checkbox>
              </w:sdtPr>
              <w:sdtEndPr/>
              <w:sdtContent>
                <w:r w:rsidR="00B20C4E">
                  <w:rPr>
                    <w:rFonts w:ascii="MS Gothic" w:eastAsia="MS Gothic" w:hAnsi="MS Gothic" w:cstheme="majorHAnsi" w:hint="eastAsia"/>
                  </w:rPr>
                  <w:t>☐</w:t>
                </w:r>
              </w:sdtContent>
            </w:sdt>
          </w:p>
        </w:tc>
        <w:tc>
          <w:tcPr>
            <w:tcW w:w="8642" w:type="dxa"/>
            <w:vAlign w:val="center"/>
          </w:tcPr>
          <w:p w14:paraId="4CE3B0D6" w14:textId="400897F9" w:rsidR="000D447C" w:rsidRPr="00226B41" w:rsidRDefault="000D447C" w:rsidP="009B6C0D">
            <w:pPr>
              <w:spacing w:after="0"/>
              <w:ind w:left="239" w:hanging="90"/>
              <w:rPr>
                <w:rFonts w:asciiTheme="majorHAnsi" w:hAnsiTheme="majorHAnsi" w:cstheme="majorHAnsi"/>
                <w:bCs/>
              </w:rPr>
            </w:pPr>
            <w:r w:rsidRPr="00226B41">
              <w:rPr>
                <w:rFonts w:asciiTheme="majorHAnsi" w:eastAsia="SimSun" w:hAnsiTheme="majorHAnsi" w:cstheme="majorHAnsi"/>
                <w:bCs/>
                <w:lang w:eastAsia="zh-CN"/>
              </w:rPr>
              <w:t>CCM Statement of Compliance</w:t>
            </w:r>
          </w:p>
        </w:tc>
      </w:tr>
      <w:tr w:rsidR="000D447C" w:rsidRPr="00226B41" w14:paraId="1F40EB10" w14:textId="77777777" w:rsidTr="00226B41">
        <w:trPr>
          <w:trHeight w:val="567"/>
        </w:trPr>
        <w:tc>
          <w:tcPr>
            <w:tcW w:w="567" w:type="dxa"/>
            <w:shd w:val="clear" w:color="auto" w:fill="auto"/>
            <w:vAlign w:val="center"/>
          </w:tcPr>
          <w:p w14:paraId="6FD04B4D" w14:textId="7F2719E2" w:rsidR="000D447C" w:rsidRPr="00226B41" w:rsidRDefault="004535E1" w:rsidP="009B6C0D">
            <w:pPr>
              <w:spacing w:after="0"/>
              <w:ind w:hanging="98"/>
              <w:jc w:val="center"/>
              <w:rPr>
                <w:rFonts w:asciiTheme="majorHAnsi" w:hAnsiTheme="majorHAnsi" w:cstheme="majorHAnsi"/>
                <w:b/>
                <w:highlight w:val="yellow"/>
              </w:rPr>
            </w:pPr>
            <w:sdt>
              <w:sdtPr>
                <w:rPr>
                  <w:rFonts w:asciiTheme="majorHAnsi" w:hAnsiTheme="majorHAnsi" w:cstheme="majorHAnsi"/>
                  <w:b/>
                </w:rPr>
                <w:id w:val="-220992833"/>
                <w14:checkbox>
                  <w14:checked w14:val="0"/>
                  <w14:checkedState w14:val="2612" w14:font="MS Gothic"/>
                  <w14:uncheckedState w14:val="2610" w14:font="MS Gothic"/>
                </w14:checkbox>
              </w:sdtPr>
              <w:sdtEndPr/>
              <w:sdtContent>
                <w:r w:rsidR="00421F72">
                  <w:rPr>
                    <w:rFonts w:ascii="MS Gothic" w:eastAsia="MS Gothic" w:hAnsi="MS Gothic" w:cstheme="majorHAnsi" w:hint="eastAsia"/>
                    <w:b/>
                  </w:rPr>
                  <w:t>☐</w:t>
                </w:r>
              </w:sdtContent>
            </w:sdt>
          </w:p>
        </w:tc>
        <w:tc>
          <w:tcPr>
            <w:tcW w:w="8642" w:type="dxa"/>
            <w:vAlign w:val="center"/>
          </w:tcPr>
          <w:p w14:paraId="24E5CEF2" w14:textId="15E71556" w:rsidR="000D447C" w:rsidRPr="00226B41" w:rsidRDefault="000D447C" w:rsidP="009B6C0D">
            <w:pPr>
              <w:spacing w:after="0"/>
              <w:ind w:left="239" w:hanging="90"/>
              <w:rPr>
                <w:rFonts w:asciiTheme="majorHAnsi" w:hAnsiTheme="majorHAnsi" w:cstheme="majorHAnsi"/>
                <w:bCs/>
                <w:highlight w:val="yellow"/>
              </w:rPr>
            </w:pPr>
            <w:r w:rsidRPr="00226B41">
              <w:rPr>
                <w:rFonts w:asciiTheme="majorHAnsi" w:hAnsiTheme="majorHAnsi" w:cstheme="majorHAnsi"/>
                <w:bCs/>
              </w:rPr>
              <w:t xml:space="preserve">Supporting documentation to confirm meeting co-financing requirements for </w:t>
            </w:r>
            <w:r>
              <w:rPr>
                <w:rFonts w:asciiTheme="majorHAnsi" w:hAnsiTheme="majorHAnsi" w:cstheme="majorHAnsi"/>
                <w:bCs/>
              </w:rPr>
              <w:t>current</w:t>
            </w:r>
            <w:r w:rsidRPr="00226B41">
              <w:rPr>
                <w:rFonts w:asciiTheme="majorHAnsi" w:hAnsiTheme="majorHAnsi" w:cstheme="majorHAnsi"/>
                <w:bCs/>
              </w:rPr>
              <w:t xml:space="preserve"> allocation period </w:t>
            </w:r>
          </w:p>
        </w:tc>
      </w:tr>
      <w:tr w:rsidR="000D447C" w:rsidRPr="00226B41" w14:paraId="265F6EDA" w14:textId="77777777" w:rsidTr="00226B41">
        <w:trPr>
          <w:trHeight w:val="567"/>
        </w:trPr>
        <w:tc>
          <w:tcPr>
            <w:tcW w:w="567" w:type="dxa"/>
            <w:shd w:val="clear" w:color="auto" w:fill="auto"/>
            <w:vAlign w:val="center"/>
          </w:tcPr>
          <w:p w14:paraId="188693CA" w14:textId="1A21C901" w:rsidR="000D447C" w:rsidRPr="00226B41" w:rsidRDefault="004535E1" w:rsidP="009B6C0D">
            <w:pPr>
              <w:spacing w:after="0"/>
              <w:ind w:hanging="98"/>
              <w:jc w:val="center"/>
              <w:rPr>
                <w:rFonts w:asciiTheme="majorHAnsi" w:hAnsiTheme="majorHAnsi" w:cstheme="majorHAnsi"/>
                <w:b/>
                <w:highlight w:val="yellow"/>
              </w:rPr>
            </w:pPr>
            <w:sdt>
              <w:sdtPr>
                <w:rPr>
                  <w:rFonts w:asciiTheme="majorHAnsi" w:hAnsiTheme="majorHAnsi" w:cstheme="majorHAnsi"/>
                  <w:b/>
                </w:rPr>
                <w:id w:val="-1023165458"/>
                <w14:checkbox>
                  <w14:checked w14:val="0"/>
                  <w14:checkedState w14:val="2612" w14:font="MS Gothic"/>
                  <w14:uncheckedState w14:val="2610" w14:font="MS Gothic"/>
                </w14:checkbox>
              </w:sdtPr>
              <w:sdtEndPr/>
              <w:sdtContent>
                <w:r w:rsidR="00421F72">
                  <w:rPr>
                    <w:rFonts w:ascii="MS Gothic" w:eastAsia="MS Gothic" w:hAnsi="MS Gothic" w:cstheme="majorHAnsi" w:hint="eastAsia"/>
                    <w:b/>
                  </w:rPr>
                  <w:t>☐</w:t>
                </w:r>
              </w:sdtContent>
            </w:sdt>
          </w:p>
        </w:tc>
        <w:tc>
          <w:tcPr>
            <w:tcW w:w="8642" w:type="dxa"/>
            <w:vAlign w:val="center"/>
          </w:tcPr>
          <w:p w14:paraId="7DE07117" w14:textId="5D2A34DF" w:rsidR="000D447C" w:rsidRPr="00226B41" w:rsidRDefault="000D447C" w:rsidP="009B6C0D">
            <w:pPr>
              <w:spacing w:after="0"/>
              <w:ind w:left="239" w:hanging="90"/>
              <w:rPr>
                <w:rFonts w:asciiTheme="majorHAnsi" w:hAnsiTheme="majorHAnsi" w:cstheme="majorHAnsi"/>
                <w:bCs/>
                <w:highlight w:val="yellow"/>
              </w:rPr>
            </w:pPr>
            <w:r w:rsidRPr="00226B41">
              <w:rPr>
                <w:rFonts w:asciiTheme="majorHAnsi" w:hAnsiTheme="majorHAnsi" w:cstheme="majorHAnsi"/>
                <w:bCs/>
              </w:rPr>
              <w:t xml:space="preserve">Supporting documentation for co-financing commitments for </w:t>
            </w:r>
            <w:r>
              <w:rPr>
                <w:rFonts w:asciiTheme="majorHAnsi" w:hAnsiTheme="majorHAnsi" w:cstheme="majorHAnsi"/>
                <w:bCs/>
              </w:rPr>
              <w:t>next</w:t>
            </w:r>
            <w:r w:rsidRPr="00226B41">
              <w:rPr>
                <w:rFonts w:asciiTheme="majorHAnsi" w:hAnsiTheme="majorHAnsi" w:cstheme="majorHAnsi"/>
                <w:bCs/>
              </w:rPr>
              <w:t xml:space="preserve"> allocation period </w:t>
            </w:r>
          </w:p>
        </w:tc>
      </w:tr>
      <w:tr w:rsidR="006E4D18" w:rsidRPr="00226B41" w14:paraId="5CD74750" w14:textId="77777777" w:rsidTr="00226B41">
        <w:trPr>
          <w:trHeight w:val="567"/>
        </w:trPr>
        <w:tc>
          <w:tcPr>
            <w:tcW w:w="567" w:type="dxa"/>
            <w:shd w:val="clear" w:color="auto" w:fill="auto"/>
            <w:vAlign w:val="center"/>
          </w:tcPr>
          <w:p w14:paraId="60D01336" w14:textId="61A0A5FE" w:rsidR="006E4D18"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2063856963"/>
                <w14:checkbox>
                  <w14:checked w14:val="0"/>
                  <w14:checkedState w14:val="2612" w14:font="MS Gothic"/>
                  <w14:uncheckedState w14:val="2610" w14:font="MS Gothic"/>
                </w14:checkbox>
              </w:sdtPr>
              <w:sdtEndPr/>
              <w:sdtContent>
                <w:r w:rsidR="006E4D18" w:rsidRPr="00226B41">
                  <w:rPr>
                    <w:rFonts w:ascii="Segoe UI Symbol" w:hAnsi="Segoe UI Symbol" w:cs="Segoe UI Symbol"/>
                  </w:rPr>
                  <w:t>☐</w:t>
                </w:r>
              </w:sdtContent>
            </w:sdt>
          </w:p>
        </w:tc>
        <w:tc>
          <w:tcPr>
            <w:tcW w:w="8642" w:type="dxa"/>
            <w:vAlign w:val="center"/>
          </w:tcPr>
          <w:p w14:paraId="297DDEC0" w14:textId="6B0CE72C" w:rsidR="006E4D18" w:rsidRPr="00226B41" w:rsidRDefault="006E4D18" w:rsidP="009B6C0D">
            <w:pPr>
              <w:spacing w:after="0"/>
              <w:ind w:left="239" w:hanging="90"/>
              <w:rPr>
                <w:rFonts w:asciiTheme="majorHAnsi" w:hAnsiTheme="majorHAnsi" w:cstheme="majorHAnsi"/>
                <w:bCs/>
              </w:rPr>
            </w:pPr>
            <w:r w:rsidRPr="00226B41">
              <w:rPr>
                <w:rFonts w:asciiTheme="majorHAnsi" w:hAnsiTheme="majorHAnsi" w:cstheme="majorHAnsi"/>
                <w:bCs/>
              </w:rPr>
              <w:t xml:space="preserve">Transition Readiness </w:t>
            </w:r>
            <w:r>
              <w:rPr>
                <w:rFonts w:asciiTheme="majorHAnsi" w:hAnsiTheme="majorHAnsi" w:cstheme="majorHAnsi"/>
                <w:bCs/>
              </w:rPr>
              <w:t>A</w:t>
            </w:r>
            <w:r w:rsidRPr="00226B41">
              <w:rPr>
                <w:rFonts w:asciiTheme="majorHAnsi" w:hAnsiTheme="majorHAnsi" w:cstheme="majorHAnsi"/>
                <w:bCs/>
              </w:rPr>
              <w:t>ssessment (if available)</w:t>
            </w:r>
          </w:p>
        </w:tc>
      </w:tr>
      <w:tr w:rsidR="006E4D18" w:rsidRPr="00226B41" w14:paraId="2915942E" w14:textId="77777777" w:rsidTr="00226B41">
        <w:trPr>
          <w:trHeight w:val="567"/>
        </w:trPr>
        <w:tc>
          <w:tcPr>
            <w:tcW w:w="567" w:type="dxa"/>
            <w:shd w:val="clear" w:color="auto" w:fill="auto"/>
            <w:vAlign w:val="center"/>
          </w:tcPr>
          <w:p w14:paraId="362C5F76" w14:textId="7509FB14" w:rsidR="006E4D18"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1226954297"/>
                <w14:checkbox>
                  <w14:checked w14:val="0"/>
                  <w14:checkedState w14:val="2612" w14:font="MS Gothic"/>
                  <w14:uncheckedState w14:val="2610" w14:font="MS Gothic"/>
                </w14:checkbox>
              </w:sdtPr>
              <w:sdtEndPr/>
              <w:sdtContent>
                <w:r w:rsidR="00B20C4E">
                  <w:rPr>
                    <w:rFonts w:ascii="MS Gothic" w:eastAsia="MS Gothic" w:hAnsi="MS Gothic" w:cstheme="majorHAnsi" w:hint="eastAsia"/>
                    <w:b/>
                  </w:rPr>
                  <w:t>☐</w:t>
                </w:r>
              </w:sdtContent>
            </w:sdt>
          </w:p>
        </w:tc>
        <w:tc>
          <w:tcPr>
            <w:tcW w:w="8642" w:type="dxa"/>
            <w:vAlign w:val="center"/>
          </w:tcPr>
          <w:p w14:paraId="5F570988" w14:textId="77777777" w:rsidR="006E4D18" w:rsidRPr="00226B41" w:rsidRDefault="006E4D18" w:rsidP="009B6C0D">
            <w:pPr>
              <w:spacing w:after="0"/>
              <w:ind w:left="239" w:hanging="90"/>
              <w:rPr>
                <w:rFonts w:asciiTheme="majorHAnsi" w:hAnsiTheme="majorHAnsi" w:cstheme="majorHAnsi"/>
                <w:bCs/>
              </w:rPr>
            </w:pPr>
            <w:r w:rsidRPr="00226B41">
              <w:rPr>
                <w:rFonts w:asciiTheme="majorHAnsi" w:hAnsiTheme="majorHAnsi" w:cstheme="majorHAnsi"/>
                <w:bCs/>
              </w:rPr>
              <w:t>National Strategic Plans (Health Sector and Disease specific)</w:t>
            </w:r>
          </w:p>
        </w:tc>
      </w:tr>
      <w:tr w:rsidR="006E4D18" w:rsidRPr="00226B41" w14:paraId="05024AC5" w14:textId="77777777" w:rsidTr="00226B41">
        <w:trPr>
          <w:trHeight w:val="567"/>
        </w:trPr>
        <w:tc>
          <w:tcPr>
            <w:tcW w:w="567" w:type="dxa"/>
            <w:shd w:val="clear" w:color="auto" w:fill="auto"/>
            <w:vAlign w:val="center"/>
          </w:tcPr>
          <w:p w14:paraId="3BE26029" w14:textId="5A314DC2" w:rsidR="006E4D18"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1302270637"/>
                <w14:checkbox>
                  <w14:checked w14:val="0"/>
                  <w14:checkedState w14:val="2612" w14:font="MS Gothic"/>
                  <w14:uncheckedState w14:val="2610" w14:font="MS Gothic"/>
                </w14:checkbox>
              </w:sdtPr>
              <w:sdtEndPr/>
              <w:sdtContent>
                <w:r w:rsidR="00B20C4E">
                  <w:rPr>
                    <w:rFonts w:ascii="MS Gothic" w:eastAsia="MS Gothic" w:hAnsi="MS Gothic" w:cstheme="majorHAnsi" w:hint="eastAsia"/>
                    <w:b/>
                  </w:rPr>
                  <w:t>☐</w:t>
                </w:r>
              </w:sdtContent>
            </w:sdt>
          </w:p>
        </w:tc>
        <w:tc>
          <w:tcPr>
            <w:tcW w:w="8642" w:type="dxa"/>
            <w:vAlign w:val="center"/>
          </w:tcPr>
          <w:p w14:paraId="768FC841" w14:textId="77777777" w:rsidR="006E4D18" w:rsidRPr="00226B41" w:rsidRDefault="006E4D18" w:rsidP="009B6C0D">
            <w:pPr>
              <w:spacing w:after="0"/>
              <w:ind w:left="239" w:hanging="90"/>
              <w:rPr>
                <w:rFonts w:asciiTheme="majorHAnsi" w:hAnsiTheme="majorHAnsi" w:cstheme="majorHAnsi"/>
                <w:bCs/>
              </w:rPr>
            </w:pPr>
            <w:r w:rsidRPr="00226B41">
              <w:rPr>
                <w:rFonts w:asciiTheme="majorHAnsi" w:eastAsia="SimSun" w:hAnsiTheme="majorHAnsi" w:cstheme="majorHAnsi"/>
                <w:bCs/>
                <w:lang w:eastAsia="zh-CN"/>
              </w:rPr>
              <w:t>All supporting documentation referenced in the funding request</w:t>
            </w:r>
          </w:p>
        </w:tc>
      </w:tr>
      <w:tr w:rsidR="006E4D18" w:rsidRPr="00226B41" w14:paraId="3BF73B44" w14:textId="77777777" w:rsidTr="00226B41">
        <w:trPr>
          <w:trHeight w:val="567"/>
        </w:trPr>
        <w:tc>
          <w:tcPr>
            <w:tcW w:w="567" w:type="dxa"/>
            <w:shd w:val="clear" w:color="auto" w:fill="auto"/>
            <w:vAlign w:val="center"/>
          </w:tcPr>
          <w:p w14:paraId="43FB236F" w14:textId="398E0008" w:rsidR="006E4D18"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b/>
                </w:rPr>
                <w:id w:val="-1828971492"/>
                <w14:checkbox>
                  <w14:checked w14:val="0"/>
                  <w14:checkedState w14:val="2612" w14:font="MS Gothic"/>
                  <w14:uncheckedState w14:val="2610" w14:font="MS Gothic"/>
                </w14:checkbox>
              </w:sdtPr>
              <w:sdtEndPr/>
              <w:sdtContent>
                <w:r w:rsidR="00421F72">
                  <w:rPr>
                    <w:rFonts w:ascii="MS Gothic" w:eastAsia="MS Gothic" w:hAnsi="MS Gothic" w:cstheme="majorHAnsi" w:hint="eastAsia"/>
                    <w:b/>
                  </w:rPr>
                  <w:t>☐</w:t>
                </w:r>
              </w:sdtContent>
            </w:sdt>
          </w:p>
        </w:tc>
        <w:tc>
          <w:tcPr>
            <w:tcW w:w="8642" w:type="dxa"/>
            <w:vAlign w:val="center"/>
          </w:tcPr>
          <w:p w14:paraId="148B3830" w14:textId="5C9687DD" w:rsidR="006E4D18" w:rsidRPr="00226B41" w:rsidRDefault="006E4D18" w:rsidP="009B6C0D">
            <w:pPr>
              <w:spacing w:after="0"/>
              <w:ind w:left="239" w:hanging="90"/>
              <w:rPr>
                <w:rFonts w:asciiTheme="majorHAnsi" w:hAnsiTheme="majorHAnsi" w:cstheme="majorHAnsi"/>
                <w:bCs/>
              </w:rPr>
            </w:pPr>
            <w:r w:rsidRPr="00226B41">
              <w:rPr>
                <w:rFonts w:asciiTheme="majorHAnsi" w:hAnsiTheme="majorHAnsi" w:cstheme="majorHAnsi"/>
              </w:rPr>
              <w:t>Health Product Management Tool (if applicable)</w:t>
            </w:r>
          </w:p>
        </w:tc>
      </w:tr>
      <w:tr w:rsidR="006E4D18" w:rsidRPr="00226B41" w14:paraId="7D539465" w14:textId="77777777" w:rsidTr="00226B41">
        <w:trPr>
          <w:trHeight w:val="567"/>
        </w:trPr>
        <w:tc>
          <w:tcPr>
            <w:tcW w:w="567" w:type="dxa"/>
            <w:shd w:val="clear" w:color="auto" w:fill="auto"/>
            <w:vAlign w:val="center"/>
          </w:tcPr>
          <w:p w14:paraId="39CEEDBA" w14:textId="348A677C" w:rsidR="006E4D18" w:rsidRPr="00226B41" w:rsidRDefault="004535E1" w:rsidP="009B6C0D">
            <w:pPr>
              <w:spacing w:after="0"/>
              <w:ind w:hanging="98"/>
              <w:jc w:val="center"/>
              <w:rPr>
                <w:rFonts w:asciiTheme="majorHAnsi" w:hAnsiTheme="majorHAnsi" w:cstheme="majorHAnsi"/>
                <w:b/>
              </w:rPr>
            </w:pPr>
            <w:sdt>
              <w:sdtPr>
                <w:rPr>
                  <w:rFonts w:asciiTheme="majorHAnsi" w:hAnsiTheme="majorHAnsi" w:cstheme="majorHAnsi"/>
                </w:rPr>
                <w:id w:val="-784813489"/>
                <w14:checkbox>
                  <w14:checked w14:val="1"/>
                  <w14:checkedState w14:val="2612" w14:font="MS Gothic"/>
                  <w14:uncheckedState w14:val="2610" w14:font="MS Gothic"/>
                </w14:checkbox>
              </w:sdtPr>
              <w:sdtEndPr/>
              <w:sdtContent>
                <w:r w:rsidR="00614419">
                  <w:rPr>
                    <w:rFonts w:ascii="MS Gothic" w:eastAsia="MS Gothic" w:hAnsi="MS Gothic" w:cstheme="majorHAnsi" w:hint="eastAsia"/>
                  </w:rPr>
                  <w:t>☒</w:t>
                </w:r>
              </w:sdtContent>
            </w:sdt>
          </w:p>
        </w:tc>
        <w:tc>
          <w:tcPr>
            <w:tcW w:w="8642" w:type="dxa"/>
            <w:vAlign w:val="center"/>
          </w:tcPr>
          <w:p w14:paraId="5282C1D9" w14:textId="77777777" w:rsidR="006E4D18" w:rsidRPr="00226B41" w:rsidRDefault="006E4D18" w:rsidP="009B6C0D">
            <w:pPr>
              <w:spacing w:after="0"/>
              <w:ind w:left="239" w:hanging="90"/>
              <w:rPr>
                <w:rFonts w:asciiTheme="majorHAnsi" w:hAnsiTheme="majorHAnsi" w:cstheme="majorHAnsi"/>
                <w:bCs/>
              </w:rPr>
            </w:pPr>
            <w:r w:rsidRPr="00226B41">
              <w:rPr>
                <w:rFonts w:asciiTheme="majorHAnsi" w:hAnsiTheme="majorHAnsi" w:cstheme="majorHAnsi"/>
              </w:rPr>
              <w:t>List of Abbreviations and Annexes</w:t>
            </w:r>
          </w:p>
        </w:tc>
      </w:tr>
      <w:bookmarkEnd w:id="38"/>
    </w:tbl>
    <w:p w14:paraId="2DA8B3FE" w14:textId="77777777" w:rsidR="00FC7EB1" w:rsidRPr="00FC7EB1" w:rsidRDefault="00FC7EB1" w:rsidP="009B6C0D">
      <w:pPr>
        <w:spacing w:after="0"/>
      </w:pPr>
    </w:p>
    <w:sectPr w:rsidR="00FC7EB1" w:rsidRPr="00FC7EB1" w:rsidSect="00B816D4">
      <w:headerReference w:type="default" r:id="rId29"/>
      <w:footerReference w:type="default" r:id="rId30"/>
      <w:pgSz w:w="11906" w:h="16838" w:code="9"/>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8744A" w14:textId="77777777" w:rsidR="004535E1" w:rsidRPr="009F52F1" w:rsidRDefault="004535E1" w:rsidP="0013691B">
      <w:pPr>
        <w:spacing w:after="0" w:line="240" w:lineRule="auto"/>
      </w:pPr>
      <w:r w:rsidRPr="009F52F1">
        <w:separator/>
      </w:r>
    </w:p>
  </w:endnote>
  <w:endnote w:type="continuationSeparator" w:id="0">
    <w:p w14:paraId="3482DE58" w14:textId="77777777" w:rsidR="004535E1" w:rsidRPr="009F52F1" w:rsidRDefault="004535E1" w:rsidP="0013691B">
      <w:pPr>
        <w:spacing w:after="0" w:line="240" w:lineRule="auto"/>
      </w:pPr>
      <w:r w:rsidRPr="009F52F1">
        <w:continuationSeparator/>
      </w:r>
    </w:p>
  </w:endnote>
  <w:endnote w:type="continuationNotice" w:id="1">
    <w:p w14:paraId="483C30CC" w14:textId="77777777" w:rsidR="004535E1" w:rsidRDefault="00453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DCE2" w14:textId="77777777" w:rsidR="009B0847" w:rsidRDefault="009B0847" w:rsidP="00415BC1">
    <w:pPr>
      <w:spacing w:after="0"/>
      <w:jc w:val="center"/>
      <w:rPr>
        <w:color w:val="A6A6A6" w:themeColor="background1" w:themeShade="A6"/>
        <w:sz w:val="18"/>
        <w:szCs w:val="18"/>
      </w:rPr>
    </w:pPr>
    <w:bookmarkStart w:id="4" w:name="_Hlk15379584"/>
    <w:bookmarkStart w:id="5" w:name="_Hlk15379585"/>
    <w:r w:rsidRPr="00EF23C6">
      <w:rPr>
        <w:color w:val="A6A6A6" w:themeColor="background1" w:themeShade="A6"/>
        <w:sz w:val="18"/>
        <w:szCs w:val="18"/>
      </w:rPr>
      <w:t xml:space="preserve">Funding Request </w:t>
    </w:r>
    <w:r>
      <w:rPr>
        <w:color w:val="A6A6A6" w:themeColor="background1" w:themeShade="A6"/>
        <w:sz w:val="18"/>
        <w:szCs w:val="18"/>
      </w:rPr>
      <w:t>Form</w:t>
    </w:r>
    <w:r w:rsidRPr="00EF23C6">
      <w:rPr>
        <w:color w:val="A6A6A6" w:themeColor="background1" w:themeShade="A6"/>
        <w:sz w:val="18"/>
        <w:szCs w:val="18"/>
      </w:rPr>
      <w:t xml:space="preserve"> </w:t>
    </w:r>
    <w:r>
      <w:rPr>
        <w:color w:val="A6A6A6" w:themeColor="background1" w:themeShade="A6"/>
        <w:sz w:val="18"/>
        <w:szCs w:val="18"/>
      </w:rPr>
      <w:t>–</w:t>
    </w:r>
    <w:r w:rsidRPr="00EF23C6">
      <w:rPr>
        <w:color w:val="A6A6A6" w:themeColor="background1" w:themeShade="A6"/>
        <w:sz w:val="18"/>
        <w:szCs w:val="18"/>
      </w:rPr>
      <w:t xml:space="preserve"> </w:t>
    </w:r>
    <w:r>
      <w:rPr>
        <w:color w:val="A6A6A6" w:themeColor="background1" w:themeShade="A6"/>
        <w:sz w:val="18"/>
        <w:szCs w:val="18"/>
      </w:rPr>
      <w:t>Full Review</w:t>
    </w:r>
  </w:p>
  <w:p w14:paraId="6F754D60" w14:textId="5447E875" w:rsidR="009B0847" w:rsidRDefault="009B0847" w:rsidP="00415BC1">
    <w:pPr>
      <w:pStyle w:val="Footer"/>
      <w:jc w:val="center"/>
    </w:pPr>
    <w:r>
      <w:rPr>
        <w:color w:val="A6A6A6" w:themeColor="background1" w:themeShade="A6"/>
        <w:sz w:val="18"/>
        <w:szCs w:val="18"/>
      </w:rPr>
      <w:t>Issue Date: November 2019</w:t>
    </w:r>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735627"/>
      <w:docPartObj>
        <w:docPartGallery w:val="Page Numbers (Bottom of Page)"/>
        <w:docPartUnique/>
      </w:docPartObj>
    </w:sdtPr>
    <w:sdtEndPr>
      <w:rPr>
        <w:noProof/>
      </w:rPr>
    </w:sdtEndPr>
    <w:sdtContent>
      <w:p w14:paraId="0E4B75CA" w14:textId="78F8F0C9" w:rsidR="009B0847" w:rsidRDefault="009B0847">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7FF28758" w14:textId="7D710099" w:rsidR="009B0847" w:rsidRDefault="009B0847" w:rsidP="00051A41">
    <w:pPr>
      <w:spacing w:after="0"/>
      <w:jc w:val="center"/>
      <w:rPr>
        <w:color w:val="A6A6A6" w:themeColor="background1" w:themeShade="A6"/>
        <w:sz w:val="18"/>
        <w:szCs w:val="18"/>
      </w:rPr>
    </w:pPr>
    <w:bookmarkStart w:id="40" w:name="_Hlk14420169"/>
    <w:r w:rsidRPr="00EF23C6">
      <w:rPr>
        <w:color w:val="A6A6A6" w:themeColor="background1" w:themeShade="A6"/>
        <w:sz w:val="18"/>
        <w:szCs w:val="18"/>
      </w:rPr>
      <w:t xml:space="preserve">Funding Request </w:t>
    </w:r>
    <w:r>
      <w:rPr>
        <w:color w:val="A6A6A6" w:themeColor="background1" w:themeShade="A6"/>
        <w:sz w:val="18"/>
        <w:szCs w:val="18"/>
      </w:rPr>
      <w:t>Form</w:t>
    </w:r>
    <w:r w:rsidRPr="00EF23C6">
      <w:rPr>
        <w:color w:val="A6A6A6" w:themeColor="background1" w:themeShade="A6"/>
        <w:sz w:val="18"/>
        <w:szCs w:val="18"/>
      </w:rPr>
      <w:t xml:space="preserve"> </w:t>
    </w:r>
    <w:r>
      <w:rPr>
        <w:color w:val="A6A6A6" w:themeColor="background1" w:themeShade="A6"/>
        <w:sz w:val="18"/>
        <w:szCs w:val="18"/>
      </w:rPr>
      <w:t>–</w:t>
    </w:r>
    <w:r w:rsidRPr="00EF23C6">
      <w:rPr>
        <w:color w:val="A6A6A6" w:themeColor="background1" w:themeShade="A6"/>
        <w:sz w:val="18"/>
        <w:szCs w:val="18"/>
      </w:rPr>
      <w:t xml:space="preserve"> </w:t>
    </w:r>
    <w:r>
      <w:rPr>
        <w:color w:val="A6A6A6" w:themeColor="background1" w:themeShade="A6"/>
        <w:sz w:val="18"/>
        <w:szCs w:val="18"/>
      </w:rPr>
      <w:t>Full Review</w:t>
    </w:r>
  </w:p>
  <w:p w14:paraId="163F2751" w14:textId="0111B342" w:rsidR="009B0847" w:rsidRPr="00415BC1" w:rsidRDefault="009B0847" w:rsidP="00415BC1">
    <w:pPr>
      <w:spacing w:after="0"/>
      <w:jc w:val="center"/>
      <w:rPr>
        <w:b/>
        <w:color w:val="A6A6A6" w:themeColor="background1" w:themeShade="A6"/>
        <w:sz w:val="18"/>
        <w:szCs w:val="18"/>
      </w:rPr>
    </w:pPr>
    <w:r>
      <w:rPr>
        <w:color w:val="A6A6A6" w:themeColor="background1" w:themeShade="A6"/>
        <w:sz w:val="18"/>
        <w:szCs w:val="18"/>
      </w:rPr>
      <w:t>Issue Date: November 2019</w:t>
    </w:r>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A30BB" w14:textId="77777777" w:rsidR="004535E1" w:rsidRPr="009F52F1" w:rsidRDefault="004535E1" w:rsidP="0013691B">
      <w:pPr>
        <w:spacing w:after="0" w:line="240" w:lineRule="auto"/>
      </w:pPr>
      <w:r w:rsidRPr="009F52F1">
        <w:separator/>
      </w:r>
    </w:p>
  </w:footnote>
  <w:footnote w:type="continuationSeparator" w:id="0">
    <w:p w14:paraId="58A8CB0A" w14:textId="77777777" w:rsidR="004535E1" w:rsidRPr="009F52F1" w:rsidRDefault="004535E1" w:rsidP="0013691B">
      <w:pPr>
        <w:spacing w:after="0" w:line="240" w:lineRule="auto"/>
      </w:pPr>
      <w:r w:rsidRPr="009F52F1">
        <w:continuationSeparator/>
      </w:r>
    </w:p>
  </w:footnote>
  <w:footnote w:type="continuationNotice" w:id="1">
    <w:p w14:paraId="4210F330" w14:textId="77777777" w:rsidR="004535E1" w:rsidRDefault="004535E1">
      <w:pPr>
        <w:spacing w:after="0" w:line="240" w:lineRule="auto"/>
      </w:pPr>
    </w:p>
  </w:footnote>
  <w:footnote w:id="2">
    <w:p w14:paraId="34C4E05E" w14:textId="77777777" w:rsidR="009B0847" w:rsidRDefault="009B0847" w:rsidP="00703B59">
      <w:pPr>
        <w:pStyle w:val="FootnoteText"/>
      </w:pPr>
      <w:r>
        <w:rPr>
          <w:rStyle w:val="FootnoteReference"/>
        </w:rPr>
        <w:footnoteRef/>
      </w:r>
      <w:r>
        <w:t xml:space="preserve"> </w:t>
      </w:r>
      <w:r w:rsidRPr="001358AD">
        <w:rPr>
          <w:szCs w:val="16"/>
        </w:rPr>
        <w:t>PAARs</w:t>
      </w:r>
      <w:r>
        <w:rPr>
          <w:szCs w:val="16"/>
        </w:rPr>
        <w:t xml:space="preserve"> </w:t>
      </w:r>
      <w:r w:rsidRPr="001358AD">
        <w:rPr>
          <w:szCs w:val="16"/>
        </w:rPr>
        <w:t>can only be submitted with the Funding Request. To complete a P</w:t>
      </w:r>
      <w:r>
        <w:rPr>
          <w:szCs w:val="16"/>
        </w:rPr>
        <w:t>AAR, fill-in the</w:t>
      </w:r>
      <w:r w:rsidRPr="001358AD">
        <w:rPr>
          <w:szCs w:val="16"/>
        </w:rPr>
        <w:t xml:space="preserve"> Excel template</w:t>
      </w:r>
      <w:r>
        <w:rPr>
          <w:szCs w:val="16"/>
        </w:rPr>
        <w:t xml:space="preserve"> that you will receive from the Global Fund Secretariat.</w:t>
      </w:r>
    </w:p>
  </w:footnote>
  <w:footnote w:id="3">
    <w:p w14:paraId="7FE03CBA" w14:textId="77777777" w:rsidR="009B0847" w:rsidRDefault="009B0847" w:rsidP="00703B59">
      <w:pPr>
        <w:pStyle w:val="FootnoteText"/>
      </w:pPr>
      <w:r>
        <w:rPr>
          <w:rStyle w:val="FootnoteReference"/>
        </w:rPr>
        <w:footnoteRef/>
      </w:r>
      <w:r w:rsidRPr="00890D60">
        <w:t>This is only relevant for applicants with designated matching funds as indicated in the allocation letter.</w:t>
      </w:r>
    </w:p>
    <w:p w14:paraId="5886AFD1" w14:textId="77777777" w:rsidR="009B0847" w:rsidRDefault="009B0847" w:rsidP="00703B59">
      <w:pPr>
        <w:pStyle w:val="FootnoteText"/>
      </w:pPr>
    </w:p>
  </w:footnote>
  <w:footnote w:id="4">
    <w:p w14:paraId="33485A57" w14:textId="1DA3E1C4" w:rsidR="009B0847" w:rsidRPr="00896E68" w:rsidRDefault="009B0847" w:rsidP="0024579D">
      <w:pPr>
        <w:autoSpaceDE w:val="0"/>
        <w:autoSpaceDN w:val="0"/>
        <w:spacing w:before="40" w:after="40" w:line="240" w:lineRule="auto"/>
        <w:rPr>
          <w:sz w:val="16"/>
          <w:szCs w:val="16"/>
        </w:rPr>
      </w:pPr>
      <w:r w:rsidRPr="00896E68">
        <w:rPr>
          <w:rStyle w:val="FootnoteReference"/>
          <w:sz w:val="16"/>
          <w:szCs w:val="16"/>
        </w:rPr>
        <w:footnoteRef/>
      </w:r>
      <w:r w:rsidRPr="00896E68">
        <w:rPr>
          <w:sz w:val="16"/>
          <w:szCs w:val="16"/>
        </w:rPr>
        <w:t xml:space="preserve"> An updated implementation arrangement map is </w:t>
      </w:r>
      <w:r w:rsidRPr="00896E68">
        <w:rPr>
          <w:rFonts w:asciiTheme="minorHAnsi" w:hAnsiTheme="minorHAnsi" w:cstheme="minorHAnsi"/>
          <w:sz w:val="16"/>
          <w:szCs w:val="16"/>
        </w:rPr>
        <w:t>mandatory if the program is continuing with the same PR(s). In cases where the PR is changing, the implementation arrangement map may be submitted at the grant-making stage.</w:t>
      </w:r>
      <w:r w:rsidRPr="00896E68">
        <w:rPr>
          <w:rFonts w:ascii="Segoe UI" w:hAnsi="Segoe UI" w:cs="Segoe UI"/>
          <w:color w:val="000000"/>
          <w:sz w:val="16"/>
          <w:szCs w:val="16"/>
        </w:rPr>
        <w:t xml:space="preserve"> </w:t>
      </w:r>
    </w:p>
    <w:p w14:paraId="6C0CD0AE" w14:textId="23CE0FFE" w:rsidR="009B0847" w:rsidRDefault="009B0847">
      <w:pPr>
        <w:pStyle w:val="FootnoteText"/>
      </w:pPr>
    </w:p>
  </w:footnote>
  <w:footnote w:id="5">
    <w:p w14:paraId="1CF3FD7C" w14:textId="0161E033" w:rsidR="009B0847" w:rsidRPr="005C32A6" w:rsidRDefault="009B0847">
      <w:pPr>
        <w:pStyle w:val="FootnoteText"/>
        <w:rPr>
          <w:rFonts w:asciiTheme="minorHAnsi" w:hAnsiTheme="minorHAnsi" w:cstheme="minorHAnsi"/>
        </w:rPr>
      </w:pPr>
      <w:r w:rsidRPr="005C32A6">
        <w:rPr>
          <w:rStyle w:val="FootnoteReference"/>
          <w:rFonts w:asciiTheme="minorHAnsi" w:hAnsiTheme="minorHAnsi" w:cstheme="minorHAnsi"/>
        </w:rPr>
        <w:footnoteRef/>
      </w:r>
      <w:r w:rsidRPr="005C32A6">
        <w:rPr>
          <w:rFonts w:asciiTheme="minorHAnsi" w:hAnsiTheme="minorHAnsi" w:cstheme="minorHAnsi"/>
        </w:rPr>
        <w:t xml:space="preserve"> </w:t>
      </w:r>
      <w:r>
        <w:rPr>
          <w:rFonts w:asciiTheme="minorHAnsi" w:hAnsiTheme="minorHAnsi" w:cstheme="minorHAnsi"/>
          <w:iCs/>
        </w:rPr>
        <w:t>N</w:t>
      </w:r>
      <w:r w:rsidRPr="005C32A6">
        <w:rPr>
          <w:rFonts w:asciiTheme="minorHAnsi" w:hAnsiTheme="minorHAnsi" w:cstheme="minorHAnsi"/>
          <w:iCs/>
        </w:rPr>
        <w:t>ote that information derived from the supporting documentation provided in response to the questions below, including information on funding landscape or domestic commitments, may be made publicly available by the Global Fund</w:t>
      </w:r>
      <w:r w:rsidRPr="005C32A6">
        <w:rPr>
          <w:rFonts w:asciiTheme="minorHAnsi" w:hAnsiTheme="minorHAnsi" w:cstheme="minorHAnsi"/>
        </w:rPr>
        <w:t>.</w:t>
      </w:r>
    </w:p>
  </w:footnote>
  <w:footnote w:id="6">
    <w:p w14:paraId="54A2E437" w14:textId="77777777" w:rsidR="009B0847" w:rsidRPr="00896E68" w:rsidRDefault="009B0847" w:rsidP="00226B41">
      <w:pPr>
        <w:pStyle w:val="FootnoteText"/>
        <w:rPr>
          <w:szCs w:val="16"/>
        </w:rPr>
      </w:pPr>
      <w:r w:rsidRPr="00896E68">
        <w:rPr>
          <w:rStyle w:val="FootnoteReference"/>
          <w:szCs w:val="16"/>
        </w:rPr>
        <w:footnoteRef/>
      </w:r>
      <w:r w:rsidRPr="00896E68">
        <w:rPr>
          <w:szCs w:val="16"/>
        </w:rPr>
        <w:t xml:space="preserve"> </w:t>
      </w:r>
      <w:bookmarkStart w:id="39" w:name="_Hlk14776208"/>
      <w:r w:rsidRPr="00896E68">
        <w:rPr>
          <w:szCs w:val="16"/>
        </w:rPr>
        <w:t>An updated implementation arrangement map is mandatory if the program is continuing with the same PR(s). In cases where the PR is changing, the implementation arrangement map may be submitted at the grant-making stage.</w:t>
      </w:r>
      <w:bookmarkEnd w:id="3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1B8A" w14:textId="38A720E3" w:rsidR="009B0847" w:rsidRPr="009F52F1" w:rsidRDefault="004535E1" w:rsidP="00D642CC">
    <w:pPr>
      <w:pStyle w:val="HeaderHidden"/>
    </w:pPr>
    <w:sdt>
      <w:sdtPr>
        <w:alias w:val="Form.ReportLocation"/>
        <w:tag w:val="{&quot;templafy&quot;:{&quot;id&quot;:&quot;df3addba-5040-40ab-9b8a-156bd632013e&quot;}}"/>
        <w:id w:val="-2087220409"/>
        <w:placeholder>
          <w:docPart w:val="184E481C97614ACFA5029A0F885399E6"/>
        </w:placeholder>
      </w:sdtPr>
      <w:sdtEndPr/>
      <w:sdtContent>
        <w:r w:rsidR="009B0847" w:rsidRPr="009F52F1">
          <w:t>Geneva</w:t>
        </w:r>
      </w:sdtContent>
    </w:sdt>
    <w:r w:rsidR="009B0847" w:rsidRPr="009F52F1">
      <w:t xml:space="preserve">   </w:t>
    </w:r>
    <w:sdt>
      <w:sdtPr>
        <w:alias w:val="Form.ReportCountry"/>
        <w:tag w:val="{&quot;templafy&quot;:{&quot;id&quot;:&quot;c0e2ba74-3394-4c55-b0cc-2fc8a393067e&quot;}}"/>
        <w:id w:val="2010402108"/>
        <w:placeholder>
          <w:docPart w:val="DefaultPlaceholder_-1854013440"/>
        </w:placeholder>
      </w:sdtPr>
      <w:sdtEndPr/>
      <w:sdtContent>
        <w:r w:rsidR="009B0847" w:rsidRPr="009F52F1">
          <w:t>Switzerland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7263" w14:textId="77777777" w:rsidR="009B0847" w:rsidRDefault="009B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6A59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226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3E66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0E7E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04B2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414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0E5A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D25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88E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9CAA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BB2"/>
    <w:multiLevelType w:val="multilevel"/>
    <w:tmpl w:val="8F7AD060"/>
    <w:styleLink w:val="NumbLstBullet"/>
    <w:lvl w:ilvl="0">
      <w:start w:val="1"/>
      <w:numFmt w:val="bullet"/>
      <w:pStyle w:val="Bullet1"/>
      <w:lvlText w:val=""/>
      <w:lvlJc w:val="left"/>
      <w:pPr>
        <w:tabs>
          <w:tab w:val="num" w:pos="397"/>
        </w:tabs>
        <w:ind w:left="397" w:hanging="397"/>
      </w:pPr>
      <w:rPr>
        <w:rFonts w:ascii="Wingdings" w:hAnsi="Wingdings" w:cs="Times New Roman" w:hint="default"/>
        <w:color w:val="auto"/>
      </w:rPr>
    </w:lvl>
    <w:lvl w:ilvl="1">
      <w:start w:val="1"/>
      <w:numFmt w:val="bullet"/>
      <w:pStyle w:val="Bullet2"/>
      <w:lvlText w:val=""/>
      <w:lvlJc w:val="left"/>
      <w:pPr>
        <w:tabs>
          <w:tab w:val="num" w:pos="794"/>
        </w:tabs>
        <w:ind w:left="794" w:hanging="397"/>
      </w:pPr>
      <w:rPr>
        <w:rFonts w:ascii="Wingdings" w:hAnsi="Wingdings" w:cs="Times New Roman" w:hint="default"/>
        <w:color w:val="auto"/>
      </w:rPr>
    </w:lvl>
    <w:lvl w:ilvl="2">
      <w:start w:val="1"/>
      <w:numFmt w:val="bullet"/>
      <w:pStyle w:val="Bullet3"/>
      <w:lvlText w:val=""/>
      <w:lvlJc w:val="left"/>
      <w:pPr>
        <w:tabs>
          <w:tab w:val="num" w:pos="1191"/>
        </w:tabs>
        <w:ind w:left="1191" w:hanging="397"/>
      </w:pPr>
      <w:rPr>
        <w:rFonts w:ascii="Wingdings" w:hAnsi="Wingdings" w:cs="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1" w15:restartNumberingAfterBreak="0">
    <w:nsid w:val="09A946F7"/>
    <w:multiLevelType w:val="hybridMultilevel"/>
    <w:tmpl w:val="BB5C4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F34A56"/>
    <w:multiLevelType w:val="hybridMultilevel"/>
    <w:tmpl w:val="DE808538"/>
    <w:lvl w:ilvl="0" w:tplc="58286BB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EB55AF3"/>
    <w:multiLevelType w:val="hybridMultilevel"/>
    <w:tmpl w:val="925679CE"/>
    <w:lvl w:ilvl="0" w:tplc="D320F3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344584"/>
    <w:multiLevelType w:val="hybridMultilevel"/>
    <w:tmpl w:val="E3000A16"/>
    <w:lvl w:ilvl="0" w:tplc="04090017">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576D6B"/>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B3C5A3D"/>
    <w:multiLevelType w:val="multilevel"/>
    <w:tmpl w:val="1E0632DE"/>
    <w:styleLink w:val="NumHeadingsLst"/>
    <w:lvl w:ilvl="0">
      <w:start w:val="1"/>
      <w:numFmt w:val="decimal"/>
      <w:pStyle w:val="Heading1"/>
      <w:lvlText w:val="%1."/>
      <w:lvlJc w:val="left"/>
      <w:pPr>
        <w:ind w:left="4077" w:hanging="567"/>
      </w:pPr>
      <w:rPr>
        <w:rFonts w:hint="default"/>
      </w:rPr>
    </w:lvl>
    <w:lvl w:ilvl="1">
      <w:start w:val="1"/>
      <w:numFmt w:val="decimal"/>
      <w:pStyle w:val="Heading2"/>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7" w15:restartNumberingAfterBreak="0">
    <w:nsid w:val="2C725AD9"/>
    <w:multiLevelType w:val="hybridMultilevel"/>
    <w:tmpl w:val="A14682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6F4DF2"/>
    <w:multiLevelType w:val="hybridMultilevel"/>
    <w:tmpl w:val="08420C2E"/>
    <w:lvl w:ilvl="0" w:tplc="04090017">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402CE"/>
    <w:multiLevelType w:val="hybridMultilevel"/>
    <w:tmpl w:val="9DA06988"/>
    <w:lvl w:ilvl="0" w:tplc="0409000F">
      <w:start w:val="1"/>
      <w:numFmt w:val="decimal"/>
      <w:lvlText w:val="%1."/>
      <w:lvlJc w:val="left"/>
      <w:pPr>
        <w:ind w:left="360" w:hanging="360"/>
      </w:pPr>
      <w:rPr>
        <w:rFonts w:hint="default"/>
      </w:rPr>
    </w:lvl>
    <w:lvl w:ilvl="1" w:tplc="BDC6CDD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AD6D71"/>
    <w:multiLevelType w:val="hybridMultilevel"/>
    <w:tmpl w:val="D23E3B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B20786"/>
    <w:multiLevelType w:val="multilevel"/>
    <w:tmpl w:val="A17A51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AB7B4B"/>
    <w:multiLevelType w:val="hybridMultilevel"/>
    <w:tmpl w:val="9834A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8D5EBD"/>
    <w:multiLevelType w:val="hybridMultilevel"/>
    <w:tmpl w:val="7E8C3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1A2A60"/>
    <w:multiLevelType w:val="hybridMultilevel"/>
    <w:tmpl w:val="B0F42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A3776B"/>
    <w:multiLevelType w:val="hybridMultilevel"/>
    <w:tmpl w:val="30A8F92A"/>
    <w:lvl w:ilvl="0" w:tplc="0409000F">
      <w:start w:val="1"/>
      <w:numFmt w:val="decimal"/>
      <w:lvlText w:val="%1."/>
      <w:lvlJc w:val="left"/>
      <w:pPr>
        <w:ind w:left="720" w:hanging="360"/>
      </w:pPr>
      <w:rPr>
        <w:rFonts w:hint="default"/>
      </w:rPr>
    </w:lvl>
    <w:lvl w:ilvl="1" w:tplc="63B4458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A43806"/>
    <w:multiLevelType w:val="multilevel"/>
    <w:tmpl w:val="E00CD0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500DFC"/>
    <w:multiLevelType w:val="hybridMultilevel"/>
    <w:tmpl w:val="59B4C5FC"/>
    <w:lvl w:ilvl="0" w:tplc="04090017">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30" w15:restartNumberingAfterBreak="0">
    <w:nsid w:val="4BC47034"/>
    <w:multiLevelType w:val="hybridMultilevel"/>
    <w:tmpl w:val="75B406E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CF31C0"/>
    <w:multiLevelType w:val="multilevel"/>
    <w:tmpl w:val="17A0D06E"/>
    <w:numStyleLink w:val="NumbListAlpha"/>
  </w:abstractNum>
  <w:abstractNum w:abstractNumId="32" w15:restartNumberingAfterBreak="0">
    <w:nsid w:val="50EB2012"/>
    <w:multiLevelType w:val="multilevel"/>
    <w:tmpl w:val="09C07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D8181C"/>
    <w:multiLevelType w:val="hybridMultilevel"/>
    <w:tmpl w:val="33743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06318B"/>
    <w:multiLevelType w:val="hybridMultilevel"/>
    <w:tmpl w:val="CDF25F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C881F4F"/>
    <w:multiLevelType w:val="hybridMultilevel"/>
    <w:tmpl w:val="02D861E6"/>
    <w:lvl w:ilvl="0" w:tplc="04090017">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AC1544"/>
    <w:multiLevelType w:val="hybridMultilevel"/>
    <w:tmpl w:val="0114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E26A55"/>
    <w:multiLevelType w:val="hybridMultilevel"/>
    <w:tmpl w:val="7BA0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A61F8E"/>
    <w:multiLevelType w:val="hybridMultilevel"/>
    <w:tmpl w:val="73EE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80A85"/>
    <w:multiLevelType w:val="hybridMultilevel"/>
    <w:tmpl w:val="9AC2B27A"/>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A6E34"/>
    <w:multiLevelType w:val="hybridMultilevel"/>
    <w:tmpl w:val="2266E85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2D7636"/>
    <w:multiLevelType w:val="hybridMultilevel"/>
    <w:tmpl w:val="9D149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5B29E4"/>
    <w:multiLevelType w:val="hybridMultilevel"/>
    <w:tmpl w:val="B29C91FA"/>
    <w:lvl w:ilvl="0" w:tplc="04090017">
      <w:start w:val="1"/>
      <w:numFmt w:val="lowerLetter"/>
      <w:lvlText w:val="%1)"/>
      <w:lvlJc w:val="left"/>
      <w:pPr>
        <w:ind w:left="360" w:hanging="360"/>
      </w:pPr>
      <w:rPr>
        <w:rFonts w:hint="default"/>
      </w:rPr>
    </w:lvl>
    <w:lvl w:ilvl="1" w:tplc="BDC6CDD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887637"/>
    <w:multiLevelType w:val="hybridMultilevel"/>
    <w:tmpl w:val="1E424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9"/>
  </w:num>
  <w:num w:numId="13">
    <w:abstractNumId w:val="16"/>
  </w:num>
  <w:num w:numId="14">
    <w:abstractNumId w:val="31"/>
  </w:num>
  <w:num w:numId="15">
    <w:abstractNumId w:val="18"/>
  </w:num>
  <w:num w:numId="16">
    <w:abstractNumId w:val="36"/>
  </w:num>
  <w:num w:numId="17">
    <w:abstractNumId w:val="15"/>
  </w:num>
  <w:num w:numId="18">
    <w:abstractNumId w:val="14"/>
  </w:num>
  <w:num w:numId="19">
    <w:abstractNumId w:val="35"/>
  </w:num>
  <w:num w:numId="20">
    <w:abstractNumId w:val="28"/>
  </w:num>
  <w:num w:numId="21">
    <w:abstractNumId w:val="34"/>
  </w:num>
  <w:num w:numId="22">
    <w:abstractNumId w:val="19"/>
  </w:num>
  <w:num w:numId="23">
    <w:abstractNumId w:val="39"/>
  </w:num>
  <w:num w:numId="24">
    <w:abstractNumId w:val="32"/>
  </w:num>
  <w:num w:numId="25">
    <w:abstractNumId w:val="27"/>
  </w:num>
  <w:num w:numId="26">
    <w:abstractNumId w:val="22"/>
  </w:num>
  <w:num w:numId="27">
    <w:abstractNumId w:val="40"/>
  </w:num>
  <w:num w:numId="28">
    <w:abstractNumId w:val="17"/>
  </w:num>
  <w:num w:numId="29">
    <w:abstractNumId w:val="44"/>
  </w:num>
  <w:num w:numId="30">
    <w:abstractNumId w:val="23"/>
  </w:num>
  <w:num w:numId="31">
    <w:abstractNumId w:val="26"/>
  </w:num>
  <w:num w:numId="32">
    <w:abstractNumId w:val="25"/>
  </w:num>
  <w:num w:numId="33">
    <w:abstractNumId w:val="11"/>
  </w:num>
  <w:num w:numId="34">
    <w:abstractNumId w:val="24"/>
  </w:num>
  <w:num w:numId="35">
    <w:abstractNumId w:val="12"/>
  </w:num>
  <w:num w:numId="36">
    <w:abstractNumId w:val="43"/>
  </w:num>
  <w:num w:numId="37">
    <w:abstractNumId w:val="21"/>
  </w:num>
  <w:num w:numId="38">
    <w:abstractNumId w:val="41"/>
  </w:num>
  <w:num w:numId="39">
    <w:abstractNumId w:val="30"/>
  </w:num>
  <w:num w:numId="40">
    <w:abstractNumId w:val="20"/>
  </w:num>
  <w:num w:numId="41">
    <w:abstractNumId w:val="38"/>
  </w:num>
  <w:num w:numId="42">
    <w:abstractNumId w:val="42"/>
  </w:num>
  <w:num w:numId="43">
    <w:abstractNumId w:val="33"/>
  </w:num>
  <w:num w:numId="44">
    <w:abstractNumId w:val="37"/>
  </w:num>
  <w:num w:numId="45">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defaultTabStop w:val="720"/>
  <w:characterSpacingControl w:val="doNotCompress"/>
  <w:hdrShapeDefaults>
    <o:shapedefaults v:ext="edit" spidmax="2049"/>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D8465B"/>
    <w:rsid w:val="000010E9"/>
    <w:rsid w:val="000011CB"/>
    <w:rsid w:val="00002121"/>
    <w:rsid w:val="0000248C"/>
    <w:rsid w:val="000027DE"/>
    <w:rsid w:val="00003615"/>
    <w:rsid w:val="000066AF"/>
    <w:rsid w:val="000067A2"/>
    <w:rsid w:val="000067AC"/>
    <w:rsid w:val="00006C9B"/>
    <w:rsid w:val="0000735D"/>
    <w:rsid w:val="0000780B"/>
    <w:rsid w:val="00010133"/>
    <w:rsid w:val="00011D89"/>
    <w:rsid w:val="00012D5F"/>
    <w:rsid w:val="0001679E"/>
    <w:rsid w:val="00020A3F"/>
    <w:rsid w:val="00021938"/>
    <w:rsid w:val="000226A7"/>
    <w:rsid w:val="00024539"/>
    <w:rsid w:val="00024DFE"/>
    <w:rsid w:val="00025B85"/>
    <w:rsid w:val="00026B43"/>
    <w:rsid w:val="0002709B"/>
    <w:rsid w:val="00027A77"/>
    <w:rsid w:val="00027D89"/>
    <w:rsid w:val="00031C81"/>
    <w:rsid w:val="00031E15"/>
    <w:rsid w:val="00034462"/>
    <w:rsid w:val="00034984"/>
    <w:rsid w:val="00036627"/>
    <w:rsid w:val="0003674B"/>
    <w:rsid w:val="0004129C"/>
    <w:rsid w:val="000413BC"/>
    <w:rsid w:val="000451C3"/>
    <w:rsid w:val="00047C4F"/>
    <w:rsid w:val="00051A41"/>
    <w:rsid w:val="00052C3F"/>
    <w:rsid w:val="00054E5F"/>
    <w:rsid w:val="000552DF"/>
    <w:rsid w:val="00057F5E"/>
    <w:rsid w:val="0006089C"/>
    <w:rsid w:val="000633B4"/>
    <w:rsid w:val="00064171"/>
    <w:rsid w:val="000646AC"/>
    <w:rsid w:val="00070F3D"/>
    <w:rsid w:val="00071982"/>
    <w:rsid w:val="00072D0C"/>
    <w:rsid w:val="00073636"/>
    <w:rsid w:val="00074EC1"/>
    <w:rsid w:val="000824DB"/>
    <w:rsid w:val="00082EEC"/>
    <w:rsid w:val="00083E3F"/>
    <w:rsid w:val="000875D3"/>
    <w:rsid w:val="00087C00"/>
    <w:rsid w:val="00087CD9"/>
    <w:rsid w:val="00090120"/>
    <w:rsid w:val="000924A0"/>
    <w:rsid w:val="00095777"/>
    <w:rsid w:val="00095B87"/>
    <w:rsid w:val="0009776D"/>
    <w:rsid w:val="000A4F5A"/>
    <w:rsid w:val="000B0A5E"/>
    <w:rsid w:val="000B10A4"/>
    <w:rsid w:val="000B412F"/>
    <w:rsid w:val="000B42F4"/>
    <w:rsid w:val="000C014C"/>
    <w:rsid w:val="000C27E7"/>
    <w:rsid w:val="000C377B"/>
    <w:rsid w:val="000C38EC"/>
    <w:rsid w:val="000C4145"/>
    <w:rsid w:val="000C4A65"/>
    <w:rsid w:val="000C647F"/>
    <w:rsid w:val="000C6718"/>
    <w:rsid w:val="000C6D7B"/>
    <w:rsid w:val="000C79C9"/>
    <w:rsid w:val="000D0B32"/>
    <w:rsid w:val="000D0CD2"/>
    <w:rsid w:val="000D1691"/>
    <w:rsid w:val="000D3875"/>
    <w:rsid w:val="000D447C"/>
    <w:rsid w:val="000D4498"/>
    <w:rsid w:val="000E257D"/>
    <w:rsid w:val="000E4E8B"/>
    <w:rsid w:val="000E4EBC"/>
    <w:rsid w:val="000E5BFC"/>
    <w:rsid w:val="000E666D"/>
    <w:rsid w:val="000E6C02"/>
    <w:rsid w:val="000E6FE3"/>
    <w:rsid w:val="000F2BAA"/>
    <w:rsid w:val="000F3529"/>
    <w:rsid w:val="000F55C3"/>
    <w:rsid w:val="000F5BD5"/>
    <w:rsid w:val="000F67F9"/>
    <w:rsid w:val="000F72F8"/>
    <w:rsid w:val="000F74ED"/>
    <w:rsid w:val="001052B0"/>
    <w:rsid w:val="00107095"/>
    <w:rsid w:val="00107284"/>
    <w:rsid w:val="00110820"/>
    <w:rsid w:val="00113B1C"/>
    <w:rsid w:val="001155D7"/>
    <w:rsid w:val="00115753"/>
    <w:rsid w:val="001229B2"/>
    <w:rsid w:val="0012723D"/>
    <w:rsid w:val="00131851"/>
    <w:rsid w:val="00133325"/>
    <w:rsid w:val="00133ACF"/>
    <w:rsid w:val="00135AB0"/>
    <w:rsid w:val="0013691B"/>
    <w:rsid w:val="00137E99"/>
    <w:rsid w:val="00137F37"/>
    <w:rsid w:val="00147DD4"/>
    <w:rsid w:val="00151A3B"/>
    <w:rsid w:val="001526C6"/>
    <w:rsid w:val="0015388D"/>
    <w:rsid w:val="001540E2"/>
    <w:rsid w:val="001608C9"/>
    <w:rsid w:val="00162927"/>
    <w:rsid w:val="00171C99"/>
    <w:rsid w:val="00172A9E"/>
    <w:rsid w:val="00173817"/>
    <w:rsid w:val="00175C83"/>
    <w:rsid w:val="0017600E"/>
    <w:rsid w:val="00177134"/>
    <w:rsid w:val="00180D6D"/>
    <w:rsid w:val="0018173D"/>
    <w:rsid w:val="0018557F"/>
    <w:rsid w:val="00187E3E"/>
    <w:rsid w:val="00193972"/>
    <w:rsid w:val="00194445"/>
    <w:rsid w:val="00196C55"/>
    <w:rsid w:val="00197AE7"/>
    <w:rsid w:val="001A04EB"/>
    <w:rsid w:val="001A06EB"/>
    <w:rsid w:val="001A1211"/>
    <w:rsid w:val="001A4726"/>
    <w:rsid w:val="001A543F"/>
    <w:rsid w:val="001B1C31"/>
    <w:rsid w:val="001B4CC6"/>
    <w:rsid w:val="001B52C3"/>
    <w:rsid w:val="001C0B8B"/>
    <w:rsid w:val="001C3DD1"/>
    <w:rsid w:val="001C4A0C"/>
    <w:rsid w:val="001C4F53"/>
    <w:rsid w:val="001C5E3F"/>
    <w:rsid w:val="001C7EFB"/>
    <w:rsid w:val="001D0181"/>
    <w:rsid w:val="001D275B"/>
    <w:rsid w:val="001D6A73"/>
    <w:rsid w:val="001E149E"/>
    <w:rsid w:val="001E17A7"/>
    <w:rsid w:val="001E2C84"/>
    <w:rsid w:val="001F07BB"/>
    <w:rsid w:val="001F146E"/>
    <w:rsid w:val="001F2C4E"/>
    <w:rsid w:val="001F3BE7"/>
    <w:rsid w:val="00202E7D"/>
    <w:rsid w:val="0020377F"/>
    <w:rsid w:val="00206C9F"/>
    <w:rsid w:val="0021073B"/>
    <w:rsid w:val="00211342"/>
    <w:rsid w:val="00212AFA"/>
    <w:rsid w:val="002137C2"/>
    <w:rsid w:val="00213D1D"/>
    <w:rsid w:val="00216474"/>
    <w:rsid w:val="002234D1"/>
    <w:rsid w:val="00223676"/>
    <w:rsid w:val="00223762"/>
    <w:rsid w:val="00226B41"/>
    <w:rsid w:val="00226DB6"/>
    <w:rsid w:val="0023031E"/>
    <w:rsid w:val="00231B99"/>
    <w:rsid w:val="002328F3"/>
    <w:rsid w:val="00233EAC"/>
    <w:rsid w:val="00234B6B"/>
    <w:rsid w:val="00235BB3"/>
    <w:rsid w:val="00235CA2"/>
    <w:rsid w:val="00236822"/>
    <w:rsid w:val="002368D8"/>
    <w:rsid w:val="0024020E"/>
    <w:rsid w:val="00240F31"/>
    <w:rsid w:val="002441D7"/>
    <w:rsid w:val="00244611"/>
    <w:rsid w:val="00245572"/>
    <w:rsid w:val="0024579D"/>
    <w:rsid w:val="00250AD1"/>
    <w:rsid w:val="0025351E"/>
    <w:rsid w:val="00253E50"/>
    <w:rsid w:val="00254D2F"/>
    <w:rsid w:val="00255849"/>
    <w:rsid w:val="00255C18"/>
    <w:rsid w:val="0025732A"/>
    <w:rsid w:val="00263BA7"/>
    <w:rsid w:val="00265F99"/>
    <w:rsid w:val="00266AEC"/>
    <w:rsid w:val="002706EF"/>
    <w:rsid w:val="0027163F"/>
    <w:rsid w:val="0027165B"/>
    <w:rsid w:val="00273746"/>
    <w:rsid w:val="00273956"/>
    <w:rsid w:val="00274D74"/>
    <w:rsid w:val="00274E90"/>
    <w:rsid w:val="0027552D"/>
    <w:rsid w:val="00276608"/>
    <w:rsid w:val="00280403"/>
    <w:rsid w:val="00281B38"/>
    <w:rsid w:val="00282420"/>
    <w:rsid w:val="00284808"/>
    <w:rsid w:val="00285E4F"/>
    <w:rsid w:val="00286387"/>
    <w:rsid w:val="00287C09"/>
    <w:rsid w:val="00287DBA"/>
    <w:rsid w:val="00293628"/>
    <w:rsid w:val="002938CB"/>
    <w:rsid w:val="0029796C"/>
    <w:rsid w:val="0029796F"/>
    <w:rsid w:val="002A1D61"/>
    <w:rsid w:val="002A2937"/>
    <w:rsid w:val="002A4684"/>
    <w:rsid w:val="002A5B89"/>
    <w:rsid w:val="002A72DB"/>
    <w:rsid w:val="002A7635"/>
    <w:rsid w:val="002A79E1"/>
    <w:rsid w:val="002B07E9"/>
    <w:rsid w:val="002B0F35"/>
    <w:rsid w:val="002C35FE"/>
    <w:rsid w:val="002C36EE"/>
    <w:rsid w:val="002C3CEB"/>
    <w:rsid w:val="002C5B70"/>
    <w:rsid w:val="002D111B"/>
    <w:rsid w:val="002D2602"/>
    <w:rsid w:val="002D2E13"/>
    <w:rsid w:val="002D700A"/>
    <w:rsid w:val="002D74F0"/>
    <w:rsid w:val="002E0550"/>
    <w:rsid w:val="002E17EC"/>
    <w:rsid w:val="002E2FC9"/>
    <w:rsid w:val="002E353B"/>
    <w:rsid w:val="002E65DA"/>
    <w:rsid w:val="002E7AA7"/>
    <w:rsid w:val="002E7B88"/>
    <w:rsid w:val="002F10A1"/>
    <w:rsid w:val="002F23B7"/>
    <w:rsid w:val="002F2507"/>
    <w:rsid w:val="002F2F7C"/>
    <w:rsid w:val="002F3609"/>
    <w:rsid w:val="002F3BFC"/>
    <w:rsid w:val="002F44D7"/>
    <w:rsid w:val="002F50AB"/>
    <w:rsid w:val="002F6CF4"/>
    <w:rsid w:val="002F7EEC"/>
    <w:rsid w:val="003021EE"/>
    <w:rsid w:val="00303F18"/>
    <w:rsid w:val="00304EE8"/>
    <w:rsid w:val="00307A74"/>
    <w:rsid w:val="003122A9"/>
    <w:rsid w:val="00313D6E"/>
    <w:rsid w:val="00314800"/>
    <w:rsid w:val="00315BCF"/>
    <w:rsid w:val="003162BA"/>
    <w:rsid w:val="00316F9E"/>
    <w:rsid w:val="003211C2"/>
    <w:rsid w:val="003276AB"/>
    <w:rsid w:val="00341B45"/>
    <w:rsid w:val="00342FC2"/>
    <w:rsid w:val="003436B1"/>
    <w:rsid w:val="003440ED"/>
    <w:rsid w:val="003446D4"/>
    <w:rsid w:val="00344AF7"/>
    <w:rsid w:val="00351972"/>
    <w:rsid w:val="003524C9"/>
    <w:rsid w:val="00354853"/>
    <w:rsid w:val="00357159"/>
    <w:rsid w:val="00362324"/>
    <w:rsid w:val="00363E5E"/>
    <w:rsid w:val="00364326"/>
    <w:rsid w:val="003662C7"/>
    <w:rsid w:val="0037420B"/>
    <w:rsid w:val="00376042"/>
    <w:rsid w:val="0038159D"/>
    <w:rsid w:val="0038486D"/>
    <w:rsid w:val="00384D58"/>
    <w:rsid w:val="00384F2A"/>
    <w:rsid w:val="0038681D"/>
    <w:rsid w:val="0039475A"/>
    <w:rsid w:val="00394C41"/>
    <w:rsid w:val="00395135"/>
    <w:rsid w:val="00397B12"/>
    <w:rsid w:val="003A0F8A"/>
    <w:rsid w:val="003A1F32"/>
    <w:rsid w:val="003A23BC"/>
    <w:rsid w:val="003A5189"/>
    <w:rsid w:val="003A5EB1"/>
    <w:rsid w:val="003A7307"/>
    <w:rsid w:val="003A76B4"/>
    <w:rsid w:val="003B09C8"/>
    <w:rsid w:val="003B19BC"/>
    <w:rsid w:val="003B406A"/>
    <w:rsid w:val="003B46E2"/>
    <w:rsid w:val="003B4F1C"/>
    <w:rsid w:val="003B5433"/>
    <w:rsid w:val="003B5AFA"/>
    <w:rsid w:val="003B65B8"/>
    <w:rsid w:val="003C1B00"/>
    <w:rsid w:val="003C20C5"/>
    <w:rsid w:val="003C31FD"/>
    <w:rsid w:val="003C3BC9"/>
    <w:rsid w:val="003C5187"/>
    <w:rsid w:val="003C550F"/>
    <w:rsid w:val="003C7B23"/>
    <w:rsid w:val="003C7EB2"/>
    <w:rsid w:val="003D07A0"/>
    <w:rsid w:val="003D0FA9"/>
    <w:rsid w:val="003D2A7B"/>
    <w:rsid w:val="003D4795"/>
    <w:rsid w:val="003D64DD"/>
    <w:rsid w:val="003D6A5B"/>
    <w:rsid w:val="003D70F4"/>
    <w:rsid w:val="003D767C"/>
    <w:rsid w:val="003E0C10"/>
    <w:rsid w:val="003E2423"/>
    <w:rsid w:val="003E4A78"/>
    <w:rsid w:val="003E5DCA"/>
    <w:rsid w:val="003E6336"/>
    <w:rsid w:val="003E74DA"/>
    <w:rsid w:val="003F167F"/>
    <w:rsid w:val="003F2658"/>
    <w:rsid w:val="003F3938"/>
    <w:rsid w:val="003F44C2"/>
    <w:rsid w:val="003F4F26"/>
    <w:rsid w:val="003F7225"/>
    <w:rsid w:val="00401BAE"/>
    <w:rsid w:val="00402754"/>
    <w:rsid w:val="0040371B"/>
    <w:rsid w:val="00404332"/>
    <w:rsid w:val="00410349"/>
    <w:rsid w:val="00410876"/>
    <w:rsid w:val="00410AD8"/>
    <w:rsid w:val="00412FE1"/>
    <w:rsid w:val="00413D25"/>
    <w:rsid w:val="00415BC1"/>
    <w:rsid w:val="0042065C"/>
    <w:rsid w:val="00421004"/>
    <w:rsid w:val="00421F72"/>
    <w:rsid w:val="0042250C"/>
    <w:rsid w:val="00424998"/>
    <w:rsid w:val="00425DE1"/>
    <w:rsid w:val="00427A83"/>
    <w:rsid w:val="004345DC"/>
    <w:rsid w:val="00434AFE"/>
    <w:rsid w:val="0043699F"/>
    <w:rsid w:val="00436C7B"/>
    <w:rsid w:val="00437DC3"/>
    <w:rsid w:val="004414E5"/>
    <w:rsid w:val="00441F5A"/>
    <w:rsid w:val="00442603"/>
    <w:rsid w:val="004431F4"/>
    <w:rsid w:val="00443D5E"/>
    <w:rsid w:val="004456B9"/>
    <w:rsid w:val="004476BB"/>
    <w:rsid w:val="00451CBE"/>
    <w:rsid w:val="004535E1"/>
    <w:rsid w:val="00453C7D"/>
    <w:rsid w:val="00453E09"/>
    <w:rsid w:val="004544BB"/>
    <w:rsid w:val="004551D2"/>
    <w:rsid w:val="00456AC4"/>
    <w:rsid w:val="0045724C"/>
    <w:rsid w:val="0045758E"/>
    <w:rsid w:val="00460061"/>
    <w:rsid w:val="00460719"/>
    <w:rsid w:val="00464F55"/>
    <w:rsid w:val="00466677"/>
    <w:rsid w:val="00472475"/>
    <w:rsid w:val="00473909"/>
    <w:rsid w:val="00476FD2"/>
    <w:rsid w:val="00477290"/>
    <w:rsid w:val="004807FB"/>
    <w:rsid w:val="004814C9"/>
    <w:rsid w:val="0048390F"/>
    <w:rsid w:val="004840EC"/>
    <w:rsid w:val="00485066"/>
    <w:rsid w:val="00485471"/>
    <w:rsid w:val="00485475"/>
    <w:rsid w:val="00487844"/>
    <w:rsid w:val="00490205"/>
    <w:rsid w:val="00492D79"/>
    <w:rsid w:val="004A0826"/>
    <w:rsid w:val="004A2FF8"/>
    <w:rsid w:val="004A7340"/>
    <w:rsid w:val="004A7723"/>
    <w:rsid w:val="004B1A92"/>
    <w:rsid w:val="004B4C1B"/>
    <w:rsid w:val="004B50E0"/>
    <w:rsid w:val="004B567E"/>
    <w:rsid w:val="004B787E"/>
    <w:rsid w:val="004C0C84"/>
    <w:rsid w:val="004C0D2F"/>
    <w:rsid w:val="004C44FB"/>
    <w:rsid w:val="004C686E"/>
    <w:rsid w:val="004D0212"/>
    <w:rsid w:val="004D08D4"/>
    <w:rsid w:val="004D2817"/>
    <w:rsid w:val="004D2A15"/>
    <w:rsid w:val="004D4827"/>
    <w:rsid w:val="004D5DDD"/>
    <w:rsid w:val="004D77CD"/>
    <w:rsid w:val="004E0FA4"/>
    <w:rsid w:val="004E2EAE"/>
    <w:rsid w:val="004F1255"/>
    <w:rsid w:val="004F2E1A"/>
    <w:rsid w:val="004F54B5"/>
    <w:rsid w:val="004F750D"/>
    <w:rsid w:val="005022FF"/>
    <w:rsid w:val="0050511F"/>
    <w:rsid w:val="005054A8"/>
    <w:rsid w:val="00513B22"/>
    <w:rsid w:val="00513DDC"/>
    <w:rsid w:val="00514584"/>
    <w:rsid w:val="005147D1"/>
    <w:rsid w:val="00515207"/>
    <w:rsid w:val="00515F88"/>
    <w:rsid w:val="005162A3"/>
    <w:rsid w:val="00520F5A"/>
    <w:rsid w:val="005215BA"/>
    <w:rsid w:val="00521D72"/>
    <w:rsid w:val="00522073"/>
    <w:rsid w:val="00522C6C"/>
    <w:rsid w:val="00525B3A"/>
    <w:rsid w:val="005278EF"/>
    <w:rsid w:val="00530B4F"/>
    <w:rsid w:val="00531873"/>
    <w:rsid w:val="00532812"/>
    <w:rsid w:val="00535082"/>
    <w:rsid w:val="0053742B"/>
    <w:rsid w:val="005377B6"/>
    <w:rsid w:val="0053784E"/>
    <w:rsid w:val="005422B6"/>
    <w:rsid w:val="005432BD"/>
    <w:rsid w:val="005441EB"/>
    <w:rsid w:val="00546089"/>
    <w:rsid w:val="0054695B"/>
    <w:rsid w:val="00551E26"/>
    <w:rsid w:val="0055523F"/>
    <w:rsid w:val="0055531F"/>
    <w:rsid w:val="00556795"/>
    <w:rsid w:val="005578E8"/>
    <w:rsid w:val="00560074"/>
    <w:rsid w:val="00560096"/>
    <w:rsid w:val="00560302"/>
    <w:rsid w:val="005610BB"/>
    <w:rsid w:val="005612B1"/>
    <w:rsid w:val="00562B3D"/>
    <w:rsid w:val="005659E0"/>
    <w:rsid w:val="005676D4"/>
    <w:rsid w:val="00570C66"/>
    <w:rsid w:val="00570FC3"/>
    <w:rsid w:val="00572198"/>
    <w:rsid w:val="00572764"/>
    <w:rsid w:val="00572A19"/>
    <w:rsid w:val="00572F09"/>
    <w:rsid w:val="00574C96"/>
    <w:rsid w:val="00574F76"/>
    <w:rsid w:val="00576254"/>
    <w:rsid w:val="005773C8"/>
    <w:rsid w:val="0058415B"/>
    <w:rsid w:val="0058495D"/>
    <w:rsid w:val="00591596"/>
    <w:rsid w:val="0059255A"/>
    <w:rsid w:val="005934BD"/>
    <w:rsid w:val="005934DB"/>
    <w:rsid w:val="00595ADD"/>
    <w:rsid w:val="0059650E"/>
    <w:rsid w:val="00596F7B"/>
    <w:rsid w:val="005A02BE"/>
    <w:rsid w:val="005A32E0"/>
    <w:rsid w:val="005A4F46"/>
    <w:rsid w:val="005A5532"/>
    <w:rsid w:val="005A6B19"/>
    <w:rsid w:val="005A7DE2"/>
    <w:rsid w:val="005B03D1"/>
    <w:rsid w:val="005B07A2"/>
    <w:rsid w:val="005B30A5"/>
    <w:rsid w:val="005C085B"/>
    <w:rsid w:val="005C0E15"/>
    <w:rsid w:val="005C32A6"/>
    <w:rsid w:val="005C3C46"/>
    <w:rsid w:val="005C4C3E"/>
    <w:rsid w:val="005C6A8B"/>
    <w:rsid w:val="005D02D2"/>
    <w:rsid w:val="005D2037"/>
    <w:rsid w:val="005D2909"/>
    <w:rsid w:val="005D4000"/>
    <w:rsid w:val="005D52EF"/>
    <w:rsid w:val="005D5712"/>
    <w:rsid w:val="005D63AE"/>
    <w:rsid w:val="005D7ECD"/>
    <w:rsid w:val="005E0753"/>
    <w:rsid w:val="005E0AB3"/>
    <w:rsid w:val="005E0F31"/>
    <w:rsid w:val="005E1DEF"/>
    <w:rsid w:val="005E6229"/>
    <w:rsid w:val="005F1115"/>
    <w:rsid w:val="005F1998"/>
    <w:rsid w:val="005F24F9"/>
    <w:rsid w:val="005F6D34"/>
    <w:rsid w:val="005F7F9E"/>
    <w:rsid w:val="00605A76"/>
    <w:rsid w:val="00610AD8"/>
    <w:rsid w:val="00612221"/>
    <w:rsid w:val="0061267C"/>
    <w:rsid w:val="006135C2"/>
    <w:rsid w:val="00614419"/>
    <w:rsid w:val="0062012A"/>
    <w:rsid w:val="00620F74"/>
    <w:rsid w:val="006211D0"/>
    <w:rsid w:val="00622D6C"/>
    <w:rsid w:val="00623DC0"/>
    <w:rsid w:val="006253D6"/>
    <w:rsid w:val="00625E2D"/>
    <w:rsid w:val="00626D81"/>
    <w:rsid w:val="0063467F"/>
    <w:rsid w:val="006423BE"/>
    <w:rsid w:val="00644ADF"/>
    <w:rsid w:val="0064597B"/>
    <w:rsid w:val="00647EC6"/>
    <w:rsid w:val="00650BA3"/>
    <w:rsid w:val="00651AFC"/>
    <w:rsid w:val="006533BD"/>
    <w:rsid w:val="00655127"/>
    <w:rsid w:val="0065613D"/>
    <w:rsid w:val="00660CDA"/>
    <w:rsid w:val="00662DAA"/>
    <w:rsid w:val="0066449C"/>
    <w:rsid w:val="00667DF0"/>
    <w:rsid w:val="00671FE5"/>
    <w:rsid w:val="0067287B"/>
    <w:rsid w:val="00672B5C"/>
    <w:rsid w:val="00673318"/>
    <w:rsid w:val="00673D5D"/>
    <w:rsid w:val="0067573C"/>
    <w:rsid w:val="00675C66"/>
    <w:rsid w:val="00677732"/>
    <w:rsid w:val="00680F60"/>
    <w:rsid w:val="00681ABF"/>
    <w:rsid w:val="00682891"/>
    <w:rsid w:val="00684A6B"/>
    <w:rsid w:val="00691D78"/>
    <w:rsid w:val="006928DF"/>
    <w:rsid w:val="00692E5F"/>
    <w:rsid w:val="006939E9"/>
    <w:rsid w:val="00693DDD"/>
    <w:rsid w:val="006940E4"/>
    <w:rsid w:val="006A3DFD"/>
    <w:rsid w:val="006A64BD"/>
    <w:rsid w:val="006B17B4"/>
    <w:rsid w:val="006B2AF6"/>
    <w:rsid w:val="006B2E0B"/>
    <w:rsid w:val="006B4A95"/>
    <w:rsid w:val="006B5836"/>
    <w:rsid w:val="006B5E85"/>
    <w:rsid w:val="006C1655"/>
    <w:rsid w:val="006C1AD9"/>
    <w:rsid w:val="006C48D2"/>
    <w:rsid w:val="006D0956"/>
    <w:rsid w:val="006D65C9"/>
    <w:rsid w:val="006D7841"/>
    <w:rsid w:val="006D7E70"/>
    <w:rsid w:val="006D7EAB"/>
    <w:rsid w:val="006E0942"/>
    <w:rsid w:val="006E0E32"/>
    <w:rsid w:val="006E2E01"/>
    <w:rsid w:val="006E3D54"/>
    <w:rsid w:val="006E3EB3"/>
    <w:rsid w:val="006E4D18"/>
    <w:rsid w:val="006E4FFE"/>
    <w:rsid w:val="006E6875"/>
    <w:rsid w:val="006E7C05"/>
    <w:rsid w:val="006F03AE"/>
    <w:rsid w:val="006F2B28"/>
    <w:rsid w:val="006F615A"/>
    <w:rsid w:val="00703B59"/>
    <w:rsid w:val="007043C7"/>
    <w:rsid w:val="00704B5C"/>
    <w:rsid w:val="007054D5"/>
    <w:rsid w:val="00706746"/>
    <w:rsid w:val="007069D5"/>
    <w:rsid w:val="00707097"/>
    <w:rsid w:val="00707431"/>
    <w:rsid w:val="0070790F"/>
    <w:rsid w:val="00710A12"/>
    <w:rsid w:val="00710EB5"/>
    <w:rsid w:val="007111D3"/>
    <w:rsid w:val="00717EAA"/>
    <w:rsid w:val="00720B79"/>
    <w:rsid w:val="00722612"/>
    <w:rsid w:val="007258A3"/>
    <w:rsid w:val="00733E22"/>
    <w:rsid w:val="0073424C"/>
    <w:rsid w:val="007346DA"/>
    <w:rsid w:val="007418FD"/>
    <w:rsid w:val="007440CB"/>
    <w:rsid w:val="00744405"/>
    <w:rsid w:val="0074469F"/>
    <w:rsid w:val="007447B4"/>
    <w:rsid w:val="00745748"/>
    <w:rsid w:val="00750314"/>
    <w:rsid w:val="007543E4"/>
    <w:rsid w:val="00756D32"/>
    <w:rsid w:val="0075707F"/>
    <w:rsid w:val="00760AF4"/>
    <w:rsid w:val="00763A9E"/>
    <w:rsid w:val="007662E4"/>
    <w:rsid w:val="00766D19"/>
    <w:rsid w:val="00770955"/>
    <w:rsid w:val="00771D1C"/>
    <w:rsid w:val="00771E22"/>
    <w:rsid w:val="00772384"/>
    <w:rsid w:val="00772F84"/>
    <w:rsid w:val="00774C5A"/>
    <w:rsid w:val="007751BD"/>
    <w:rsid w:val="00777F70"/>
    <w:rsid w:val="00785596"/>
    <w:rsid w:val="00785902"/>
    <w:rsid w:val="00786DDE"/>
    <w:rsid w:val="00794B6D"/>
    <w:rsid w:val="00794CE6"/>
    <w:rsid w:val="00795A51"/>
    <w:rsid w:val="00797B90"/>
    <w:rsid w:val="007A2FC0"/>
    <w:rsid w:val="007A59CE"/>
    <w:rsid w:val="007A5D57"/>
    <w:rsid w:val="007B0B7A"/>
    <w:rsid w:val="007B2D93"/>
    <w:rsid w:val="007B3337"/>
    <w:rsid w:val="007B3508"/>
    <w:rsid w:val="007B37C1"/>
    <w:rsid w:val="007B4F8C"/>
    <w:rsid w:val="007B5B88"/>
    <w:rsid w:val="007B714C"/>
    <w:rsid w:val="007B7DB9"/>
    <w:rsid w:val="007C0508"/>
    <w:rsid w:val="007C1E88"/>
    <w:rsid w:val="007C72C8"/>
    <w:rsid w:val="007D0AE1"/>
    <w:rsid w:val="007D1372"/>
    <w:rsid w:val="007E0555"/>
    <w:rsid w:val="007E276B"/>
    <w:rsid w:val="007E2CEB"/>
    <w:rsid w:val="007E3A98"/>
    <w:rsid w:val="007E7DE7"/>
    <w:rsid w:val="007F1274"/>
    <w:rsid w:val="007F213F"/>
    <w:rsid w:val="007F2C9E"/>
    <w:rsid w:val="007F3337"/>
    <w:rsid w:val="007F6CC2"/>
    <w:rsid w:val="0080175F"/>
    <w:rsid w:val="00803D3D"/>
    <w:rsid w:val="00805279"/>
    <w:rsid w:val="008069BD"/>
    <w:rsid w:val="008071B5"/>
    <w:rsid w:val="00807F43"/>
    <w:rsid w:val="008129C4"/>
    <w:rsid w:val="00814271"/>
    <w:rsid w:val="00815D39"/>
    <w:rsid w:val="00820F31"/>
    <w:rsid w:val="008213AC"/>
    <w:rsid w:val="00822D0E"/>
    <w:rsid w:val="00823A34"/>
    <w:rsid w:val="00824C2F"/>
    <w:rsid w:val="00834B6F"/>
    <w:rsid w:val="008361DB"/>
    <w:rsid w:val="00844368"/>
    <w:rsid w:val="008514B0"/>
    <w:rsid w:val="00851B9B"/>
    <w:rsid w:val="00852287"/>
    <w:rsid w:val="00856EB2"/>
    <w:rsid w:val="00861A97"/>
    <w:rsid w:val="008638F2"/>
    <w:rsid w:val="00863E9E"/>
    <w:rsid w:val="00864637"/>
    <w:rsid w:val="00865693"/>
    <w:rsid w:val="00865D01"/>
    <w:rsid w:val="0086619D"/>
    <w:rsid w:val="008664A6"/>
    <w:rsid w:val="00866542"/>
    <w:rsid w:val="00866651"/>
    <w:rsid w:val="00867307"/>
    <w:rsid w:val="00871EB7"/>
    <w:rsid w:val="00872E0D"/>
    <w:rsid w:val="008742EC"/>
    <w:rsid w:val="00883367"/>
    <w:rsid w:val="00884BB8"/>
    <w:rsid w:val="00884C06"/>
    <w:rsid w:val="0088647A"/>
    <w:rsid w:val="0089117B"/>
    <w:rsid w:val="00891DE7"/>
    <w:rsid w:val="00893217"/>
    <w:rsid w:val="00896E68"/>
    <w:rsid w:val="008A0669"/>
    <w:rsid w:val="008A22E1"/>
    <w:rsid w:val="008A2F57"/>
    <w:rsid w:val="008A3410"/>
    <w:rsid w:val="008B3BF5"/>
    <w:rsid w:val="008B3CEF"/>
    <w:rsid w:val="008B4CC6"/>
    <w:rsid w:val="008B79EF"/>
    <w:rsid w:val="008C0962"/>
    <w:rsid w:val="008C20AC"/>
    <w:rsid w:val="008C3117"/>
    <w:rsid w:val="008C3BB6"/>
    <w:rsid w:val="008C3DFE"/>
    <w:rsid w:val="008C4D9D"/>
    <w:rsid w:val="008C4FE0"/>
    <w:rsid w:val="008C5398"/>
    <w:rsid w:val="008C7619"/>
    <w:rsid w:val="008D0D5C"/>
    <w:rsid w:val="008D13E0"/>
    <w:rsid w:val="008D15EE"/>
    <w:rsid w:val="008D16A1"/>
    <w:rsid w:val="008D252C"/>
    <w:rsid w:val="008D3C06"/>
    <w:rsid w:val="008D56C7"/>
    <w:rsid w:val="008D5732"/>
    <w:rsid w:val="008D6BD9"/>
    <w:rsid w:val="008D6ED7"/>
    <w:rsid w:val="008E0054"/>
    <w:rsid w:val="008E10AC"/>
    <w:rsid w:val="008E2EA6"/>
    <w:rsid w:val="008E697E"/>
    <w:rsid w:val="008F586B"/>
    <w:rsid w:val="009018B1"/>
    <w:rsid w:val="009026A1"/>
    <w:rsid w:val="00904DE0"/>
    <w:rsid w:val="00904DE4"/>
    <w:rsid w:val="0090611F"/>
    <w:rsid w:val="00906555"/>
    <w:rsid w:val="00906CDC"/>
    <w:rsid w:val="00910134"/>
    <w:rsid w:val="00910C10"/>
    <w:rsid w:val="00912EEC"/>
    <w:rsid w:val="00917034"/>
    <w:rsid w:val="009203E3"/>
    <w:rsid w:val="00920880"/>
    <w:rsid w:val="009209C9"/>
    <w:rsid w:val="0092253D"/>
    <w:rsid w:val="009250CD"/>
    <w:rsid w:val="00931AFF"/>
    <w:rsid w:val="009341F1"/>
    <w:rsid w:val="0093555B"/>
    <w:rsid w:val="009377B1"/>
    <w:rsid w:val="00940386"/>
    <w:rsid w:val="0094167C"/>
    <w:rsid w:val="0094167D"/>
    <w:rsid w:val="00942CCA"/>
    <w:rsid w:val="00945196"/>
    <w:rsid w:val="009479D6"/>
    <w:rsid w:val="00952143"/>
    <w:rsid w:val="00953A8B"/>
    <w:rsid w:val="00954B54"/>
    <w:rsid w:val="00954F49"/>
    <w:rsid w:val="00955E1A"/>
    <w:rsid w:val="00957A4D"/>
    <w:rsid w:val="00961000"/>
    <w:rsid w:val="00961372"/>
    <w:rsid w:val="00961B5F"/>
    <w:rsid w:val="00965128"/>
    <w:rsid w:val="00966EBC"/>
    <w:rsid w:val="0097241D"/>
    <w:rsid w:val="00973B9A"/>
    <w:rsid w:val="009751BE"/>
    <w:rsid w:val="009755A2"/>
    <w:rsid w:val="00975D66"/>
    <w:rsid w:val="0097604A"/>
    <w:rsid w:val="00977695"/>
    <w:rsid w:val="00977BE6"/>
    <w:rsid w:val="0098274C"/>
    <w:rsid w:val="0098553B"/>
    <w:rsid w:val="00985BF5"/>
    <w:rsid w:val="00986301"/>
    <w:rsid w:val="0098682A"/>
    <w:rsid w:val="00991924"/>
    <w:rsid w:val="0099505A"/>
    <w:rsid w:val="00996130"/>
    <w:rsid w:val="00997BF2"/>
    <w:rsid w:val="009A28E5"/>
    <w:rsid w:val="009A2A80"/>
    <w:rsid w:val="009A2E88"/>
    <w:rsid w:val="009A6DE4"/>
    <w:rsid w:val="009B0847"/>
    <w:rsid w:val="009B2486"/>
    <w:rsid w:val="009B5AD9"/>
    <w:rsid w:val="009B67B1"/>
    <w:rsid w:val="009B6C0D"/>
    <w:rsid w:val="009C277F"/>
    <w:rsid w:val="009C57B7"/>
    <w:rsid w:val="009C5C34"/>
    <w:rsid w:val="009C738A"/>
    <w:rsid w:val="009D3ABB"/>
    <w:rsid w:val="009D3CF6"/>
    <w:rsid w:val="009D46E1"/>
    <w:rsid w:val="009D671C"/>
    <w:rsid w:val="009D7DB6"/>
    <w:rsid w:val="009E08D0"/>
    <w:rsid w:val="009E12B8"/>
    <w:rsid w:val="009E42A0"/>
    <w:rsid w:val="009E6642"/>
    <w:rsid w:val="009F0C9D"/>
    <w:rsid w:val="009F1775"/>
    <w:rsid w:val="009F1A4B"/>
    <w:rsid w:val="009F1F7D"/>
    <w:rsid w:val="009F52F1"/>
    <w:rsid w:val="00A020B5"/>
    <w:rsid w:val="00A0427F"/>
    <w:rsid w:val="00A07CAF"/>
    <w:rsid w:val="00A10066"/>
    <w:rsid w:val="00A10742"/>
    <w:rsid w:val="00A10DAE"/>
    <w:rsid w:val="00A13A2F"/>
    <w:rsid w:val="00A13C52"/>
    <w:rsid w:val="00A13EB5"/>
    <w:rsid w:val="00A1688D"/>
    <w:rsid w:val="00A16982"/>
    <w:rsid w:val="00A200CE"/>
    <w:rsid w:val="00A24EE3"/>
    <w:rsid w:val="00A27306"/>
    <w:rsid w:val="00A321C0"/>
    <w:rsid w:val="00A33423"/>
    <w:rsid w:val="00A334C0"/>
    <w:rsid w:val="00A33760"/>
    <w:rsid w:val="00A34024"/>
    <w:rsid w:val="00A3464D"/>
    <w:rsid w:val="00A372CB"/>
    <w:rsid w:val="00A40C93"/>
    <w:rsid w:val="00A41305"/>
    <w:rsid w:val="00A425D8"/>
    <w:rsid w:val="00A42939"/>
    <w:rsid w:val="00A436FD"/>
    <w:rsid w:val="00A4492A"/>
    <w:rsid w:val="00A46C72"/>
    <w:rsid w:val="00A46FDC"/>
    <w:rsid w:val="00A477B6"/>
    <w:rsid w:val="00A51458"/>
    <w:rsid w:val="00A518C8"/>
    <w:rsid w:val="00A52C7C"/>
    <w:rsid w:val="00A52D26"/>
    <w:rsid w:val="00A54AAB"/>
    <w:rsid w:val="00A55502"/>
    <w:rsid w:val="00A578F2"/>
    <w:rsid w:val="00A57DEB"/>
    <w:rsid w:val="00A6327A"/>
    <w:rsid w:val="00A64736"/>
    <w:rsid w:val="00A64740"/>
    <w:rsid w:val="00A64EDA"/>
    <w:rsid w:val="00A676BA"/>
    <w:rsid w:val="00A70C41"/>
    <w:rsid w:val="00A71C40"/>
    <w:rsid w:val="00A77789"/>
    <w:rsid w:val="00A77CCB"/>
    <w:rsid w:val="00A8033C"/>
    <w:rsid w:val="00A80BD5"/>
    <w:rsid w:val="00A85062"/>
    <w:rsid w:val="00A870B7"/>
    <w:rsid w:val="00A912A7"/>
    <w:rsid w:val="00A92F15"/>
    <w:rsid w:val="00A938D0"/>
    <w:rsid w:val="00AA0E17"/>
    <w:rsid w:val="00AA1E00"/>
    <w:rsid w:val="00AA4898"/>
    <w:rsid w:val="00AA4E09"/>
    <w:rsid w:val="00AA502B"/>
    <w:rsid w:val="00AA6133"/>
    <w:rsid w:val="00AB287C"/>
    <w:rsid w:val="00AB3709"/>
    <w:rsid w:val="00AC1B8E"/>
    <w:rsid w:val="00AD2942"/>
    <w:rsid w:val="00AD462A"/>
    <w:rsid w:val="00AD7D8D"/>
    <w:rsid w:val="00AE0D3B"/>
    <w:rsid w:val="00AE25DE"/>
    <w:rsid w:val="00AE4819"/>
    <w:rsid w:val="00AE5564"/>
    <w:rsid w:val="00AE7DD0"/>
    <w:rsid w:val="00AF0843"/>
    <w:rsid w:val="00AF19B0"/>
    <w:rsid w:val="00AF2473"/>
    <w:rsid w:val="00AF4770"/>
    <w:rsid w:val="00B010F2"/>
    <w:rsid w:val="00B05682"/>
    <w:rsid w:val="00B05D13"/>
    <w:rsid w:val="00B05D67"/>
    <w:rsid w:val="00B0614E"/>
    <w:rsid w:val="00B072B0"/>
    <w:rsid w:val="00B107E0"/>
    <w:rsid w:val="00B10B51"/>
    <w:rsid w:val="00B14F65"/>
    <w:rsid w:val="00B175AC"/>
    <w:rsid w:val="00B20C4E"/>
    <w:rsid w:val="00B20D45"/>
    <w:rsid w:val="00B227F3"/>
    <w:rsid w:val="00B237A9"/>
    <w:rsid w:val="00B256D1"/>
    <w:rsid w:val="00B25E0F"/>
    <w:rsid w:val="00B266D3"/>
    <w:rsid w:val="00B26AF1"/>
    <w:rsid w:val="00B27189"/>
    <w:rsid w:val="00B271DB"/>
    <w:rsid w:val="00B274D2"/>
    <w:rsid w:val="00B27A84"/>
    <w:rsid w:val="00B305C8"/>
    <w:rsid w:val="00B30F7B"/>
    <w:rsid w:val="00B3405A"/>
    <w:rsid w:val="00B35034"/>
    <w:rsid w:val="00B3711E"/>
    <w:rsid w:val="00B420FC"/>
    <w:rsid w:val="00B4327B"/>
    <w:rsid w:val="00B43365"/>
    <w:rsid w:val="00B43E90"/>
    <w:rsid w:val="00B44D01"/>
    <w:rsid w:val="00B44E2C"/>
    <w:rsid w:val="00B45357"/>
    <w:rsid w:val="00B4600D"/>
    <w:rsid w:val="00B46BEF"/>
    <w:rsid w:val="00B46EDC"/>
    <w:rsid w:val="00B501E9"/>
    <w:rsid w:val="00B533CE"/>
    <w:rsid w:val="00B57683"/>
    <w:rsid w:val="00B57FC0"/>
    <w:rsid w:val="00B60A27"/>
    <w:rsid w:val="00B60E99"/>
    <w:rsid w:val="00B60EE5"/>
    <w:rsid w:val="00B61649"/>
    <w:rsid w:val="00B61CAA"/>
    <w:rsid w:val="00B64FBE"/>
    <w:rsid w:val="00B654E1"/>
    <w:rsid w:val="00B656A9"/>
    <w:rsid w:val="00B65AEB"/>
    <w:rsid w:val="00B66DCB"/>
    <w:rsid w:val="00B677ED"/>
    <w:rsid w:val="00B716AE"/>
    <w:rsid w:val="00B75BB0"/>
    <w:rsid w:val="00B80E55"/>
    <w:rsid w:val="00B813BB"/>
    <w:rsid w:val="00B816D4"/>
    <w:rsid w:val="00B82791"/>
    <w:rsid w:val="00B83477"/>
    <w:rsid w:val="00B84EB2"/>
    <w:rsid w:val="00B85C36"/>
    <w:rsid w:val="00B87E2A"/>
    <w:rsid w:val="00B9349F"/>
    <w:rsid w:val="00B94B4D"/>
    <w:rsid w:val="00B94FF4"/>
    <w:rsid w:val="00B95108"/>
    <w:rsid w:val="00B95DA5"/>
    <w:rsid w:val="00B9648E"/>
    <w:rsid w:val="00B96877"/>
    <w:rsid w:val="00BA002C"/>
    <w:rsid w:val="00BA0F29"/>
    <w:rsid w:val="00BA4B58"/>
    <w:rsid w:val="00BA4BDC"/>
    <w:rsid w:val="00BA6E60"/>
    <w:rsid w:val="00BA7795"/>
    <w:rsid w:val="00BB5FEF"/>
    <w:rsid w:val="00BB6459"/>
    <w:rsid w:val="00BB6500"/>
    <w:rsid w:val="00BB77C6"/>
    <w:rsid w:val="00BB782B"/>
    <w:rsid w:val="00BB7C3A"/>
    <w:rsid w:val="00BC19AC"/>
    <w:rsid w:val="00BC1AE2"/>
    <w:rsid w:val="00BC2790"/>
    <w:rsid w:val="00BC48A2"/>
    <w:rsid w:val="00BC5A41"/>
    <w:rsid w:val="00BC7B0F"/>
    <w:rsid w:val="00BD0BB6"/>
    <w:rsid w:val="00BD1700"/>
    <w:rsid w:val="00BD19BF"/>
    <w:rsid w:val="00BD6B50"/>
    <w:rsid w:val="00BD7F3D"/>
    <w:rsid w:val="00BE1F1E"/>
    <w:rsid w:val="00BE4C06"/>
    <w:rsid w:val="00BE57E4"/>
    <w:rsid w:val="00BE6DED"/>
    <w:rsid w:val="00BF0B5A"/>
    <w:rsid w:val="00BF1A33"/>
    <w:rsid w:val="00BF55BF"/>
    <w:rsid w:val="00C004BD"/>
    <w:rsid w:val="00C04487"/>
    <w:rsid w:val="00C07599"/>
    <w:rsid w:val="00C10A91"/>
    <w:rsid w:val="00C111EB"/>
    <w:rsid w:val="00C11349"/>
    <w:rsid w:val="00C13468"/>
    <w:rsid w:val="00C15D1E"/>
    <w:rsid w:val="00C164E6"/>
    <w:rsid w:val="00C16973"/>
    <w:rsid w:val="00C16F89"/>
    <w:rsid w:val="00C17564"/>
    <w:rsid w:val="00C17BED"/>
    <w:rsid w:val="00C21AC9"/>
    <w:rsid w:val="00C21D73"/>
    <w:rsid w:val="00C22534"/>
    <w:rsid w:val="00C24EAA"/>
    <w:rsid w:val="00C25475"/>
    <w:rsid w:val="00C26026"/>
    <w:rsid w:val="00C266AD"/>
    <w:rsid w:val="00C27346"/>
    <w:rsid w:val="00C31A6A"/>
    <w:rsid w:val="00C35C8C"/>
    <w:rsid w:val="00C37470"/>
    <w:rsid w:val="00C40841"/>
    <w:rsid w:val="00C41B5E"/>
    <w:rsid w:val="00C44A18"/>
    <w:rsid w:val="00C47363"/>
    <w:rsid w:val="00C47397"/>
    <w:rsid w:val="00C52E22"/>
    <w:rsid w:val="00C551FC"/>
    <w:rsid w:val="00C5665B"/>
    <w:rsid w:val="00C57762"/>
    <w:rsid w:val="00C60793"/>
    <w:rsid w:val="00C61D1A"/>
    <w:rsid w:val="00C629DB"/>
    <w:rsid w:val="00C63E92"/>
    <w:rsid w:val="00C66623"/>
    <w:rsid w:val="00C7401B"/>
    <w:rsid w:val="00C75ACA"/>
    <w:rsid w:val="00C75C1F"/>
    <w:rsid w:val="00C777B7"/>
    <w:rsid w:val="00C86414"/>
    <w:rsid w:val="00C90482"/>
    <w:rsid w:val="00C91670"/>
    <w:rsid w:val="00C928BC"/>
    <w:rsid w:val="00C93683"/>
    <w:rsid w:val="00C94902"/>
    <w:rsid w:val="00C95E3B"/>
    <w:rsid w:val="00C96EAB"/>
    <w:rsid w:val="00CA1714"/>
    <w:rsid w:val="00CA301B"/>
    <w:rsid w:val="00CA4E70"/>
    <w:rsid w:val="00CA5409"/>
    <w:rsid w:val="00CA5795"/>
    <w:rsid w:val="00CA6B16"/>
    <w:rsid w:val="00CA7D64"/>
    <w:rsid w:val="00CB0AB1"/>
    <w:rsid w:val="00CB2A88"/>
    <w:rsid w:val="00CB63FE"/>
    <w:rsid w:val="00CB6CCD"/>
    <w:rsid w:val="00CB751C"/>
    <w:rsid w:val="00CC0D10"/>
    <w:rsid w:val="00CC1171"/>
    <w:rsid w:val="00CC146D"/>
    <w:rsid w:val="00CC187D"/>
    <w:rsid w:val="00CC21C3"/>
    <w:rsid w:val="00CC31AF"/>
    <w:rsid w:val="00CC38C2"/>
    <w:rsid w:val="00CC3DFB"/>
    <w:rsid w:val="00CC5931"/>
    <w:rsid w:val="00CC59CB"/>
    <w:rsid w:val="00CC5E73"/>
    <w:rsid w:val="00CD0C20"/>
    <w:rsid w:val="00CD171F"/>
    <w:rsid w:val="00CD4D78"/>
    <w:rsid w:val="00CD5C1F"/>
    <w:rsid w:val="00CD608E"/>
    <w:rsid w:val="00CD7709"/>
    <w:rsid w:val="00CD772F"/>
    <w:rsid w:val="00CE446A"/>
    <w:rsid w:val="00CE5B6D"/>
    <w:rsid w:val="00CE665B"/>
    <w:rsid w:val="00CE7AFB"/>
    <w:rsid w:val="00CE7E29"/>
    <w:rsid w:val="00CF2EAA"/>
    <w:rsid w:val="00CF63DA"/>
    <w:rsid w:val="00CF7C98"/>
    <w:rsid w:val="00D004AC"/>
    <w:rsid w:val="00D02225"/>
    <w:rsid w:val="00D02C53"/>
    <w:rsid w:val="00D0317A"/>
    <w:rsid w:val="00D056D6"/>
    <w:rsid w:val="00D06ADA"/>
    <w:rsid w:val="00D06C7F"/>
    <w:rsid w:val="00D11DF2"/>
    <w:rsid w:val="00D13C2D"/>
    <w:rsid w:val="00D140AF"/>
    <w:rsid w:val="00D150FB"/>
    <w:rsid w:val="00D16F36"/>
    <w:rsid w:val="00D20451"/>
    <w:rsid w:val="00D2069F"/>
    <w:rsid w:val="00D209BE"/>
    <w:rsid w:val="00D22EEB"/>
    <w:rsid w:val="00D238F6"/>
    <w:rsid w:val="00D23F5A"/>
    <w:rsid w:val="00D2636D"/>
    <w:rsid w:val="00D26E33"/>
    <w:rsid w:val="00D30BFB"/>
    <w:rsid w:val="00D30CC4"/>
    <w:rsid w:val="00D30E5A"/>
    <w:rsid w:val="00D33189"/>
    <w:rsid w:val="00D42C6A"/>
    <w:rsid w:val="00D454D6"/>
    <w:rsid w:val="00D474E6"/>
    <w:rsid w:val="00D511D7"/>
    <w:rsid w:val="00D55974"/>
    <w:rsid w:val="00D5720B"/>
    <w:rsid w:val="00D621BA"/>
    <w:rsid w:val="00D63395"/>
    <w:rsid w:val="00D63B62"/>
    <w:rsid w:val="00D63E4B"/>
    <w:rsid w:val="00D642CC"/>
    <w:rsid w:val="00D64898"/>
    <w:rsid w:val="00D65D2C"/>
    <w:rsid w:val="00D66BDA"/>
    <w:rsid w:val="00D67BCF"/>
    <w:rsid w:val="00D703E7"/>
    <w:rsid w:val="00D70A06"/>
    <w:rsid w:val="00D7359E"/>
    <w:rsid w:val="00D75120"/>
    <w:rsid w:val="00D75844"/>
    <w:rsid w:val="00D76A4C"/>
    <w:rsid w:val="00D80307"/>
    <w:rsid w:val="00D80A14"/>
    <w:rsid w:val="00D840CF"/>
    <w:rsid w:val="00D8465B"/>
    <w:rsid w:val="00D86736"/>
    <w:rsid w:val="00D95134"/>
    <w:rsid w:val="00D95E1E"/>
    <w:rsid w:val="00D961D7"/>
    <w:rsid w:val="00D966AC"/>
    <w:rsid w:val="00D96D3F"/>
    <w:rsid w:val="00D96E24"/>
    <w:rsid w:val="00D97BD7"/>
    <w:rsid w:val="00DA0545"/>
    <w:rsid w:val="00DA17A9"/>
    <w:rsid w:val="00DA1904"/>
    <w:rsid w:val="00DA7581"/>
    <w:rsid w:val="00DB0C99"/>
    <w:rsid w:val="00DB1761"/>
    <w:rsid w:val="00DB76BE"/>
    <w:rsid w:val="00DC1901"/>
    <w:rsid w:val="00DC27B4"/>
    <w:rsid w:val="00DC352D"/>
    <w:rsid w:val="00DC5808"/>
    <w:rsid w:val="00DC67CD"/>
    <w:rsid w:val="00DC7FC8"/>
    <w:rsid w:val="00DD17FA"/>
    <w:rsid w:val="00DD1D6F"/>
    <w:rsid w:val="00DD689D"/>
    <w:rsid w:val="00DD7F9D"/>
    <w:rsid w:val="00DE08EB"/>
    <w:rsid w:val="00DE0B02"/>
    <w:rsid w:val="00DE1608"/>
    <w:rsid w:val="00DE2B0D"/>
    <w:rsid w:val="00DE4121"/>
    <w:rsid w:val="00DE431B"/>
    <w:rsid w:val="00DE5CEF"/>
    <w:rsid w:val="00DE5E60"/>
    <w:rsid w:val="00DE74A5"/>
    <w:rsid w:val="00DF075F"/>
    <w:rsid w:val="00DF49D5"/>
    <w:rsid w:val="00DF5D7E"/>
    <w:rsid w:val="00DF7C81"/>
    <w:rsid w:val="00E01802"/>
    <w:rsid w:val="00E0219C"/>
    <w:rsid w:val="00E05205"/>
    <w:rsid w:val="00E05FFB"/>
    <w:rsid w:val="00E06E5C"/>
    <w:rsid w:val="00E07FAA"/>
    <w:rsid w:val="00E102C4"/>
    <w:rsid w:val="00E10689"/>
    <w:rsid w:val="00E10732"/>
    <w:rsid w:val="00E111D1"/>
    <w:rsid w:val="00E1120B"/>
    <w:rsid w:val="00E1577B"/>
    <w:rsid w:val="00E15857"/>
    <w:rsid w:val="00E16750"/>
    <w:rsid w:val="00E17D58"/>
    <w:rsid w:val="00E230C4"/>
    <w:rsid w:val="00E24EE0"/>
    <w:rsid w:val="00E25662"/>
    <w:rsid w:val="00E25DEF"/>
    <w:rsid w:val="00E26400"/>
    <w:rsid w:val="00E2715B"/>
    <w:rsid w:val="00E27819"/>
    <w:rsid w:val="00E35386"/>
    <w:rsid w:val="00E360C7"/>
    <w:rsid w:val="00E362B7"/>
    <w:rsid w:val="00E42F93"/>
    <w:rsid w:val="00E434FF"/>
    <w:rsid w:val="00E4452E"/>
    <w:rsid w:val="00E46296"/>
    <w:rsid w:val="00E46831"/>
    <w:rsid w:val="00E50463"/>
    <w:rsid w:val="00E57B80"/>
    <w:rsid w:val="00E601CE"/>
    <w:rsid w:val="00E6119D"/>
    <w:rsid w:val="00E6234D"/>
    <w:rsid w:val="00E639A4"/>
    <w:rsid w:val="00E63E5A"/>
    <w:rsid w:val="00E64069"/>
    <w:rsid w:val="00E65784"/>
    <w:rsid w:val="00E670B8"/>
    <w:rsid w:val="00E70A08"/>
    <w:rsid w:val="00E75730"/>
    <w:rsid w:val="00E75C8E"/>
    <w:rsid w:val="00E75DCB"/>
    <w:rsid w:val="00E80925"/>
    <w:rsid w:val="00E8481D"/>
    <w:rsid w:val="00E860FD"/>
    <w:rsid w:val="00E86D87"/>
    <w:rsid w:val="00E9087D"/>
    <w:rsid w:val="00E91A81"/>
    <w:rsid w:val="00E9266F"/>
    <w:rsid w:val="00E943A2"/>
    <w:rsid w:val="00E95969"/>
    <w:rsid w:val="00E96712"/>
    <w:rsid w:val="00E97A2E"/>
    <w:rsid w:val="00EA1162"/>
    <w:rsid w:val="00EA1625"/>
    <w:rsid w:val="00EA2063"/>
    <w:rsid w:val="00EA2920"/>
    <w:rsid w:val="00EA3B8C"/>
    <w:rsid w:val="00EA4C81"/>
    <w:rsid w:val="00EA59D0"/>
    <w:rsid w:val="00EA5F66"/>
    <w:rsid w:val="00EA6611"/>
    <w:rsid w:val="00EA6E13"/>
    <w:rsid w:val="00EA75F4"/>
    <w:rsid w:val="00EA7F53"/>
    <w:rsid w:val="00EB122B"/>
    <w:rsid w:val="00EB2C8A"/>
    <w:rsid w:val="00EB430D"/>
    <w:rsid w:val="00EB51A7"/>
    <w:rsid w:val="00EB5F9F"/>
    <w:rsid w:val="00EB7AC7"/>
    <w:rsid w:val="00EC2522"/>
    <w:rsid w:val="00EC4138"/>
    <w:rsid w:val="00EC4612"/>
    <w:rsid w:val="00EC50DC"/>
    <w:rsid w:val="00ED261C"/>
    <w:rsid w:val="00ED424B"/>
    <w:rsid w:val="00ED734F"/>
    <w:rsid w:val="00EE2777"/>
    <w:rsid w:val="00EE2E56"/>
    <w:rsid w:val="00EE3358"/>
    <w:rsid w:val="00EE6426"/>
    <w:rsid w:val="00EE6D48"/>
    <w:rsid w:val="00EF1B1C"/>
    <w:rsid w:val="00EF1C9F"/>
    <w:rsid w:val="00EF3B7F"/>
    <w:rsid w:val="00EF42DA"/>
    <w:rsid w:val="00EF7EA4"/>
    <w:rsid w:val="00F012D0"/>
    <w:rsid w:val="00F01379"/>
    <w:rsid w:val="00F043B3"/>
    <w:rsid w:val="00F04BFB"/>
    <w:rsid w:val="00F1127F"/>
    <w:rsid w:val="00F11F3D"/>
    <w:rsid w:val="00F123D1"/>
    <w:rsid w:val="00F12435"/>
    <w:rsid w:val="00F15940"/>
    <w:rsid w:val="00F21DC8"/>
    <w:rsid w:val="00F22610"/>
    <w:rsid w:val="00F253A4"/>
    <w:rsid w:val="00F25416"/>
    <w:rsid w:val="00F273DC"/>
    <w:rsid w:val="00F2788B"/>
    <w:rsid w:val="00F34650"/>
    <w:rsid w:val="00F34F88"/>
    <w:rsid w:val="00F35FFF"/>
    <w:rsid w:val="00F40BC1"/>
    <w:rsid w:val="00F42618"/>
    <w:rsid w:val="00F42B9B"/>
    <w:rsid w:val="00F43E5B"/>
    <w:rsid w:val="00F442D5"/>
    <w:rsid w:val="00F46906"/>
    <w:rsid w:val="00F50A74"/>
    <w:rsid w:val="00F527CC"/>
    <w:rsid w:val="00F53018"/>
    <w:rsid w:val="00F60782"/>
    <w:rsid w:val="00F63A8D"/>
    <w:rsid w:val="00F63C52"/>
    <w:rsid w:val="00F66B15"/>
    <w:rsid w:val="00F67C57"/>
    <w:rsid w:val="00F707A5"/>
    <w:rsid w:val="00F70A6C"/>
    <w:rsid w:val="00F713EE"/>
    <w:rsid w:val="00F73F07"/>
    <w:rsid w:val="00F806A3"/>
    <w:rsid w:val="00F812F1"/>
    <w:rsid w:val="00F86133"/>
    <w:rsid w:val="00F86F94"/>
    <w:rsid w:val="00F86FCA"/>
    <w:rsid w:val="00F90F48"/>
    <w:rsid w:val="00F9596D"/>
    <w:rsid w:val="00FA036D"/>
    <w:rsid w:val="00FA0BDE"/>
    <w:rsid w:val="00FA1E78"/>
    <w:rsid w:val="00FA3C03"/>
    <w:rsid w:val="00FA3D5E"/>
    <w:rsid w:val="00FA4331"/>
    <w:rsid w:val="00FA73DE"/>
    <w:rsid w:val="00FB1373"/>
    <w:rsid w:val="00FB3731"/>
    <w:rsid w:val="00FB4D40"/>
    <w:rsid w:val="00FB53AB"/>
    <w:rsid w:val="00FB6215"/>
    <w:rsid w:val="00FB699D"/>
    <w:rsid w:val="00FB78EC"/>
    <w:rsid w:val="00FB7B62"/>
    <w:rsid w:val="00FB7C99"/>
    <w:rsid w:val="00FC0504"/>
    <w:rsid w:val="00FC0B34"/>
    <w:rsid w:val="00FC7EB1"/>
    <w:rsid w:val="00FD0B0D"/>
    <w:rsid w:val="00FD1D2C"/>
    <w:rsid w:val="00FD28F4"/>
    <w:rsid w:val="00FD3CF5"/>
    <w:rsid w:val="00FD4536"/>
    <w:rsid w:val="00FD4BDF"/>
    <w:rsid w:val="00FE0E7D"/>
    <w:rsid w:val="00FE115A"/>
    <w:rsid w:val="00FF01F7"/>
    <w:rsid w:val="00FF0EDD"/>
    <w:rsid w:val="00FF165D"/>
    <w:rsid w:val="00FF1A56"/>
    <w:rsid w:val="00FF4770"/>
    <w:rsid w:val="00FF5690"/>
    <w:rsid w:val="00FF57B2"/>
    <w:rsid w:val="00FF57CD"/>
    <w:rsid w:val="00FF65E6"/>
    <w:rsid w:val="11463A1D"/>
    <w:rsid w:val="40124884"/>
    <w:rsid w:val="477BDD52"/>
    <w:rsid w:val="5011C5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9E2BB"/>
  <w15:chartTrackingRefBased/>
  <w15:docId w15:val="{D0B1AFA4-5B47-4F44-A51D-287321D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5">
    <w:lsdException w:name="Normal" w:uiPriority="5"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3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34"/>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sid w:val="00F527CC"/>
    <w:pPr>
      <w:spacing w:after="120" w:line="240" w:lineRule="atLeast"/>
    </w:pPr>
    <w:rPr>
      <w:lang w:val="en-US"/>
    </w:rPr>
  </w:style>
  <w:style w:type="paragraph" w:styleId="Heading1">
    <w:name w:val="heading 1"/>
    <w:basedOn w:val="Normal"/>
    <w:next w:val="Normal"/>
    <w:link w:val="Heading1Char"/>
    <w:uiPriority w:val="9"/>
    <w:qFormat/>
    <w:rsid w:val="0098274C"/>
    <w:pPr>
      <w:keepNext/>
      <w:keepLines/>
      <w:numPr>
        <w:numId w:val="13"/>
      </w:numPr>
      <w:pBdr>
        <w:top w:val="single" w:sz="6" w:space="1" w:color="D9D9D9" w:themeColor="background1" w:themeShade="D9"/>
        <w:left w:val="single" w:sz="6" w:space="4" w:color="D9D9D9" w:themeColor="background1" w:themeShade="D9"/>
        <w:bottom w:val="single" w:sz="6" w:space="1" w:color="D9D9D9" w:themeColor="background1" w:themeShade="D9"/>
        <w:right w:val="single" w:sz="6" w:space="4" w:color="D9D9D9" w:themeColor="background1" w:themeShade="D9"/>
      </w:pBdr>
      <w:shd w:val="clear" w:color="auto" w:fill="D9D9D9" w:themeFill="background1" w:themeFillShade="D9"/>
      <w:spacing w:before="120" w:after="0" w:line="420" w:lineRule="atLeast"/>
      <w:ind w:left="567"/>
      <w:contextualSpacing/>
      <w:outlineLvl w:val="0"/>
    </w:pPr>
    <w:rPr>
      <w:rFonts w:eastAsiaTheme="majorEastAsia" w:cs="Arial"/>
      <w:b/>
      <w:bCs/>
      <w:noProof/>
      <w:sz w:val="30"/>
      <w:szCs w:val="30"/>
    </w:rPr>
  </w:style>
  <w:style w:type="paragraph" w:styleId="Heading2">
    <w:name w:val="heading 2"/>
    <w:basedOn w:val="Normal"/>
    <w:next w:val="Normal"/>
    <w:link w:val="Heading2Char"/>
    <w:uiPriority w:val="9"/>
    <w:qFormat/>
    <w:rsid w:val="00F527CC"/>
    <w:pPr>
      <w:keepNext/>
      <w:keepLines/>
      <w:numPr>
        <w:ilvl w:val="1"/>
        <w:numId w:val="13"/>
      </w:numPr>
      <w:spacing w:before="260" w:after="220"/>
      <w:outlineLvl w:val="1"/>
    </w:pPr>
    <w:rPr>
      <w:rFonts w:eastAsiaTheme="majorEastAsia" w:cs="Arial"/>
      <w:b/>
      <w:bCs/>
      <w:noProof/>
    </w:rPr>
  </w:style>
  <w:style w:type="paragraph" w:styleId="Heading3">
    <w:name w:val="heading 3"/>
    <w:basedOn w:val="Normal"/>
    <w:next w:val="Normal"/>
    <w:link w:val="Heading3Char"/>
    <w:uiPriority w:val="9"/>
    <w:semiHidden/>
    <w:qFormat/>
    <w:rsid w:val="00F527CC"/>
    <w:pPr>
      <w:keepNext/>
      <w:keepLines/>
      <w:spacing w:before="260" w:after="220"/>
      <w:ind w:left="567" w:hanging="567"/>
      <w:outlineLvl w:val="2"/>
    </w:pPr>
    <w:rPr>
      <w:rFonts w:eastAsiaTheme="majorEastAsia" w:cs="Arial"/>
      <w:b/>
      <w:szCs w:val="24"/>
    </w:rPr>
  </w:style>
  <w:style w:type="paragraph" w:styleId="Heading4">
    <w:name w:val="heading 4"/>
    <w:basedOn w:val="Normal"/>
    <w:next w:val="Normal"/>
    <w:link w:val="Heading4Char"/>
    <w:uiPriority w:val="9"/>
    <w:semiHidden/>
    <w:unhideWhenUsed/>
    <w:qFormat/>
    <w:rsid w:val="00F527CC"/>
    <w:pPr>
      <w:keepNext/>
      <w:keepLines/>
      <w:spacing w:before="40" w:after="0"/>
      <w:outlineLvl w:val="3"/>
    </w:pPr>
    <w:rPr>
      <w:rFonts w:eastAsiaTheme="majorEastAsia" w:cs="Arial"/>
      <w:i/>
      <w:iCs/>
      <w:color w:val="939599" w:themeColor="accent1" w:themeShade="BF"/>
    </w:rPr>
  </w:style>
  <w:style w:type="paragraph" w:styleId="Heading5">
    <w:name w:val="heading 5"/>
    <w:basedOn w:val="Normal"/>
    <w:next w:val="Normal"/>
    <w:link w:val="Heading5Char"/>
    <w:uiPriority w:val="9"/>
    <w:semiHidden/>
    <w:unhideWhenUsed/>
    <w:qFormat/>
    <w:rsid w:val="00F527CC"/>
    <w:pPr>
      <w:keepNext/>
      <w:keepLines/>
      <w:spacing w:before="40" w:after="0"/>
      <w:outlineLvl w:val="4"/>
    </w:pPr>
    <w:rPr>
      <w:rFonts w:eastAsiaTheme="majorEastAsia" w:cs="Arial"/>
      <w:color w:val="939599" w:themeColor="accent1" w:themeShade="BF"/>
    </w:rPr>
  </w:style>
  <w:style w:type="paragraph" w:styleId="Heading6">
    <w:name w:val="heading 6"/>
    <w:basedOn w:val="Normal"/>
    <w:next w:val="Normal"/>
    <w:link w:val="Heading6Char"/>
    <w:uiPriority w:val="9"/>
    <w:semiHidden/>
    <w:unhideWhenUsed/>
    <w:qFormat/>
    <w:rsid w:val="00F527CC"/>
    <w:pPr>
      <w:keepNext/>
      <w:keepLines/>
      <w:spacing w:before="40" w:after="0"/>
      <w:outlineLvl w:val="5"/>
    </w:pPr>
    <w:rPr>
      <w:rFonts w:eastAsiaTheme="majorEastAsia" w:cs="Arial"/>
      <w:color w:val="616266" w:themeColor="accent1" w:themeShade="7F"/>
    </w:rPr>
  </w:style>
  <w:style w:type="paragraph" w:styleId="Heading7">
    <w:name w:val="heading 7"/>
    <w:basedOn w:val="Normal"/>
    <w:next w:val="Normal"/>
    <w:link w:val="Heading7Char"/>
    <w:uiPriority w:val="9"/>
    <w:semiHidden/>
    <w:unhideWhenUsed/>
    <w:qFormat/>
    <w:rsid w:val="00F527CC"/>
    <w:pPr>
      <w:keepNext/>
      <w:keepLines/>
      <w:spacing w:before="40" w:after="0"/>
      <w:outlineLvl w:val="6"/>
    </w:pPr>
    <w:rPr>
      <w:rFonts w:eastAsiaTheme="majorEastAsia" w:cs="Arial"/>
      <w:i/>
      <w:iCs/>
      <w:color w:val="616266" w:themeColor="accent1" w:themeShade="7F"/>
    </w:rPr>
  </w:style>
  <w:style w:type="paragraph" w:styleId="Heading8">
    <w:name w:val="heading 8"/>
    <w:basedOn w:val="Normal"/>
    <w:next w:val="Normal"/>
    <w:link w:val="Heading8Char"/>
    <w:uiPriority w:val="9"/>
    <w:semiHidden/>
    <w:unhideWhenUsed/>
    <w:qFormat/>
    <w:rsid w:val="00F527CC"/>
    <w:pPr>
      <w:keepNext/>
      <w:keepLines/>
      <w:spacing w:before="40" w:after="0"/>
      <w:outlineLvl w:val="7"/>
    </w:pPr>
    <w:rPr>
      <w:rFonts w:eastAsiaTheme="majorEastAsia" w:cs="Arial"/>
      <w:color w:val="5D5D5D" w:themeColor="text1" w:themeTint="D8"/>
      <w:sz w:val="21"/>
      <w:szCs w:val="21"/>
    </w:rPr>
  </w:style>
  <w:style w:type="paragraph" w:styleId="Heading9">
    <w:name w:val="heading 9"/>
    <w:basedOn w:val="Normal"/>
    <w:next w:val="Normal"/>
    <w:link w:val="Heading9Char"/>
    <w:uiPriority w:val="9"/>
    <w:semiHidden/>
    <w:unhideWhenUsed/>
    <w:qFormat/>
    <w:rsid w:val="00F527CC"/>
    <w:pPr>
      <w:keepNext/>
      <w:keepLines/>
      <w:spacing w:before="40" w:after="0"/>
      <w:outlineLvl w:val="8"/>
    </w:pPr>
    <w:rPr>
      <w:rFonts w:eastAsiaTheme="majorEastAsia" w:cs="Arial"/>
      <w:i/>
      <w:iCs/>
      <w:color w:val="5D5D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7CC"/>
    <w:pPr>
      <w:tabs>
        <w:tab w:val="center" w:pos="4513"/>
        <w:tab w:val="right" w:pos="9026"/>
      </w:tabs>
      <w:spacing w:after="220" w:line="240" w:lineRule="auto"/>
    </w:pPr>
  </w:style>
  <w:style w:type="character" w:customStyle="1" w:styleId="HeaderChar">
    <w:name w:val="Header Char"/>
    <w:basedOn w:val="DefaultParagraphFont"/>
    <w:link w:val="Header"/>
    <w:uiPriority w:val="99"/>
    <w:rsid w:val="00F527CC"/>
    <w:rPr>
      <w:lang w:val="en-US"/>
    </w:rPr>
  </w:style>
  <w:style w:type="paragraph" w:styleId="Footer">
    <w:name w:val="footer"/>
    <w:basedOn w:val="Normal"/>
    <w:link w:val="FooterChar"/>
    <w:uiPriority w:val="99"/>
    <w:rsid w:val="00F527CC"/>
    <w:pPr>
      <w:tabs>
        <w:tab w:val="right" w:pos="9638"/>
      </w:tabs>
      <w:spacing w:after="0" w:line="240" w:lineRule="auto"/>
    </w:pPr>
    <w:rPr>
      <w:sz w:val="16"/>
      <w:szCs w:val="16"/>
    </w:rPr>
  </w:style>
  <w:style w:type="character" w:customStyle="1" w:styleId="FooterChar">
    <w:name w:val="Footer Char"/>
    <w:basedOn w:val="DefaultParagraphFont"/>
    <w:link w:val="Footer"/>
    <w:uiPriority w:val="99"/>
    <w:rsid w:val="00F527CC"/>
    <w:rPr>
      <w:sz w:val="16"/>
      <w:szCs w:val="16"/>
      <w:lang w:val="en-US"/>
    </w:rPr>
  </w:style>
  <w:style w:type="table" w:styleId="TableGrid">
    <w:name w:val="Table Grid"/>
    <w:basedOn w:val="TableNormal"/>
    <w:uiPriority w:val="39"/>
    <w:rsid w:val="00F5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F527CC"/>
    <w:pPr>
      <w:spacing w:after="0" w:line="180" w:lineRule="atLeast"/>
    </w:pPr>
    <w:rPr>
      <w:noProof/>
      <w:sz w:val="15"/>
    </w:rPr>
  </w:style>
  <w:style w:type="paragraph" w:customStyle="1" w:styleId="Ourref">
    <w:name w:val="Our ref"/>
    <w:basedOn w:val="Normal"/>
    <w:uiPriority w:val="1"/>
    <w:semiHidden/>
    <w:rsid w:val="00F527CC"/>
    <w:pPr>
      <w:spacing w:after="520"/>
    </w:pPr>
  </w:style>
  <w:style w:type="paragraph" w:styleId="Date">
    <w:name w:val="Date"/>
    <w:basedOn w:val="Normal"/>
    <w:next w:val="Normal"/>
    <w:link w:val="DateChar"/>
    <w:uiPriority w:val="2"/>
    <w:semiHidden/>
    <w:rsid w:val="00F527CC"/>
    <w:pPr>
      <w:spacing w:before="520" w:after="520"/>
    </w:pPr>
  </w:style>
  <w:style w:type="character" w:customStyle="1" w:styleId="DateChar">
    <w:name w:val="Date Char"/>
    <w:basedOn w:val="DefaultParagraphFont"/>
    <w:link w:val="Date"/>
    <w:uiPriority w:val="2"/>
    <w:semiHidden/>
    <w:rsid w:val="00F527CC"/>
    <w:rPr>
      <w:lang w:val="en-US"/>
    </w:rPr>
  </w:style>
  <w:style w:type="paragraph" w:customStyle="1" w:styleId="RecipientAddress">
    <w:name w:val="Recipient Address"/>
    <w:basedOn w:val="Normal"/>
    <w:semiHidden/>
    <w:qFormat/>
    <w:rsid w:val="00F527CC"/>
    <w:pPr>
      <w:spacing w:after="0"/>
    </w:pPr>
  </w:style>
  <w:style w:type="paragraph" w:customStyle="1" w:styleId="Yours">
    <w:name w:val="Yours"/>
    <w:basedOn w:val="Normal"/>
    <w:next w:val="Author"/>
    <w:uiPriority w:val="6"/>
    <w:semiHidden/>
    <w:qFormat/>
    <w:rsid w:val="00F527CC"/>
    <w:pPr>
      <w:keepNext/>
      <w:keepLines/>
      <w:spacing w:before="520" w:after="1000" w:line="276" w:lineRule="auto"/>
    </w:pPr>
    <w:rPr>
      <w:szCs w:val="20"/>
    </w:rPr>
  </w:style>
  <w:style w:type="paragraph" w:customStyle="1" w:styleId="Author">
    <w:name w:val="Author"/>
    <w:basedOn w:val="Normal"/>
    <w:next w:val="JobTitle"/>
    <w:uiPriority w:val="7"/>
    <w:semiHidden/>
    <w:qFormat/>
    <w:rsid w:val="00F527CC"/>
    <w:pPr>
      <w:keepNext/>
      <w:keepLines/>
      <w:spacing w:after="0" w:line="276" w:lineRule="auto"/>
    </w:pPr>
    <w:rPr>
      <w:szCs w:val="20"/>
    </w:rPr>
  </w:style>
  <w:style w:type="paragraph" w:customStyle="1" w:styleId="JobTitle">
    <w:name w:val="JobTitle"/>
    <w:basedOn w:val="Normal"/>
    <w:uiPriority w:val="8"/>
    <w:semiHidden/>
    <w:qFormat/>
    <w:rsid w:val="00F527CC"/>
    <w:pPr>
      <w:keepNext/>
      <w:keepLines/>
      <w:spacing w:after="240" w:line="276" w:lineRule="auto"/>
      <w:contextualSpacing/>
    </w:pPr>
    <w:rPr>
      <w:szCs w:val="20"/>
    </w:rPr>
  </w:style>
  <w:style w:type="paragraph" w:customStyle="1" w:styleId="Dear">
    <w:name w:val="Dear"/>
    <w:basedOn w:val="Normal"/>
    <w:next w:val="Normal"/>
    <w:uiPriority w:val="4"/>
    <w:semiHidden/>
    <w:rsid w:val="00F527CC"/>
    <w:pPr>
      <w:spacing w:before="520" w:after="260"/>
    </w:pPr>
  </w:style>
  <w:style w:type="character" w:customStyle="1" w:styleId="Subject">
    <w:name w:val="Subject"/>
    <w:basedOn w:val="DefaultParagraphFont"/>
    <w:uiPriority w:val="1"/>
    <w:semiHidden/>
    <w:rsid w:val="00F527CC"/>
    <w:rPr>
      <w:b/>
      <w:caps/>
      <w:smallCaps w:val="0"/>
      <w:lang w:val="en-US"/>
    </w:rPr>
  </w:style>
  <w:style w:type="table" w:customStyle="1" w:styleId="GlobalFund">
    <w:name w:val="Global Fund"/>
    <w:basedOn w:val="TableNormal"/>
    <w:uiPriority w:val="99"/>
    <w:rsid w:val="00F527CC"/>
    <w:pPr>
      <w:spacing w:after="0" w:line="240" w:lineRule="auto"/>
    </w:pPr>
    <w:rPr>
      <w:color w:val="828282" w:themeColor="text1" w:themeTint="A6"/>
    </w:rPr>
    <w:tblPr>
      <w:tblStyleRowBandSize w:val="1"/>
      <w:tblCellMar>
        <w:left w:w="0" w:type="dxa"/>
      </w:tblCellMar>
    </w:tblPr>
    <w:tcPr>
      <w:vAlign w:val="center"/>
    </w:tc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5C5C5C" w:themeColor="text1" w:themeTint="D9"/>
          <w:left w:val="nil"/>
          <w:bottom w:val="single" w:sz="6" w:space="0" w:color="5C5C5C" w:themeColor="text1" w:themeTint="D9"/>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828282"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98274C"/>
    <w:rPr>
      <w:rFonts w:eastAsiaTheme="majorEastAsia" w:cs="Arial"/>
      <w:b/>
      <w:bCs/>
      <w:noProof/>
      <w:sz w:val="30"/>
      <w:szCs w:val="30"/>
      <w:shd w:val="clear" w:color="auto" w:fill="D9D9D9" w:themeFill="background1" w:themeFillShade="D9"/>
      <w:lang w:val="en-US"/>
    </w:rPr>
  </w:style>
  <w:style w:type="character" w:customStyle="1" w:styleId="Heading2Char">
    <w:name w:val="Heading 2 Char"/>
    <w:basedOn w:val="DefaultParagraphFont"/>
    <w:link w:val="Heading2"/>
    <w:uiPriority w:val="9"/>
    <w:rsid w:val="00F527CC"/>
    <w:rPr>
      <w:rFonts w:eastAsiaTheme="majorEastAsia" w:cs="Arial"/>
      <w:b/>
      <w:bCs/>
      <w:noProof/>
      <w:lang w:val="en-US"/>
    </w:rPr>
  </w:style>
  <w:style w:type="paragraph" w:customStyle="1" w:styleId="NormalNoSpace">
    <w:name w:val="NormalNoSpace"/>
    <w:basedOn w:val="Normal"/>
    <w:next w:val="Normal"/>
    <w:uiPriority w:val="5"/>
    <w:qFormat/>
    <w:rsid w:val="00F527CC"/>
    <w:pPr>
      <w:spacing w:after="0"/>
    </w:pPr>
  </w:style>
  <w:style w:type="paragraph" w:customStyle="1" w:styleId="Note">
    <w:name w:val="Note"/>
    <w:basedOn w:val="Normal"/>
    <w:next w:val="Normal"/>
    <w:uiPriority w:val="29"/>
    <w:qFormat/>
    <w:rsid w:val="00F527CC"/>
    <w:pPr>
      <w:spacing w:line="220" w:lineRule="atLeast"/>
    </w:pPr>
    <w:rPr>
      <w:sz w:val="16"/>
      <w:szCs w:val="16"/>
    </w:rPr>
  </w:style>
  <w:style w:type="paragraph" w:styleId="FootnoteText">
    <w:name w:val="footnote text"/>
    <w:aliases w:val="fn,Footnote ak,footnote text,fn Char,footnote text Char,Footnotes Char,Footnote ak Char,ft,fn cafc,Footnotes Char Char,Footnote Text Char Char,fn Char Char,footnote text Char Char Char Ch,Footnote Text English"/>
    <w:basedOn w:val="Normal"/>
    <w:link w:val="FootnoteTextChar"/>
    <w:uiPriority w:val="99"/>
    <w:unhideWhenUsed/>
    <w:rsid w:val="00F527CC"/>
    <w:pPr>
      <w:spacing w:after="0" w:line="240" w:lineRule="auto"/>
    </w:pPr>
    <w:rPr>
      <w:sz w:val="16"/>
      <w:szCs w:val="20"/>
    </w:rPr>
  </w:style>
  <w:style w:type="character" w:customStyle="1" w:styleId="FootnoteTextChar">
    <w:name w:val="Footnote Text Char"/>
    <w:aliases w:val="fn Char1,Footnote ak Char1,footnote text Char1,fn Char Char1,footnote text Char Char,Footnotes Char Char1,Footnote ak Char Char,ft Char,fn cafc Char,Footnotes Char Char Char,Footnote Text Char Char Char,fn Char Char Char"/>
    <w:basedOn w:val="DefaultParagraphFont"/>
    <w:link w:val="FootnoteText"/>
    <w:uiPriority w:val="99"/>
    <w:rsid w:val="00F527CC"/>
    <w:rPr>
      <w:sz w:val="16"/>
      <w:szCs w:val="20"/>
      <w:lang w:val="en-US"/>
    </w:rPr>
  </w:style>
  <w:style w:type="character" w:styleId="FootnoteReference">
    <w:name w:val="footnote reference"/>
    <w:aliases w:val="ftref"/>
    <w:basedOn w:val="DefaultParagraphFont"/>
    <w:uiPriority w:val="99"/>
    <w:unhideWhenUsed/>
    <w:rsid w:val="00F527CC"/>
    <w:rPr>
      <w:vertAlign w:val="superscript"/>
      <w:lang w:val="en-US"/>
    </w:rPr>
  </w:style>
  <w:style w:type="paragraph" w:styleId="NoSpacing">
    <w:name w:val="No Spacing"/>
    <w:uiPriority w:val="1"/>
    <w:qFormat/>
    <w:rsid w:val="00F527CC"/>
    <w:pPr>
      <w:spacing w:after="0" w:line="240" w:lineRule="auto"/>
    </w:pPr>
    <w:rPr>
      <w:lang w:val="en-US"/>
    </w:rPr>
  </w:style>
  <w:style w:type="paragraph" w:styleId="EndnoteText">
    <w:name w:val="endnote text"/>
    <w:basedOn w:val="Normal"/>
    <w:link w:val="EndnoteTextChar"/>
    <w:uiPriority w:val="99"/>
    <w:semiHidden/>
    <w:unhideWhenUsed/>
    <w:rsid w:val="00F527CC"/>
    <w:pPr>
      <w:spacing w:after="0" w:line="240" w:lineRule="auto"/>
    </w:pPr>
    <w:rPr>
      <w:sz w:val="16"/>
      <w:szCs w:val="16"/>
    </w:rPr>
  </w:style>
  <w:style w:type="character" w:customStyle="1" w:styleId="EndnoteTextChar">
    <w:name w:val="Endnote Text Char"/>
    <w:basedOn w:val="DefaultParagraphFont"/>
    <w:link w:val="EndnoteText"/>
    <w:uiPriority w:val="99"/>
    <w:semiHidden/>
    <w:rsid w:val="00F527CC"/>
    <w:rPr>
      <w:sz w:val="16"/>
      <w:szCs w:val="16"/>
      <w:lang w:val="en-US"/>
    </w:rPr>
  </w:style>
  <w:style w:type="character" w:styleId="EndnoteReference">
    <w:name w:val="endnote reference"/>
    <w:basedOn w:val="DefaultParagraphFont"/>
    <w:uiPriority w:val="99"/>
    <w:semiHidden/>
    <w:unhideWhenUsed/>
    <w:rsid w:val="00F527CC"/>
    <w:rPr>
      <w:vertAlign w:val="superscript"/>
      <w:lang w:val="en-US"/>
    </w:rPr>
  </w:style>
  <w:style w:type="table" w:customStyle="1" w:styleId="GlobalFund1">
    <w:name w:val="Global Fund 1"/>
    <w:basedOn w:val="GlobalFund"/>
    <w:uiPriority w:val="99"/>
    <w:rsid w:val="00F527CC"/>
    <w:rPr>
      <w:color w:val="6F6F6F" w:themeColor="text1" w:themeTint="BF"/>
    </w:rPr>
    <w:tblPr>
      <w:tblCellMar>
        <w:top w:w="108" w:type="dxa"/>
        <w:bottom w:w="108" w:type="dxa"/>
      </w:tblCellMar>
    </w:tbl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404040" w:themeColor="text1"/>
          <w:left w:val="nil"/>
          <w:bottom w:val="single" w:sz="6" w:space="0" w:color="404040" w:themeColor="text1"/>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semiHidden/>
    <w:rsid w:val="00F527CC"/>
    <w:pPr>
      <w:spacing w:after="0" w:line="240" w:lineRule="auto"/>
    </w:pPr>
    <w:rPr>
      <w:noProof/>
      <w:sz w:val="2"/>
    </w:rPr>
  </w:style>
  <w:style w:type="character" w:styleId="PlaceholderText">
    <w:name w:val="Placeholder Text"/>
    <w:basedOn w:val="DefaultParagraphFont"/>
    <w:uiPriority w:val="99"/>
    <w:semiHidden/>
    <w:rsid w:val="00F527CC"/>
    <w:rPr>
      <w:color w:val="808080"/>
      <w:lang w:val="en-US"/>
    </w:rPr>
  </w:style>
  <w:style w:type="paragraph" w:customStyle="1" w:styleId="AddressTopLine">
    <w:name w:val="AddressTopLine"/>
    <w:basedOn w:val="Address"/>
    <w:semiHidden/>
    <w:qFormat/>
    <w:rsid w:val="00F527CC"/>
    <w:pPr>
      <w:spacing w:after="180"/>
      <w:contextualSpacing/>
    </w:pPr>
  </w:style>
  <w:style w:type="paragraph" w:customStyle="1" w:styleId="AddressTopLineSmall">
    <w:name w:val="AddressTopLineSmall"/>
    <w:basedOn w:val="AddressTopLine"/>
    <w:semiHidden/>
    <w:qFormat/>
    <w:rsid w:val="00F527CC"/>
    <w:pPr>
      <w:spacing w:line="140" w:lineRule="atLeast"/>
    </w:pPr>
    <w:rPr>
      <w:sz w:val="12"/>
    </w:rPr>
  </w:style>
  <w:style w:type="paragraph" w:customStyle="1" w:styleId="AddressSmall">
    <w:name w:val="AddressSmall"/>
    <w:basedOn w:val="Address"/>
    <w:semiHidden/>
    <w:qFormat/>
    <w:rsid w:val="00F527CC"/>
    <w:pPr>
      <w:spacing w:line="140" w:lineRule="atLeast"/>
    </w:pPr>
    <w:rPr>
      <w:sz w:val="12"/>
    </w:rPr>
  </w:style>
  <w:style w:type="paragraph" w:customStyle="1" w:styleId="Tiny">
    <w:name w:val="Tiny"/>
    <w:basedOn w:val="Normal"/>
    <w:uiPriority w:val="15"/>
    <w:semiHidden/>
    <w:qFormat/>
    <w:rsid w:val="00F527CC"/>
    <w:pPr>
      <w:spacing w:after="0" w:line="240" w:lineRule="auto"/>
    </w:pPr>
    <w:rPr>
      <w:sz w:val="2"/>
    </w:rPr>
  </w:style>
  <w:style w:type="paragraph" w:styleId="Title">
    <w:name w:val="Title"/>
    <w:basedOn w:val="Normal"/>
    <w:next w:val="Subtitle"/>
    <w:link w:val="TitleChar"/>
    <w:uiPriority w:val="10"/>
    <w:qFormat/>
    <w:rsid w:val="00F527CC"/>
    <w:pPr>
      <w:spacing w:after="567" w:line="240" w:lineRule="auto"/>
      <w:contextualSpacing/>
    </w:pPr>
    <w:rPr>
      <w:rFonts w:eastAsiaTheme="majorEastAsia" w:cstheme="majorBidi"/>
      <w:kern w:val="28"/>
      <w:sz w:val="48"/>
      <w:szCs w:val="48"/>
    </w:rPr>
  </w:style>
  <w:style w:type="character" w:customStyle="1" w:styleId="TitleChar">
    <w:name w:val="Title Char"/>
    <w:basedOn w:val="DefaultParagraphFont"/>
    <w:link w:val="Title"/>
    <w:uiPriority w:val="10"/>
    <w:rsid w:val="00F527CC"/>
    <w:rPr>
      <w:rFonts w:eastAsiaTheme="majorEastAsia" w:cstheme="majorBidi"/>
      <w:kern w:val="28"/>
      <w:sz w:val="48"/>
      <w:szCs w:val="48"/>
      <w:lang w:val="en-US"/>
    </w:rPr>
  </w:style>
  <w:style w:type="paragraph" w:styleId="Subtitle">
    <w:name w:val="Subtitle"/>
    <w:basedOn w:val="Normal"/>
    <w:next w:val="Normal"/>
    <w:link w:val="SubtitleChar"/>
    <w:uiPriority w:val="11"/>
    <w:qFormat/>
    <w:rsid w:val="00F527CC"/>
    <w:pPr>
      <w:numPr>
        <w:ilvl w:val="1"/>
      </w:numPr>
      <w:spacing w:line="440" w:lineRule="atLeast"/>
    </w:pPr>
    <w:rPr>
      <w:rFonts w:eastAsiaTheme="minorEastAsia"/>
      <w:spacing w:val="15"/>
      <w:sz w:val="36"/>
      <w:szCs w:val="36"/>
    </w:rPr>
  </w:style>
  <w:style w:type="character" w:customStyle="1" w:styleId="SubtitleChar">
    <w:name w:val="Subtitle Char"/>
    <w:basedOn w:val="DefaultParagraphFont"/>
    <w:link w:val="Subtitle"/>
    <w:uiPriority w:val="11"/>
    <w:rsid w:val="00F527CC"/>
    <w:rPr>
      <w:rFonts w:eastAsiaTheme="minorEastAsia"/>
      <w:spacing w:val="15"/>
      <w:sz w:val="36"/>
      <w:szCs w:val="36"/>
      <w:lang w:val="en-US"/>
    </w:rPr>
  </w:style>
  <w:style w:type="paragraph" w:customStyle="1" w:styleId="Bullet1">
    <w:name w:val="Bullet 1"/>
    <w:basedOn w:val="Normal"/>
    <w:uiPriority w:val="32"/>
    <w:qFormat/>
    <w:rsid w:val="00F527CC"/>
    <w:pPr>
      <w:numPr>
        <w:numId w:val="11"/>
      </w:numPr>
      <w:spacing w:after="160" w:line="260" w:lineRule="atLeast"/>
    </w:pPr>
    <w:rPr>
      <w:szCs w:val="20"/>
    </w:rPr>
  </w:style>
  <w:style w:type="paragraph" w:customStyle="1" w:styleId="Bullet2">
    <w:name w:val="Bullet 2"/>
    <w:basedOn w:val="Normal"/>
    <w:uiPriority w:val="32"/>
    <w:qFormat/>
    <w:rsid w:val="00F527CC"/>
    <w:pPr>
      <w:numPr>
        <w:ilvl w:val="1"/>
        <w:numId w:val="11"/>
      </w:numPr>
      <w:spacing w:after="160" w:line="260" w:lineRule="atLeast"/>
    </w:pPr>
    <w:rPr>
      <w:szCs w:val="20"/>
    </w:rPr>
  </w:style>
  <w:style w:type="numbering" w:customStyle="1" w:styleId="NumbLstBullet">
    <w:name w:val="NumbLstBullet"/>
    <w:uiPriority w:val="99"/>
    <w:rsid w:val="00F527CC"/>
    <w:pPr>
      <w:numPr>
        <w:numId w:val="11"/>
      </w:numPr>
    </w:pPr>
  </w:style>
  <w:style w:type="paragraph" w:customStyle="1" w:styleId="AlphaList1">
    <w:name w:val="AlphaList 1"/>
    <w:basedOn w:val="Normal"/>
    <w:uiPriority w:val="31"/>
    <w:qFormat/>
    <w:rsid w:val="00F527CC"/>
    <w:pPr>
      <w:numPr>
        <w:numId w:val="14"/>
      </w:numPr>
      <w:spacing w:after="160" w:line="260" w:lineRule="atLeast"/>
    </w:pPr>
    <w:rPr>
      <w:szCs w:val="20"/>
    </w:rPr>
  </w:style>
  <w:style w:type="paragraph" w:customStyle="1" w:styleId="AlphaList2">
    <w:name w:val="AlphaList 2"/>
    <w:basedOn w:val="Normal"/>
    <w:uiPriority w:val="31"/>
    <w:qFormat/>
    <w:rsid w:val="00F527CC"/>
    <w:pPr>
      <w:numPr>
        <w:ilvl w:val="1"/>
        <w:numId w:val="14"/>
      </w:numPr>
      <w:spacing w:after="160" w:line="260" w:lineRule="atLeast"/>
    </w:pPr>
    <w:rPr>
      <w:szCs w:val="20"/>
    </w:rPr>
  </w:style>
  <w:style w:type="numbering" w:customStyle="1" w:styleId="NumbListAlpha">
    <w:name w:val="NumbListAlpha"/>
    <w:uiPriority w:val="99"/>
    <w:rsid w:val="00F527CC"/>
    <w:pPr>
      <w:numPr>
        <w:numId w:val="12"/>
      </w:numPr>
    </w:pPr>
  </w:style>
  <w:style w:type="paragraph" w:customStyle="1" w:styleId="Bullet3">
    <w:name w:val="Bullet 3"/>
    <w:basedOn w:val="Normal"/>
    <w:uiPriority w:val="32"/>
    <w:rsid w:val="00F527CC"/>
    <w:pPr>
      <w:numPr>
        <w:ilvl w:val="2"/>
        <w:numId w:val="11"/>
      </w:numPr>
      <w:jc w:val="both"/>
    </w:pPr>
    <w:rPr>
      <w:szCs w:val="20"/>
    </w:rPr>
  </w:style>
  <w:style w:type="numbering" w:customStyle="1" w:styleId="NumHeadingsLst">
    <w:name w:val="NumHeadingsLst"/>
    <w:uiPriority w:val="99"/>
    <w:rsid w:val="00F527CC"/>
    <w:pPr>
      <w:numPr>
        <w:numId w:val="13"/>
      </w:numPr>
    </w:pPr>
  </w:style>
  <w:style w:type="paragraph" w:styleId="Quote">
    <w:name w:val="Quote"/>
    <w:basedOn w:val="Normal"/>
    <w:next w:val="Normal"/>
    <w:link w:val="QuoteChar"/>
    <w:uiPriority w:val="39"/>
    <w:unhideWhenUsed/>
    <w:qFormat/>
    <w:rsid w:val="00F527CC"/>
    <w:pPr>
      <w:spacing w:before="200"/>
      <w:ind w:left="794" w:right="794"/>
    </w:pPr>
  </w:style>
  <w:style w:type="character" w:customStyle="1" w:styleId="QuoteChar">
    <w:name w:val="Quote Char"/>
    <w:basedOn w:val="DefaultParagraphFont"/>
    <w:link w:val="Quote"/>
    <w:uiPriority w:val="39"/>
    <w:rsid w:val="00F527CC"/>
    <w:rPr>
      <w:lang w:val="en-US"/>
    </w:rPr>
  </w:style>
  <w:style w:type="paragraph" w:styleId="TOC1">
    <w:name w:val="toc 1"/>
    <w:basedOn w:val="Normal"/>
    <w:next w:val="Normal"/>
    <w:autoRedefine/>
    <w:uiPriority w:val="39"/>
    <w:rsid w:val="00F527CC"/>
    <w:pPr>
      <w:tabs>
        <w:tab w:val="left" w:pos="567"/>
        <w:tab w:val="right" w:pos="9628"/>
      </w:tabs>
      <w:spacing w:before="540" w:after="100" w:line="420" w:lineRule="atLeast"/>
      <w:ind w:left="567" w:right="567" w:hanging="567"/>
    </w:pPr>
    <w:rPr>
      <w:noProof/>
      <w:sz w:val="36"/>
      <w:szCs w:val="36"/>
    </w:rPr>
  </w:style>
  <w:style w:type="paragraph" w:styleId="TOC2">
    <w:name w:val="toc 2"/>
    <w:basedOn w:val="Normal"/>
    <w:next w:val="Normal"/>
    <w:autoRedefine/>
    <w:uiPriority w:val="39"/>
    <w:rsid w:val="00F527CC"/>
    <w:pPr>
      <w:tabs>
        <w:tab w:val="left" w:pos="567"/>
      </w:tabs>
      <w:spacing w:after="100" w:line="300" w:lineRule="atLeast"/>
      <w:ind w:left="567" w:right="567" w:hanging="567"/>
    </w:pPr>
    <w:rPr>
      <w:szCs w:val="20"/>
    </w:rPr>
  </w:style>
  <w:style w:type="character" w:styleId="Hyperlink">
    <w:name w:val="Hyperlink"/>
    <w:basedOn w:val="DefaultParagraphFont"/>
    <w:uiPriority w:val="99"/>
    <w:rsid w:val="00F527CC"/>
    <w:rPr>
      <w:color w:val="0563C1" w:themeColor="hyperlink"/>
      <w:u w:val="single"/>
      <w:lang w:val="en-US"/>
    </w:rPr>
  </w:style>
  <w:style w:type="paragraph" w:styleId="TOC3">
    <w:name w:val="toc 3"/>
    <w:basedOn w:val="Normal"/>
    <w:next w:val="Normal"/>
    <w:autoRedefine/>
    <w:uiPriority w:val="39"/>
    <w:semiHidden/>
    <w:unhideWhenUsed/>
    <w:rsid w:val="00F527CC"/>
    <w:pPr>
      <w:spacing w:after="100"/>
      <w:ind w:left="440"/>
    </w:pPr>
  </w:style>
  <w:style w:type="paragraph" w:styleId="TOC4">
    <w:name w:val="toc 4"/>
    <w:basedOn w:val="Normal"/>
    <w:next w:val="Normal"/>
    <w:autoRedefine/>
    <w:uiPriority w:val="39"/>
    <w:semiHidden/>
    <w:unhideWhenUsed/>
    <w:rsid w:val="00F527CC"/>
    <w:pPr>
      <w:spacing w:after="100"/>
      <w:ind w:left="660"/>
    </w:pPr>
  </w:style>
  <w:style w:type="paragraph" w:customStyle="1" w:styleId="Heading1NonNumbNoTOC">
    <w:name w:val="Heading 1 Non Numb No TOC"/>
    <w:basedOn w:val="Normal"/>
    <w:next w:val="Normal"/>
    <w:uiPriority w:val="10"/>
    <w:unhideWhenUsed/>
    <w:qFormat/>
    <w:rsid w:val="00F527CC"/>
    <w:pPr>
      <w:keepNext/>
      <w:pageBreakBefore/>
      <w:spacing w:before="260" w:after="1000" w:line="420" w:lineRule="atLeast"/>
    </w:pPr>
    <w:rPr>
      <w:rFonts w:cs="Arial"/>
      <w:sz w:val="36"/>
      <w:szCs w:val="36"/>
    </w:rPr>
  </w:style>
  <w:style w:type="paragraph" w:customStyle="1" w:styleId="CoverPageTitle">
    <w:name w:val="Cover Page Title"/>
    <w:basedOn w:val="Normal"/>
    <w:uiPriority w:val="53"/>
    <w:qFormat/>
    <w:rsid w:val="00F527CC"/>
    <w:pPr>
      <w:spacing w:before="200" w:after="200"/>
      <w:contextualSpacing/>
      <w:jc w:val="center"/>
    </w:pPr>
    <w:rPr>
      <w:bCs/>
      <w:color w:val="1E1E1E" w:themeColor="background2"/>
      <w:kern w:val="40"/>
      <w:sz w:val="80"/>
      <w:szCs w:val="80"/>
    </w:rPr>
  </w:style>
  <w:style w:type="paragraph" w:customStyle="1" w:styleId="CoverPageDate">
    <w:name w:val="Cover Page Date"/>
    <w:basedOn w:val="Normal"/>
    <w:uiPriority w:val="53"/>
    <w:qFormat/>
    <w:rsid w:val="00F527CC"/>
    <w:pPr>
      <w:jc w:val="center"/>
    </w:pPr>
    <w:rPr>
      <w:b/>
      <w:caps/>
    </w:rPr>
  </w:style>
  <w:style w:type="paragraph" w:styleId="BalloonText">
    <w:name w:val="Balloon Text"/>
    <w:basedOn w:val="Normal"/>
    <w:link w:val="BalloonTextChar"/>
    <w:uiPriority w:val="99"/>
    <w:semiHidden/>
    <w:unhideWhenUsed/>
    <w:rsid w:val="00F52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7CC"/>
    <w:rPr>
      <w:rFonts w:ascii="Segoe UI" w:hAnsi="Segoe UI" w:cs="Segoe UI"/>
      <w:sz w:val="18"/>
      <w:szCs w:val="18"/>
      <w:lang w:val="en-US"/>
    </w:rPr>
  </w:style>
  <w:style w:type="paragraph" w:styleId="BodyTextIndent">
    <w:name w:val="Body Text Indent"/>
    <w:basedOn w:val="Normal"/>
    <w:link w:val="BodyTextIndentChar"/>
    <w:uiPriority w:val="34"/>
    <w:rsid w:val="00F527CC"/>
    <w:pPr>
      <w:ind w:left="397"/>
    </w:pPr>
    <w:rPr>
      <w:noProof/>
    </w:rPr>
  </w:style>
  <w:style w:type="character" w:customStyle="1" w:styleId="BodyTextIndentChar">
    <w:name w:val="Body Text Indent Char"/>
    <w:basedOn w:val="DefaultParagraphFont"/>
    <w:link w:val="BodyTextIndent"/>
    <w:uiPriority w:val="34"/>
    <w:rsid w:val="00F527CC"/>
    <w:rPr>
      <w:noProof/>
      <w:lang w:val="en-US"/>
    </w:rPr>
  </w:style>
  <w:style w:type="paragraph" w:styleId="BodyTextIndent2">
    <w:name w:val="Body Text Indent 2"/>
    <w:basedOn w:val="BodyTextIndent"/>
    <w:link w:val="BodyTextIndent2Char"/>
    <w:uiPriority w:val="34"/>
    <w:rsid w:val="00F527CC"/>
    <w:pPr>
      <w:ind w:left="794"/>
    </w:pPr>
  </w:style>
  <w:style w:type="character" w:customStyle="1" w:styleId="BodyTextIndent2Char">
    <w:name w:val="Body Text Indent 2 Char"/>
    <w:basedOn w:val="DefaultParagraphFont"/>
    <w:link w:val="BodyTextIndent2"/>
    <w:uiPriority w:val="34"/>
    <w:rsid w:val="00F527CC"/>
    <w:rPr>
      <w:noProof/>
      <w:lang w:val="en-US"/>
    </w:rPr>
  </w:style>
  <w:style w:type="paragraph" w:customStyle="1" w:styleId="HeaderHidden">
    <w:name w:val="HeaderHidden"/>
    <w:basedOn w:val="Header"/>
    <w:uiPriority w:val="5"/>
    <w:qFormat/>
    <w:rsid w:val="00F527CC"/>
    <w:rPr>
      <w:color w:val="FFFFFF" w:themeColor="text2"/>
    </w:rPr>
  </w:style>
  <w:style w:type="character" w:customStyle="1" w:styleId="Heading3Char">
    <w:name w:val="Heading 3 Char"/>
    <w:basedOn w:val="DefaultParagraphFont"/>
    <w:link w:val="Heading3"/>
    <w:uiPriority w:val="9"/>
    <w:semiHidden/>
    <w:rsid w:val="00F527CC"/>
    <w:rPr>
      <w:rFonts w:eastAsiaTheme="majorEastAsia" w:cs="Arial"/>
      <w:b/>
      <w:szCs w:val="24"/>
      <w:lang w:val="en-US"/>
    </w:rPr>
  </w:style>
  <w:style w:type="character" w:customStyle="1" w:styleId="Heading4Char">
    <w:name w:val="Heading 4 Char"/>
    <w:basedOn w:val="DefaultParagraphFont"/>
    <w:link w:val="Heading4"/>
    <w:uiPriority w:val="9"/>
    <w:semiHidden/>
    <w:rsid w:val="00F527CC"/>
    <w:rPr>
      <w:rFonts w:eastAsiaTheme="majorEastAsia" w:cs="Arial"/>
      <w:i/>
      <w:iCs/>
      <w:color w:val="939599" w:themeColor="accent1" w:themeShade="BF"/>
      <w:lang w:val="en-US"/>
    </w:rPr>
  </w:style>
  <w:style w:type="character" w:customStyle="1" w:styleId="Heading5Char">
    <w:name w:val="Heading 5 Char"/>
    <w:basedOn w:val="DefaultParagraphFont"/>
    <w:link w:val="Heading5"/>
    <w:uiPriority w:val="9"/>
    <w:semiHidden/>
    <w:rsid w:val="00F527CC"/>
    <w:rPr>
      <w:rFonts w:eastAsiaTheme="majorEastAsia" w:cs="Arial"/>
      <w:color w:val="939599" w:themeColor="accent1" w:themeShade="BF"/>
      <w:lang w:val="en-US"/>
    </w:rPr>
  </w:style>
  <w:style w:type="character" w:customStyle="1" w:styleId="Heading6Char">
    <w:name w:val="Heading 6 Char"/>
    <w:basedOn w:val="DefaultParagraphFont"/>
    <w:link w:val="Heading6"/>
    <w:uiPriority w:val="9"/>
    <w:semiHidden/>
    <w:rsid w:val="00F527CC"/>
    <w:rPr>
      <w:rFonts w:eastAsiaTheme="majorEastAsia" w:cs="Arial"/>
      <w:color w:val="616266" w:themeColor="accent1" w:themeShade="7F"/>
      <w:lang w:val="en-US"/>
    </w:rPr>
  </w:style>
  <w:style w:type="character" w:customStyle="1" w:styleId="Heading7Char">
    <w:name w:val="Heading 7 Char"/>
    <w:basedOn w:val="DefaultParagraphFont"/>
    <w:link w:val="Heading7"/>
    <w:uiPriority w:val="9"/>
    <w:semiHidden/>
    <w:rsid w:val="00F527CC"/>
    <w:rPr>
      <w:rFonts w:eastAsiaTheme="majorEastAsia" w:cs="Arial"/>
      <w:i/>
      <w:iCs/>
      <w:color w:val="616266" w:themeColor="accent1" w:themeShade="7F"/>
      <w:lang w:val="en-US"/>
    </w:rPr>
  </w:style>
  <w:style w:type="character" w:customStyle="1" w:styleId="Heading8Char">
    <w:name w:val="Heading 8 Char"/>
    <w:basedOn w:val="DefaultParagraphFont"/>
    <w:link w:val="Heading8"/>
    <w:uiPriority w:val="9"/>
    <w:semiHidden/>
    <w:rsid w:val="00F527CC"/>
    <w:rPr>
      <w:rFonts w:eastAsiaTheme="majorEastAsia" w:cs="Arial"/>
      <w:color w:val="5D5D5D" w:themeColor="text1" w:themeTint="D8"/>
      <w:sz w:val="21"/>
      <w:szCs w:val="21"/>
      <w:lang w:val="en-US"/>
    </w:rPr>
  </w:style>
  <w:style w:type="character" w:customStyle="1" w:styleId="Heading9Char">
    <w:name w:val="Heading 9 Char"/>
    <w:basedOn w:val="DefaultParagraphFont"/>
    <w:link w:val="Heading9"/>
    <w:uiPriority w:val="9"/>
    <w:semiHidden/>
    <w:rsid w:val="00F527CC"/>
    <w:rPr>
      <w:rFonts w:eastAsiaTheme="majorEastAsia" w:cs="Arial"/>
      <w:i/>
      <w:iCs/>
      <w:color w:val="5D5D5D" w:themeColor="text1" w:themeTint="D8"/>
      <w:sz w:val="21"/>
      <w:szCs w:val="21"/>
      <w:lang w:val="en-US"/>
    </w:rPr>
  </w:style>
  <w:style w:type="numbering" w:styleId="111111">
    <w:name w:val="Outline List 2"/>
    <w:basedOn w:val="NoList"/>
    <w:uiPriority w:val="99"/>
    <w:semiHidden/>
    <w:unhideWhenUsed/>
    <w:rsid w:val="00F527CC"/>
    <w:pPr>
      <w:numPr>
        <w:numId w:val="15"/>
      </w:numPr>
    </w:pPr>
  </w:style>
  <w:style w:type="numbering" w:styleId="1ai">
    <w:name w:val="Outline List 1"/>
    <w:basedOn w:val="NoList"/>
    <w:uiPriority w:val="99"/>
    <w:semiHidden/>
    <w:unhideWhenUsed/>
    <w:rsid w:val="00F527CC"/>
    <w:pPr>
      <w:numPr>
        <w:numId w:val="16"/>
      </w:numPr>
    </w:pPr>
  </w:style>
  <w:style w:type="numbering" w:styleId="ArticleSection">
    <w:name w:val="Outline List 3"/>
    <w:basedOn w:val="NoList"/>
    <w:uiPriority w:val="99"/>
    <w:semiHidden/>
    <w:unhideWhenUsed/>
    <w:rsid w:val="00F527CC"/>
    <w:pPr>
      <w:numPr>
        <w:numId w:val="17"/>
      </w:numPr>
    </w:pPr>
  </w:style>
  <w:style w:type="paragraph" w:styleId="Bibliography">
    <w:name w:val="Bibliography"/>
    <w:basedOn w:val="Normal"/>
    <w:next w:val="Normal"/>
    <w:uiPriority w:val="37"/>
    <w:semiHidden/>
    <w:unhideWhenUsed/>
    <w:rsid w:val="00F527CC"/>
  </w:style>
  <w:style w:type="paragraph" w:styleId="BlockText">
    <w:name w:val="Block Text"/>
    <w:basedOn w:val="Normal"/>
    <w:uiPriority w:val="99"/>
    <w:semiHidden/>
    <w:unhideWhenUsed/>
    <w:rsid w:val="00F527CC"/>
    <w:pPr>
      <w:pBdr>
        <w:top w:val="single" w:sz="2" w:space="10" w:color="C7C8CA" w:themeColor="accent1" w:frame="1"/>
        <w:left w:val="single" w:sz="2" w:space="10" w:color="C7C8CA" w:themeColor="accent1" w:frame="1"/>
        <w:bottom w:val="single" w:sz="2" w:space="10" w:color="C7C8CA" w:themeColor="accent1" w:frame="1"/>
        <w:right w:val="single" w:sz="2" w:space="10" w:color="C7C8CA" w:themeColor="accent1" w:frame="1"/>
      </w:pBdr>
      <w:ind w:left="1152" w:right="1152"/>
    </w:pPr>
    <w:rPr>
      <w:rFonts w:eastAsiaTheme="minorEastAsia" w:cs="Arial"/>
      <w:i/>
      <w:iCs/>
      <w:color w:val="C7C8CA" w:themeColor="accent1"/>
    </w:rPr>
  </w:style>
  <w:style w:type="paragraph" w:styleId="BodyText">
    <w:name w:val="Body Text"/>
    <w:basedOn w:val="Normal"/>
    <w:link w:val="BodyTextChar"/>
    <w:uiPriority w:val="99"/>
    <w:semiHidden/>
    <w:unhideWhenUsed/>
    <w:rsid w:val="00F527CC"/>
  </w:style>
  <w:style w:type="character" w:customStyle="1" w:styleId="BodyTextChar">
    <w:name w:val="Body Text Char"/>
    <w:basedOn w:val="DefaultParagraphFont"/>
    <w:link w:val="BodyText"/>
    <w:uiPriority w:val="99"/>
    <w:semiHidden/>
    <w:rsid w:val="00F527CC"/>
    <w:rPr>
      <w:lang w:val="en-US"/>
    </w:rPr>
  </w:style>
  <w:style w:type="paragraph" w:styleId="BodyText2">
    <w:name w:val="Body Text 2"/>
    <w:basedOn w:val="Normal"/>
    <w:link w:val="BodyText2Char"/>
    <w:uiPriority w:val="99"/>
    <w:semiHidden/>
    <w:unhideWhenUsed/>
    <w:rsid w:val="00F527CC"/>
    <w:pPr>
      <w:spacing w:line="480" w:lineRule="auto"/>
    </w:pPr>
  </w:style>
  <w:style w:type="character" w:customStyle="1" w:styleId="BodyText2Char">
    <w:name w:val="Body Text 2 Char"/>
    <w:basedOn w:val="DefaultParagraphFont"/>
    <w:link w:val="BodyText2"/>
    <w:uiPriority w:val="99"/>
    <w:semiHidden/>
    <w:rsid w:val="00F527CC"/>
    <w:rPr>
      <w:lang w:val="en-US"/>
    </w:rPr>
  </w:style>
  <w:style w:type="paragraph" w:styleId="BodyText3">
    <w:name w:val="Body Text 3"/>
    <w:basedOn w:val="Normal"/>
    <w:link w:val="BodyText3Char"/>
    <w:uiPriority w:val="99"/>
    <w:semiHidden/>
    <w:unhideWhenUsed/>
    <w:rsid w:val="00F527CC"/>
    <w:rPr>
      <w:sz w:val="16"/>
      <w:szCs w:val="16"/>
    </w:rPr>
  </w:style>
  <w:style w:type="character" w:customStyle="1" w:styleId="BodyText3Char">
    <w:name w:val="Body Text 3 Char"/>
    <w:basedOn w:val="DefaultParagraphFont"/>
    <w:link w:val="BodyText3"/>
    <w:uiPriority w:val="99"/>
    <w:semiHidden/>
    <w:rsid w:val="00F527CC"/>
    <w:rPr>
      <w:sz w:val="16"/>
      <w:szCs w:val="16"/>
      <w:lang w:val="en-US"/>
    </w:rPr>
  </w:style>
  <w:style w:type="paragraph" w:styleId="BodyTextFirstIndent">
    <w:name w:val="Body Text First Indent"/>
    <w:basedOn w:val="BodyText"/>
    <w:link w:val="BodyTextFirstIndentChar"/>
    <w:uiPriority w:val="99"/>
    <w:semiHidden/>
    <w:unhideWhenUsed/>
    <w:rsid w:val="00F527CC"/>
    <w:pPr>
      <w:ind w:firstLine="360"/>
    </w:pPr>
  </w:style>
  <w:style w:type="character" w:customStyle="1" w:styleId="BodyTextFirstIndentChar">
    <w:name w:val="Body Text First Indent Char"/>
    <w:basedOn w:val="BodyTextChar"/>
    <w:link w:val="BodyTextFirstIndent"/>
    <w:uiPriority w:val="99"/>
    <w:semiHidden/>
    <w:rsid w:val="00F527CC"/>
    <w:rPr>
      <w:lang w:val="en-US"/>
    </w:rPr>
  </w:style>
  <w:style w:type="paragraph" w:styleId="BodyTextFirstIndent2">
    <w:name w:val="Body Text First Indent 2"/>
    <w:basedOn w:val="BodyTextIndent"/>
    <w:link w:val="BodyTextFirstIndent2Char"/>
    <w:uiPriority w:val="99"/>
    <w:semiHidden/>
    <w:unhideWhenUsed/>
    <w:rsid w:val="00F527CC"/>
    <w:pPr>
      <w:ind w:left="360" w:firstLine="360"/>
    </w:pPr>
  </w:style>
  <w:style w:type="character" w:customStyle="1" w:styleId="BodyTextFirstIndent2Char">
    <w:name w:val="Body Text First Indent 2 Char"/>
    <w:basedOn w:val="BodyTextIndentChar"/>
    <w:link w:val="BodyTextFirstIndent2"/>
    <w:uiPriority w:val="99"/>
    <w:semiHidden/>
    <w:rsid w:val="00F527CC"/>
    <w:rPr>
      <w:noProof/>
      <w:lang w:val="en-US"/>
    </w:rPr>
  </w:style>
  <w:style w:type="paragraph" w:styleId="BodyTextIndent3">
    <w:name w:val="Body Text Indent 3"/>
    <w:basedOn w:val="Normal"/>
    <w:link w:val="BodyTextIndent3Char"/>
    <w:uiPriority w:val="99"/>
    <w:semiHidden/>
    <w:unhideWhenUsed/>
    <w:rsid w:val="00F527CC"/>
    <w:pPr>
      <w:ind w:left="283"/>
    </w:pPr>
    <w:rPr>
      <w:sz w:val="16"/>
      <w:szCs w:val="16"/>
    </w:rPr>
  </w:style>
  <w:style w:type="character" w:customStyle="1" w:styleId="BodyTextIndent3Char">
    <w:name w:val="Body Text Indent 3 Char"/>
    <w:basedOn w:val="DefaultParagraphFont"/>
    <w:link w:val="BodyTextIndent3"/>
    <w:uiPriority w:val="99"/>
    <w:semiHidden/>
    <w:rsid w:val="00F527CC"/>
    <w:rPr>
      <w:sz w:val="16"/>
      <w:szCs w:val="16"/>
      <w:lang w:val="en-US"/>
    </w:rPr>
  </w:style>
  <w:style w:type="character" w:styleId="BookTitle">
    <w:name w:val="Book Title"/>
    <w:basedOn w:val="DefaultParagraphFont"/>
    <w:uiPriority w:val="33"/>
    <w:qFormat/>
    <w:rsid w:val="00F527CC"/>
    <w:rPr>
      <w:b/>
      <w:bCs/>
      <w:i/>
      <w:iCs/>
      <w:spacing w:val="5"/>
      <w:lang w:val="en-US"/>
    </w:rPr>
  </w:style>
  <w:style w:type="paragraph" w:styleId="Caption">
    <w:name w:val="caption"/>
    <w:basedOn w:val="Normal"/>
    <w:next w:val="Normal"/>
    <w:uiPriority w:val="35"/>
    <w:unhideWhenUsed/>
    <w:qFormat/>
    <w:rsid w:val="00F527CC"/>
    <w:pPr>
      <w:spacing w:after="200" w:line="240" w:lineRule="auto"/>
    </w:pPr>
    <w:rPr>
      <w:i/>
      <w:iCs/>
      <w:color w:val="FFFFFF" w:themeColor="text2"/>
      <w:sz w:val="18"/>
      <w:szCs w:val="18"/>
    </w:rPr>
  </w:style>
  <w:style w:type="paragraph" w:styleId="Closing">
    <w:name w:val="Closing"/>
    <w:basedOn w:val="Normal"/>
    <w:link w:val="ClosingChar"/>
    <w:uiPriority w:val="99"/>
    <w:semiHidden/>
    <w:unhideWhenUsed/>
    <w:rsid w:val="00F527CC"/>
    <w:pPr>
      <w:spacing w:after="0" w:line="240" w:lineRule="auto"/>
      <w:ind w:left="4252"/>
    </w:pPr>
  </w:style>
  <w:style w:type="character" w:customStyle="1" w:styleId="ClosingChar">
    <w:name w:val="Closing Char"/>
    <w:basedOn w:val="DefaultParagraphFont"/>
    <w:link w:val="Closing"/>
    <w:uiPriority w:val="99"/>
    <w:semiHidden/>
    <w:rsid w:val="00F527CC"/>
    <w:rPr>
      <w:lang w:val="en-US"/>
    </w:rPr>
  </w:style>
  <w:style w:type="table" w:styleId="ColorfulGrid">
    <w:name w:val="Colorful Grid"/>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8D8D8" w:themeFill="text1" w:themeFillTint="33"/>
    </w:tcPr>
    <w:tblStylePr w:type="firstRow">
      <w:rPr>
        <w:b/>
        <w:bCs/>
      </w:rPr>
      <w:tblPr/>
      <w:tcPr>
        <w:shd w:val="clear" w:color="auto" w:fill="B2B2B2" w:themeFill="text1" w:themeFillTint="66"/>
      </w:tcPr>
    </w:tblStylePr>
    <w:tblStylePr w:type="lastRow">
      <w:rPr>
        <w:b/>
        <w:bCs/>
        <w:color w:val="404040" w:themeColor="text1"/>
      </w:rPr>
      <w:tblPr/>
      <w:tcPr>
        <w:shd w:val="clear" w:color="auto" w:fill="B2B2B2" w:themeFill="text1" w:themeFillTint="66"/>
      </w:tcPr>
    </w:tblStylePr>
    <w:tblStylePr w:type="firstCol">
      <w:rPr>
        <w:color w:val="FFFFFF" w:themeColor="background1"/>
      </w:rPr>
      <w:tblPr/>
      <w:tcPr>
        <w:shd w:val="clear" w:color="auto" w:fill="2F2F2F" w:themeFill="text1" w:themeFillShade="BF"/>
      </w:tcPr>
    </w:tblStylePr>
    <w:tblStylePr w:type="lastCol">
      <w:rPr>
        <w:color w:val="FFFFFF" w:themeColor="background1"/>
      </w:rPr>
      <w:tblPr/>
      <w:tcPr>
        <w:shd w:val="clear" w:color="auto" w:fill="2F2F2F" w:themeFill="text1" w:themeFillShade="BF"/>
      </w:tc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ColorfulGrid-Accent1">
    <w:name w:val="Colorful Grid Accent 1"/>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3F3F4" w:themeFill="accent1" w:themeFillTint="33"/>
    </w:tcPr>
    <w:tblStylePr w:type="firstRow">
      <w:rPr>
        <w:b/>
        <w:bCs/>
      </w:rPr>
      <w:tblPr/>
      <w:tcPr>
        <w:shd w:val="clear" w:color="auto" w:fill="E8E8E9" w:themeFill="accent1" w:themeFillTint="66"/>
      </w:tcPr>
    </w:tblStylePr>
    <w:tblStylePr w:type="lastRow">
      <w:rPr>
        <w:b/>
        <w:bCs/>
        <w:color w:val="404040" w:themeColor="text1"/>
      </w:rPr>
      <w:tblPr/>
      <w:tcPr>
        <w:shd w:val="clear" w:color="auto" w:fill="E8E8E9" w:themeFill="accent1" w:themeFillTint="66"/>
      </w:tcPr>
    </w:tblStylePr>
    <w:tblStylePr w:type="firstCol">
      <w:rPr>
        <w:color w:val="FFFFFF" w:themeColor="background1"/>
      </w:rPr>
      <w:tblPr/>
      <w:tcPr>
        <w:shd w:val="clear" w:color="auto" w:fill="939599" w:themeFill="accent1" w:themeFillShade="BF"/>
      </w:tcPr>
    </w:tblStylePr>
    <w:tblStylePr w:type="lastCol">
      <w:rPr>
        <w:color w:val="FFFFFF" w:themeColor="background1"/>
      </w:rPr>
      <w:tblPr/>
      <w:tcPr>
        <w:shd w:val="clear" w:color="auto" w:fill="939599" w:themeFill="accent1" w:themeFillShade="BF"/>
      </w:tcPr>
    </w:tblStylePr>
    <w:tblStylePr w:type="band1Vert">
      <w:tblPr/>
      <w:tcPr>
        <w:shd w:val="clear" w:color="auto" w:fill="E3E3E4" w:themeFill="accent1" w:themeFillTint="7F"/>
      </w:tcPr>
    </w:tblStylePr>
    <w:tblStylePr w:type="band1Horz">
      <w:tblPr/>
      <w:tcPr>
        <w:shd w:val="clear" w:color="auto" w:fill="E3E3E4" w:themeFill="accent1" w:themeFillTint="7F"/>
      </w:tcPr>
    </w:tblStylePr>
  </w:style>
  <w:style w:type="table" w:styleId="ColorfulGrid-Accent2">
    <w:name w:val="Colorful Grid Accent 2"/>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9E9EA" w:themeFill="accent2" w:themeFillTint="33"/>
    </w:tcPr>
    <w:tblStylePr w:type="firstRow">
      <w:rPr>
        <w:b/>
        <w:bCs/>
      </w:rPr>
      <w:tblPr/>
      <w:tcPr>
        <w:shd w:val="clear" w:color="auto" w:fill="D3D4D5" w:themeFill="accent2" w:themeFillTint="66"/>
      </w:tcPr>
    </w:tblStylePr>
    <w:tblStylePr w:type="lastRow">
      <w:rPr>
        <w:b/>
        <w:bCs/>
        <w:color w:val="404040" w:themeColor="text1"/>
      </w:rPr>
      <w:tblPr/>
      <w:tcPr>
        <w:shd w:val="clear" w:color="auto" w:fill="D3D4D5" w:themeFill="accent2" w:themeFillTint="66"/>
      </w:tcPr>
    </w:tblStylePr>
    <w:tblStylePr w:type="firstCol">
      <w:rPr>
        <w:color w:val="FFFFFF" w:themeColor="background1"/>
      </w:rPr>
      <w:tblPr/>
      <w:tcPr>
        <w:shd w:val="clear" w:color="auto" w:fill="6D6F72" w:themeFill="accent2" w:themeFillShade="BF"/>
      </w:tcPr>
    </w:tblStylePr>
    <w:tblStylePr w:type="lastCol">
      <w:rPr>
        <w:color w:val="FFFFFF" w:themeColor="background1"/>
      </w:rPr>
      <w:tblPr/>
      <w:tcPr>
        <w:shd w:val="clear" w:color="auto" w:fill="6D6F72" w:themeFill="accent2" w:themeFillShade="BF"/>
      </w:tcPr>
    </w:tblStylePr>
    <w:tblStylePr w:type="band1Vert">
      <w:tblPr/>
      <w:tcPr>
        <w:shd w:val="clear" w:color="auto" w:fill="C9CACB" w:themeFill="accent2" w:themeFillTint="7F"/>
      </w:tcPr>
    </w:tblStylePr>
    <w:tblStylePr w:type="band1Horz">
      <w:tblPr/>
      <w:tcPr>
        <w:shd w:val="clear" w:color="auto" w:fill="C9CACB" w:themeFill="accent2" w:themeFillTint="7F"/>
      </w:tcPr>
    </w:tblStylePr>
  </w:style>
  <w:style w:type="table" w:styleId="ColorfulGrid-Accent3">
    <w:name w:val="Colorful Grid Accent 3"/>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FDFE0" w:themeFill="accent3" w:themeFillTint="33"/>
    </w:tcPr>
    <w:tblStylePr w:type="firstRow">
      <w:rPr>
        <w:b/>
        <w:bCs/>
      </w:rPr>
      <w:tblPr/>
      <w:tcPr>
        <w:shd w:val="clear" w:color="auto" w:fill="C0C0C2" w:themeFill="accent3" w:themeFillTint="66"/>
      </w:tcPr>
    </w:tblStylePr>
    <w:tblStylePr w:type="lastRow">
      <w:rPr>
        <w:b/>
        <w:bCs/>
        <w:color w:val="404040" w:themeColor="text1"/>
      </w:rPr>
      <w:tblPr/>
      <w:tcPr>
        <w:shd w:val="clear" w:color="auto" w:fill="C0C0C2" w:themeFill="accent3" w:themeFillTint="66"/>
      </w:tcPr>
    </w:tblStylePr>
    <w:tblStylePr w:type="firstCol">
      <w:rPr>
        <w:color w:val="FFFFFF" w:themeColor="background1"/>
      </w:rPr>
      <w:tblPr/>
      <w:tcPr>
        <w:shd w:val="clear" w:color="auto" w:fill="4A4A4C" w:themeFill="accent3" w:themeFillShade="BF"/>
      </w:tcPr>
    </w:tblStylePr>
    <w:tblStylePr w:type="lastCol">
      <w:rPr>
        <w:color w:val="FFFFFF" w:themeColor="background1"/>
      </w:rPr>
      <w:tblPr/>
      <w:tcPr>
        <w:shd w:val="clear" w:color="auto" w:fill="4A4A4C" w:themeFill="accent3" w:themeFillShade="BF"/>
      </w:tcPr>
    </w:tblStylePr>
    <w:tblStylePr w:type="band1Vert">
      <w:tblPr/>
      <w:tcPr>
        <w:shd w:val="clear" w:color="auto" w:fill="B0B1B3" w:themeFill="accent3" w:themeFillTint="7F"/>
      </w:tcPr>
    </w:tblStylePr>
    <w:tblStylePr w:type="band1Horz">
      <w:tblPr/>
      <w:tcPr>
        <w:shd w:val="clear" w:color="auto" w:fill="B0B1B3" w:themeFill="accent3" w:themeFillTint="7F"/>
      </w:tcPr>
    </w:tblStylePr>
  </w:style>
  <w:style w:type="table" w:styleId="ColorfulGrid-Accent4">
    <w:name w:val="Colorful Grid Accent 4"/>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7CFD2" w:themeFill="accent4" w:themeFillTint="33"/>
    </w:tcPr>
    <w:tblStylePr w:type="firstRow">
      <w:rPr>
        <w:b/>
        <w:bCs/>
      </w:rPr>
      <w:tblPr/>
      <w:tcPr>
        <w:shd w:val="clear" w:color="auto" w:fill="F0A0A5" w:themeFill="accent4" w:themeFillTint="66"/>
      </w:tcPr>
    </w:tblStylePr>
    <w:tblStylePr w:type="lastRow">
      <w:rPr>
        <w:b/>
        <w:bCs/>
        <w:color w:val="404040" w:themeColor="text1"/>
      </w:rPr>
      <w:tblPr/>
      <w:tcPr>
        <w:shd w:val="clear" w:color="auto" w:fill="F0A0A5" w:themeFill="accent4" w:themeFillTint="66"/>
      </w:tcPr>
    </w:tblStylePr>
    <w:tblStylePr w:type="firstCol">
      <w:rPr>
        <w:color w:val="FFFFFF" w:themeColor="background1"/>
      </w:rPr>
      <w:tblPr/>
      <w:tcPr>
        <w:shd w:val="clear" w:color="auto" w:fill="991820" w:themeFill="accent4" w:themeFillShade="BF"/>
      </w:tcPr>
    </w:tblStylePr>
    <w:tblStylePr w:type="lastCol">
      <w:rPr>
        <w:color w:val="FFFFFF" w:themeColor="background1"/>
      </w:rPr>
      <w:tblPr/>
      <w:tcPr>
        <w:shd w:val="clear" w:color="auto" w:fill="991820" w:themeFill="accent4" w:themeFillShade="BF"/>
      </w:tcPr>
    </w:tblStylePr>
    <w:tblStylePr w:type="band1Vert">
      <w:tblPr/>
      <w:tcPr>
        <w:shd w:val="clear" w:color="auto" w:fill="EC898F" w:themeFill="accent4" w:themeFillTint="7F"/>
      </w:tcPr>
    </w:tblStylePr>
    <w:tblStylePr w:type="band1Horz">
      <w:tblPr/>
      <w:tcPr>
        <w:shd w:val="clear" w:color="auto" w:fill="EC898F" w:themeFill="accent4" w:themeFillTint="7F"/>
      </w:tcPr>
    </w:tblStylePr>
  </w:style>
  <w:style w:type="table" w:styleId="ColorfulGrid-Accent5">
    <w:name w:val="Colorful Grid Accent 5"/>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BBDCFF" w:themeFill="accent5" w:themeFillTint="33"/>
    </w:tcPr>
    <w:tblStylePr w:type="firstRow">
      <w:rPr>
        <w:b/>
        <w:bCs/>
      </w:rPr>
      <w:tblPr/>
      <w:tcPr>
        <w:shd w:val="clear" w:color="auto" w:fill="77BAFF" w:themeFill="accent5" w:themeFillTint="66"/>
      </w:tcPr>
    </w:tblStylePr>
    <w:tblStylePr w:type="lastRow">
      <w:rPr>
        <w:b/>
        <w:bCs/>
        <w:color w:val="404040" w:themeColor="text1"/>
      </w:rPr>
      <w:tblPr/>
      <w:tcPr>
        <w:shd w:val="clear" w:color="auto" w:fill="77BAFF" w:themeFill="accent5" w:themeFillTint="66"/>
      </w:tcPr>
    </w:tblStylePr>
    <w:tblStylePr w:type="firstCol">
      <w:rPr>
        <w:color w:val="FFFFFF" w:themeColor="background1"/>
      </w:rPr>
      <w:tblPr/>
      <w:tcPr>
        <w:shd w:val="clear" w:color="auto" w:fill="003F7F" w:themeFill="accent5" w:themeFillShade="BF"/>
      </w:tcPr>
    </w:tblStylePr>
    <w:tblStylePr w:type="lastCol">
      <w:rPr>
        <w:color w:val="FFFFFF" w:themeColor="background1"/>
      </w:rPr>
      <w:tblPr/>
      <w:tcPr>
        <w:shd w:val="clear" w:color="auto" w:fill="003F7F" w:themeFill="accent5" w:themeFillShade="BF"/>
      </w:tcPr>
    </w:tblStylePr>
    <w:tblStylePr w:type="band1Vert">
      <w:tblPr/>
      <w:tcPr>
        <w:shd w:val="clear" w:color="auto" w:fill="55AAFF" w:themeFill="accent5" w:themeFillTint="7F"/>
      </w:tcPr>
    </w:tblStylePr>
    <w:tblStylePr w:type="band1Horz">
      <w:tblPr/>
      <w:tcPr>
        <w:shd w:val="clear" w:color="auto" w:fill="55AAFF" w:themeFill="accent5" w:themeFillTint="7F"/>
      </w:tcPr>
    </w:tblStylePr>
  </w:style>
  <w:style w:type="table" w:styleId="ColorfulGrid-Accent6">
    <w:name w:val="Colorful Grid Accent 6"/>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FEDD2" w:themeFill="accent6" w:themeFillTint="33"/>
    </w:tcPr>
    <w:tblStylePr w:type="firstRow">
      <w:rPr>
        <w:b/>
        <w:bCs/>
      </w:rPr>
      <w:tblPr/>
      <w:tcPr>
        <w:shd w:val="clear" w:color="auto" w:fill="FFDCA6" w:themeFill="accent6" w:themeFillTint="66"/>
      </w:tcPr>
    </w:tblStylePr>
    <w:tblStylePr w:type="lastRow">
      <w:rPr>
        <w:b/>
        <w:bCs/>
        <w:color w:val="404040" w:themeColor="text1"/>
      </w:rPr>
      <w:tblPr/>
      <w:tcPr>
        <w:shd w:val="clear" w:color="auto" w:fill="FFDCA6" w:themeFill="accent6" w:themeFillTint="66"/>
      </w:tcPr>
    </w:tblStylePr>
    <w:tblStylePr w:type="firstCol">
      <w:rPr>
        <w:color w:val="FFFFFF" w:themeColor="background1"/>
      </w:rPr>
      <w:tblPr/>
      <w:tcPr>
        <w:shd w:val="clear" w:color="auto" w:fill="D88400" w:themeFill="accent6" w:themeFillShade="BF"/>
      </w:tcPr>
    </w:tblStylePr>
    <w:tblStylePr w:type="lastCol">
      <w:rPr>
        <w:color w:val="FFFFFF" w:themeColor="background1"/>
      </w:rPr>
      <w:tblPr/>
      <w:tcPr>
        <w:shd w:val="clear" w:color="auto" w:fill="D88400" w:themeFill="accent6" w:themeFillShade="BF"/>
      </w:tcPr>
    </w:tblStylePr>
    <w:tblStylePr w:type="band1Vert">
      <w:tblPr/>
      <w:tcPr>
        <w:shd w:val="clear" w:color="auto" w:fill="FFD490" w:themeFill="accent6" w:themeFillTint="7F"/>
      </w:tcPr>
    </w:tblStylePr>
    <w:tblStylePr w:type="band1Horz">
      <w:tblPr/>
      <w:tcPr>
        <w:shd w:val="clear" w:color="auto" w:fill="FFD490" w:themeFill="accent6" w:themeFillTint="7F"/>
      </w:tcPr>
    </w:tblStylePr>
  </w:style>
  <w:style w:type="table" w:styleId="ColorfulList">
    <w:name w:val="Colorful List"/>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text1" w:themeFillTint="3F"/>
      </w:tcPr>
    </w:tblStylePr>
    <w:tblStylePr w:type="band1Horz">
      <w:tblPr/>
      <w:tcPr>
        <w:shd w:val="clear" w:color="auto" w:fill="D8D8D8" w:themeFill="text1" w:themeFillTint="33"/>
      </w:tcPr>
    </w:tblStylePr>
  </w:style>
  <w:style w:type="table" w:styleId="ColorfulList-Accent1">
    <w:name w:val="Colorful List Accent 1"/>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9F9F9" w:themeFill="accent1"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2" w:themeFill="accent1" w:themeFillTint="3F"/>
      </w:tcPr>
    </w:tblStylePr>
    <w:tblStylePr w:type="band1Horz">
      <w:tblPr/>
      <w:tcPr>
        <w:shd w:val="clear" w:color="auto" w:fill="F3F3F4" w:themeFill="accent1" w:themeFillTint="33"/>
      </w:tcPr>
    </w:tblStylePr>
  </w:style>
  <w:style w:type="table" w:styleId="ColorfulList-Accent2">
    <w:name w:val="Colorful List Accent 2"/>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4F4F4" w:themeFill="accent2"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5" w:themeFill="accent2" w:themeFillTint="3F"/>
      </w:tcPr>
    </w:tblStylePr>
    <w:tblStylePr w:type="band1Horz">
      <w:tblPr/>
      <w:tcPr>
        <w:shd w:val="clear" w:color="auto" w:fill="E9E9EA" w:themeFill="accent2" w:themeFillTint="33"/>
      </w:tcPr>
    </w:tblStylePr>
  </w:style>
  <w:style w:type="table" w:styleId="ColorfulList-Accent3">
    <w:name w:val="Colorful List Accent 3"/>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FEFF0" w:themeFill="accent3" w:themeFillTint="19"/>
    </w:tcPr>
    <w:tblStylePr w:type="firstRow">
      <w:rPr>
        <w:b/>
        <w:bCs/>
        <w:color w:val="FFFFFF" w:themeColor="background1"/>
      </w:rPr>
      <w:tblPr/>
      <w:tcPr>
        <w:tcBorders>
          <w:bottom w:val="single" w:sz="12" w:space="0" w:color="FFFFFF" w:themeColor="background1"/>
        </w:tcBorders>
        <w:shd w:val="clear" w:color="auto" w:fill="A31922" w:themeFill="accent4" w:themeFillShade="CC"/>
      </w:tcPr>
    </w:tblStylePr>
    <w:tblStylePr w:type="lastRow">
      <w:rPr>
        <w:b/>
        <w:bCs/>
        <w:color w:val="A31922" w:themeColor="accent4"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8D9" w:themeFill="accent3" w:themeFillTint="3F"/>
      </w:tcPr>
    </w:tblStylePr>
    <w:tblStylePr w:type="band1Horz">
      <w:tblPr/>
      <w:tcPr>
        <w:shd w:val="clear" w:color="auto" w:fill="DFDFE0" w:themeFill="accent3" w:themeFillTint="33"/>
      </w:tcPr>
    </w:tblStylePr>
  </w:style>
  <w:style w:type="table" w:styleId="ColorfulList-Accent4">
    <w:name w:val="Colorful List Accent 4"/>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BE7E8" w:themeFill="accent4" w:themeFillTint="19"/>
    </w:tcPr>
    <w:tblStylePr w:type="firstRow">
      <w:rPr>
        <w:b/>
        <w:bCs/>
        <w:color w:val="FFFFFF" w:themeColor="background1"/>
      </w:rPr>
      <w:tblPr/>
      <w:tcPr>
        <w:tcBorders>
          <w:bottom w:val="single" w:sz="12" w:space="0" w:color="FFFFFF" w:themeColor="background1"/>
        </w:tcBorders>
        <w:shd w:val="clear" w:color="auto" w:fill="4F5051" w:themeFill="accent3" w:themeFillShade="CC"/>
      </w:tcPr>
    </w:tblStylePr>
    <w:tblStylePr w:type="lastRow">
      <w:rPr>
        <w:b/>
        <w:bCs/>
        <w:color w:val="4F5051" w:themeColor="accent3"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4C7" w:themeFill="accent4" w:themeFillTint="3F"/>
      </w:tcPr>
    </w:tblStylePr>
    <w:tblStylePr w:type="band1Horz">
      <w:tblPr/>
      <w:tcPr>
        <w:shd w:val="clear" w:color="auto" w:fill="F7CFD2" w:themeFill="accent4" w:themeFillTint="33"/>
      </w:tcPr>
    </w:tblStylePr>
  </w:style>
  <w:style w:type="table" w:styleId="ColorfulList-Accent5">
    <w:name w:val="Colorful List Accent 5"/>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DDEEFF" w:themeFill="accent5" w:themeFillTint="19"/>
    </w:tcPr>
    <w:tblStylePr w:type="firstRow">
      <w:rPr>
        <w:b/>
        <w:bCs/>
        <w:color w:val="FFFFFF" w:themeColor="background1"/>
      </w:rPr>
      <w:tblPr/>
      <w:tcPr>
        <w:tcBorders>
          <w:bottom w:val="single" w:sz="12" w:space="0" w:color="FFFFFF" w:themeColor="background1"/>
        </w:tcBorders>
        <w:shd w:val="clear" w:color="auto" w:fill="E78D00" w:themeFill="accent6" w:themeFillShade="CC"/>
      </w:tcPr>
    </w:tblStylePr>
    <w:tblStylePr w:type="lastRow">
      <w:rPr>
        <w:b/>
        <w:bCs/>
        <w:color w:val="E78D00" w:themeColor="accent6"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4FF" w:themeFill="accent5" w:themeFillTint="3F"/>
      </w:tcPr>
    </w:tblStylePr>
    <w:tblStylePr w:type="band1Horz">
      <w:tblPr/>
      <w:tcPr>
        <w:shd w:val="clear" w:color="auto" w:fill="BBDCFF" w:themeFill="accent5" w:themeFillTint="33"/>
      </w:tcPr>
    </w:tblStylePr>
  </w:style>
  <w:style w:type="table" w:styleId="ColorfulList-Accent6">
    <w:name w:val="Colorful List Accent 6"/>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FF6E9" w:themeFill="accent6" w:themeFillTint="19"/>
    </w:tcPr>
    <w:tblStylePr w:type="firstRow">
      <w:rPr>
        <w:b/>
        <w:bCs/>
        <w:color w:val="FFFFFF" w:themeColor="background1"/>
      </w:rPr>
      <w:tblPr/>
      <w:tcPr>
        <w:tcBorders>
          <w:bottom w:val="single" w:sz="12" w:space="0" w:color="FFFFFF" w:themeColor="background1"/>
        </w:tcBorders>
        <w:shd w:val="clear" w:color="auto" w:fill="004388" w:themeFill="accent5" w:themeFillShade="CC"/>
      </w:tcPr>
    </w:tblStylePr>
    <w:tblStylePr w:type="lastRow">
      <w:rPr>
        <w:b/>
        <w:bCs/>
        <w:color w:val="004388" w:themeColor="accent5"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C8" w:themeFill="accent6" w:themeFillTint="3F"/>
      </w:tcPr>
    </w:tblStylePr>
    <w:tblStylePr w:type="band1Horz">
      <w:tblPr/>
      <w:tcPr>
        <w:shd w:val="clear" w:color="auto" w:fill="FFEDD2" w:themeFill="accent6" w:themeFillTint="33"/>
      </w:tcPr>
    </w:tblStylePr>
  </w:style>
  <w:style w:type="table" w:styleId="ColorfulShading">
    <w:name w:val="Colorful Shading"/>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404040" w:themeColor="text1"/>
        <w:bottom w:val="single" w:sz="4" w:space="0" w:color="404040" w:themeColor="text1"/>
        <w:right w:val="single" w:sz="4" w:space="0" w:color="404040"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text1" w:themeFillShade="99"/>
      </w:tcPr>
    </w:tblStylePr>
    <w:tblStylePr w:type="firstCol">
      <w:rPr>
        <w:color w:val="FFFFFF" w:themeColor="background1"/>
      </w:rPr>
      <w:tblPr/>
      <w:tcPr>
        <w:tcBorders>
          <w:top w:val="nil"/>
          <w:left w:val="nil"/>
          <w:bottom w:val="nil"/>
          <w:right w:val="nil"/>
          <w:insideH w:val="single" w:sz="4" w:space="0" w:color="262626" w:themeColor="text1" w:themeShade="99"/>
          <w:insideV w:val="nil"/>
        </w:tcBorders>
        <w:shd w:val="clear" w:color="auto" w:fill="26262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F2F2F" w:themeFill="text1" w:themeFillShade="BF"/>
      </w:tcPr>
    </w:tblStylePr>
    <w:tblStylePr w:type="band1Vert">
      <w:tblPr/>
      <w:tcPr>
        <w:shd w:val="clear" w:color="auto" w:fill="B2B2B2" w:themeFill="text1" w:themeFillTint="66"/>
      </w:tcPr>
    </w:tblStylePr>
    <w:tblStylePr w:type="band1Horz">
      <w:tblPr/>
      <w:tcPr>
        <w:shd w:val="clear" w:color="auto" w:fill="9F9F9F" w:themeFill="text1" w:themeFillTint="7F"/>
      </w:tcPr>
    </w:tblStylePr>
    <w:tblStylePr w:type="neCell">
      <w:rPr>
        <w:color w:val="404040" w:themeColor="text1"/>
      </w:rPr>
    </w:tblStylePr>
    <w:tblStylePr w:type="nwCell">
      <w:rPr>
        <w:color w:val="404040" w:themeColor="text1"/>
      </w:rPr>
    </w:tblStylePr>
  </w:style>
  <w:style w:type="table" w:styleId="ColorfulShading-Accent1">
    <w:name w:val="Colorful Shading Accent 1"/>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C7C8CA" w:themeColor="accent1"/>
        <w:bottom w:val="single" w:sz="4" w:space="0" w:color="C7C8CA" w:themeColor="accent1"/>
        <w:right w:val="single" w:sz="4" w:space="0" w:color="C7C8CA" w:themeColor="accent1"/>
        <w:insideH w:val="single" w:sz="4" w:space="0" w:color="FFFFFF" w:themeColor="background1"/>
        <w:insideV w:val="single" w:sz="4" w:space="0" w:color="FFFFFF" w:themeColor="background1"/>
      </w:tblBorders>
    </w:tblPr>
    <w:tcPr>
      <w:shd w:val="clear" w:color="auto" w:fill="F9F9F9" w:themeFill="accent1"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77B" w:themeFill="accent1" w:themeFillShade="99"/>
      </w:tcPr>
    </w:tblStylePr>
    <w:tblStylePr w:type="firstCol">
      <w:rPr>
        <w:color w:val="FFFFFF" w:themeColor="background1"/>
      </w:rPr>
      <w:tblPr/>
      <w:tcPr>
        <w:tcBorders>
          <w:top w:val="nil"/>
          <w:left w:val="nil"/>
          <w:bottom w:val="nil"/>
          <w:right w:val="nil"/>
          <w:insideH w:val="single" w:sz="4" w:space="0" w:color="75777B" w:themeColor="accent1" w:themeShade="99"/>
          <w:insideV w:val="nil"/>
        </w:tcBorders>
        <w:shd w:val="clear" w:color="auto" w:fill="7577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5777B" w:themeFill="accent1" w:themeFillShade="99"/>
      </w:tcPr>
    </w:tblStylePr>
    <w:tblStylePr w:type="band1Vert">
      <w:tblPr/>
      <w:tcPr>
        <w:shd w:val="clear" w:color="auto" w:fill="E8E8E9" w:themeFill="accent1" w:themeFillTint="66"/>
      </w:tcPr>
    </w:tblStylePr>
    <w:tblStylePr w:type="band1Horz">
      <w:tblPr/>
      <w:tcPr>
        <w:shd w:val="clear" w:color="auto" w:fill="E3E3E4" w:themeFill="accent1" w:themeFillTint="7F"/>
      </w:tcPr>
    </w:tblStylePr>
    <w:tblStylePr w:type="neCell">
      <w:rPr>
        <w:color w:val="404040" w:themeColor="text1"/>
      </w:rPr>
    </w:tblStylePr>
    <w:tblStylePr w:type="nwCell">
      <w:rPr>
        <w:color w:val="404040" w:themeColor="text1"/>
      </w:rPr>
    </w:tblStylePr>
  </w:style>
  <w:style w:type="table" w:styleId="ColorfulShading-Accent2">
    <w:name w:val="Colorful Shading Accent 2"/>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939598" w:themeColor="accent2"/>
        <w:bottom w:val="single" w:sz="4" w:space="0" w:color="939598" w:themeColor="accent2"/>
        <w:right w:val="single" w:sz="4" w:space="0" w:color="939598" w:themeColor="accent2"/>
        <w:insideH w:val="single" w:sz="4" w:space="0" w:color="FFFFFF" w:themeColor="background1"/>
        <w:insideV w:val="single" w:sz="4" w:space="0" w:color="FFFFFF" w:themeColor="background1"/>
      </w:tblBorders>
    </w:tblPr>
    <w:tcPr>
      <w:shd w:val="clear" w:color="auto" w:fill="F4F4F4" w:themeFill="accent2"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95B" w:themeFill="accent2" w:themeFillShade="99"/>
      </w:tcPr>
    </w:tblStylePr>
    <w:tblStylePr w:type="firstCol">
      <w:rPr>
        <w:color w:val="FFFFFF" w:themeColor="background1"/>
      </w:rPr>
      <w:tblPr/>
      <w:tcPr>
        <w:tcBorders>
          <w:top w:val="nil"/>
          <w:left w:val="nil"/>
          <w:bottom w:val="nil"/>
          <w:right w:val="nil"/>
          <w:insideH w:val="single" w:sz="4" w:space="0" w:color="57595B" w:themeColor="accent2" w:themeShade="99"/>
          <w:insideV w:val="nil"/>
        </w:tcBorders>
        <w:shd w:val="clear" w:color="auto" w:fill="5759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595B" w:themeFill="accent2" w:themeFillShade="99"/>
      </w:tcPr>
    </w:tblStylePr>
    <w:tblStylePr w:type="band1Vert">
      <w:tblPr/>
      <w:tcPr>
        <w:shd w:val="clear" w:color="auto" w:fill="D3D4D5" w:themeFill="accent2" w:themeFillTint="66"/>
      </w:tcPr>
    </w:tblStylePr>
    <w:tblStylePr w:type="band1Horz">
      <w:tblPr/>
      <w:tcPr>
        <w:shd w:val="clear" w:color="auto" w:fill="C9CACB" w:themeFill="accent2" w:themeFillTint="7F"/>
      </w:tcPr>
    </w:tblStylePr>
    <w:tblStylePr w:type="neCell">
      <w:rPr>
        <w:color w:val="404040" w:themeColor="text1"/>
      </w:rPr>
    </w:tblStylePr>
    <w:tblStylePr w:type="nwCell">
      <w:rPr>
        <w:color w:val="404040" w:themeColor="text1"/>
      </w:rPr>
    </w:tblStylePr>
  </w:style>
  <w:style w:type="table" w:styleId="ColorfulShading-Accent3">
    <w:name w:val="Colorful Shading Accent 3"/>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CD202C" w:themeColor="accent4"/>
        <w:left w:val="single" w:sz="4" w:space="0" w:color="636466" w:themeColor="accent3"/>
        <w:bottom w:val="single" w:sz="4" w:space="0" w:color="636466" w:themeColor="accent3"/>
        <w:right w:val="single" w:sz="4" w:space="0" w:color="636466" w:themeColor="accent3"/>
        <w:insideH w:val="single" w:sz="4" w:space="0" w:color="FFFFFF" w:themeColor="background1"/>
        <w:insideV w:val="single" w:sz="4" w:space="0" w:color="FFFFFF" w:themeColor="background1"/>
      </w:tblBorders>
    </w:tblPr>
    <w:tcPr>
      <w:shd w:val="clear" w:color="auto" w:fill="EFEFF0" w:themeFill="accent3" w:themeFillTint="19"/>
    </w:tcPr>
    <w:tblStylePr w:type="firstRow">
      <w:rPr>
        <w:b/>
        <w:bCs/>
      </w:rPr>
      <w:tblPr/>
      <w:tcPr>
        <w:tcBorders>
          <w:top w:val="nil"/>
          <w:left w:val="nil"/>
          <w:bottom w:val="single" w:sz="24" w:space="0" w:color="CD20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3B3D" w:themeFill="accent3" w:themeFillShade="99"/>
      </w:tcPr>
    </w:tblStylePr>
    <w:tblStylePr w:type="firstCol">
      <w:rPr>
        <w:color w:val="FFFFFF" w:themeColor="background1"/>
      </w:rPr>
      <w:tblPr/>
      <w:tcPr>
        <w:tcBorders>
          <w:top w:val="nil"/>
          <w:left w:val="nil"/>
          <w:bottom w:val="nil"/>
          <w:right w:val="nil"/>
          <w:insideH w:val="single" w:sz="4" w:space="0" w:color="3B3B3D" w:themeColor="accent3" w:themeShade="99"/>
          <w:insideV w:val="nil"/>
        </w:tcBorders>
        <w:shd w:val="clear" w:color="auto" w:fill="3B3B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3B3D" w:themeFill="accent3" w:themeFillShade="99"/>
      </w:tcPr>
    </w:tblStylePr>
    <w:tblStylePr w:type="band1Vert">
      <w:tblPr/>
      <w:tcPr>
        <w:shd w:val="clear" w:color="auto" w:fill="C0C0C2" w:themeFill="accent3" w:themeFillTint="66"/>
      </w:tcPr>
    </w:tblStylePr>
    <w:tblStylePr w:type="band1Horz">
      <w:tblPr/>
      <w:tcPr>
        <w:shd w:val="clear" w:color="auto" w:fill="B0B1B3" w:themeFill="accent3" w:themeFillTint="7F"/>
      </w:tcPr>
    </w:tblStylePr>
  </w:style>
  <w:style w:type="table" w:styleId="ColorfulShading-Accent4">
    <w:name w:val="Colorful Shading Accent 4"/>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36466" w:themeColor="accent3"/>
        <w:left w:val="single" w:sz="4" w:space="0" w:color="CD202C" w:themeColor="accent4"/>
        <w:bottom w:val="single" w:sz="4" w:space="0" w:color="CD202C" w:themeColor="accent4"/>
        <w:right w:val="single" w:sz="4" w:space="0" w:color="CD202C" w:themeColor="accent4"/>
        <w:insideH w:val="single" w:sz="4" w:space="0" w:color="FFFFFF" w:themeColor="background1"/>
        <w:insideV w:val="single" w:sz="4" w:space="0" w:color="FFFFFF" w:themeColor="background1"/>
      </w:tblBorders>
    </w:tblPr>
    <w:tcPr>
      <w:shd w:val="clear" w:color="auto" w:fill="FBE7E8" w:themeFill="accent4" w:themeFillTint="19"/>
    </w:tcPr>
    <w:tblStylePr w:type="firstRow">
      <w:rPr>
        <w:b/>
        <w:bCs/>
      </w:rPr>
      <w:tblPr/>
      <w:tcPr>
        <w:tcBorders>
          <w:top w:val="nil"/>
          <w:left w:val="nil"/>
          <w:bottom w:val="single" w:sz="24" w:space="0" w:color="6364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131A" w:themeFill="accent4" w:themeFillShade="99"/>
      </w:tcPr>
    </w:tblStylePr>
    <w:tblStylePr w:type="firstCol">
      <w:rPr>
        <w:color w:val="FFFFFF" w:themeColor="background1"/>
      </w:rPr>
      <w:tblPr/>
      <w:tcPr>
        <w:tcBorders>
          <w:top w:val="nil"/>
          <w:left w:val="nil"/>
          <w:bottom w:val="nil"/>
          <w:right w:val="nil"/>
          <w:insideH w:val="single" w:sz="4" w:space="0" w:color="7A131A" w:themeColor="accent4" w:themeShade="99"/>
          <w:insideV w:val="nil"/>
        </w:tcBorders>
        <w:shd w:val="clear" w:color="auto" w:fill="7A13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A131A" w:themeFill="accent4" w:themeFillShade="99"/>
      </w:tcPr>
    </w:tblStylePr>
    <w:tblStylePr w:type="band1Vert">
      <w:tblPr/>
      <w:tcPr>
        <w:shd w:val="clear" w:color="auto" w:fill="F0A0A5" w:themeFill="accent4" w:themeFillTint="66"/>
      </w:tcPr>
    </w:tblStylePr>
    <w:tblStylePr w:type="band1Horz">
      <w:tblPr/>
      <w:tcPr>
        <w:shd w:val="clear" w:color="auto" w:fill="EC898F" w:themeFill="accent4" w:themeFillTint="7F"/>
      </w:tcPr>
    </w:tblStylePr>
    <w:tblStylePr w:type="neCell">
      <w:rPr>
        <w:color w:val="404040" w:themeColor="text1"/>
      </w:rPr>
    </w:tblStylePr>
    <w:tblStylePr w:type="nwCell">
      <w:rPr>
        <w:color w:val="404040" w:themeColor="text1"/>
      </w:rPr>
    </w:tblStylePr>
  </w:style>
  <w:style w:type="table" w:styleId="ColorfulShading-Accent5">
    <w:name w:val="Colorful Shading Accent 5"/>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FFAA22" w:themeColor="accent6"/>
        <w:left w:val="single" w:sz="4" w:space="0" w:color="0055AA" w:themeColor="accent5"/>
        <w:bottom w:val="single" w:sz="4" w:space="0" w:color="0055AA" w:themeColor="accent5"/>
        <w:right w:val="single" w:sz="4" w:space="0" w:color="0055AA" w:themeColor="accent5"/>
        <w:insideH w:val="single" w:sz="4" w:space="0" w:color="FFFFFF" w:themeColor="background1"/>
        <w:insideV w:val="single" w:sz="4" w:space="0" w:color="FFFFFF" w:themeColor="background1"/>
      </w:tblBorders>
    </w:tblPr>
    <w:tcPr>
      <w:shd w:val="clear" w:color="auto" w:fill="DDEEFF" w:themeFill="accent5" w:themeFillTint="19"/>
    </w:tcPr>
    <w:tblStylePr w:type="firstRow">
      <w:rPr>
        <w:b/>
        <w:bCs/>
      </w:rPr>
      <w:tblPr/>
      <w:tcPr>
        <w:tcBorders>
          <w:top w:val="nil"/>
          <w:left w:val="nil"/>
          <w:bottom w:val="single" w:sz="24" w:space="0" w:color="FFAA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66" w:themeFill="accent5" w:themeFillShade="99"/>
      </w:tcPr>
    </w:tblStylePr>
    <w:tblStylePr w:type="firstCol">
      <w:rPr>
        <w:color w:val="FFFFFF" w:themeColor="background1"/>
      </w:rPr>
      <w:tblPr/>
      <w:tcPr>
        <w:tcBorders>
          <w:top w:val="nil"/>
          <w:left w:val="nil"/>
          <w:bottom w:val="nil"/>
          <w:right w:val="nil"/>
          <w:insideH w:val="single" w:sz="4" w:space="0" w:color="003266" w:themeColor="accent5" w:themeShade="99"/>
          <w:insideV w:val="nil"/>
        </w:tcBorders>
        <w:shd w:val="clear" w:color="auto" w:fill="00326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266" w:themeFill="accent5" w:themeFillShade="99"/>
      </w:tcPr>
    </w:tblStylePr>
    <w:tblStylePr w:type="band1Vert">
      <w:tblPr/>
      <w:tcPr>
        <w:shd w:val="clear" w:color="auto" w:fill="77BAFF" w:themeFill="accent5" w:themeFillTint="66"/>
      </w:tcPr>
    </w:tblStylePr>
    <w:tblStylePr w:type="band1Horz">
      <w:tblPr/>
      <w:tcPr>
        <w:shd w:val="clear" w:color="auto" w:fill="55AAFF" w:themeFill="accent5" w:themeFillTint="7F"/>
      </w:tcPr>
    </w:tblStylePr>
    <w:tblStylePr w:type="neCell">
      <w:rPr>
        <w:color w:val="404040" w:themeColor="text1"/>
      </w:rPr>
    </w:tblStylePr>
    <w:tblStylePr w:type="nwCell">
      <w:rPr>
        <w:color w:val="404040" w:themeColor="text1"/>
      </w:rPr>
    </w:tblStylePr>
  </w:style>
  <w:style w:type="table" w:styleId="ColorfulShading-Accent6">
    <w:name w:val="Colorful Shading Accent 6"/>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0055AA" w:themeColor="accent5"/>
        <w:left w:val="single" w:sz="4" w:space="0" w:color="FFAA22" w:themeColor="accent6"/>
        <w:bottom w:val="single" w:sz="4" w:space="0" w:color="FFAA22" w:themeColor="accent6"/>
        <w:right w:val="single" w:sz="4" w:space="0" w:color="FFAA22" w:themeColor="accent6"/>
        <w:insideH w:val="single" w:sz="4" w:space="0" w:color="FFFFFF" w:themeColor="background1"/>
        <w:insideV w:val="single" w:sz="4" w:space="0" w:color="FFFFFF" w:themeColor="background1"/>
      </w:tblBorders>
    </w:tblPr>
    <w:tcPr>
      <w:shd w:val="clear" w:color="auto" w:fill="FFF6E9" w:themeFill="accent6" w:themeFillTint="19"/>
    </w:tcPr>
    <w:tblStylePr w:type="firstRow">
      <w:rPr>
        <w:b/>
        <w:bCs/>
      </w:rPr>
      <w:tblPr/>
      <w:tcPr>
        <w:tcBorders>
          <w:top w:val="nil"/>
          <w:left w:val="nil"/>
          <w:bottom w:val="single" w:sz="24" w:space="0" w:color="0055A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6A00" w:themeFill="accent6" w:themeFillShade="99"/>
      </w:tcPr>
    </w:tblStylePr>
    <w:tblStylePr w:type="firstCol">
      <w:rPr>
        <w:color w:val="FFFFFF" w:themeColor="background1"/>
      </w:rPr>
      <w:tblPr/>
      <w:tcPr>
        <w:tcBorders>
          <w:top w:val="nil"/>
          <w:left w:val="nil"/>
          <w:bottom w:val="nil"/>
          <w:right w:val="nil"/>
          <w:insideH w:val="single" w:sz="4" w:space="0" w:color="AD6A00" w:themeColor="accent6" w:themeShade="99"/>
          <w:insideV w:val="nil"/>
        </w:tcBorders>
        <w:shd w:val="clear" w:color="auto" w:fill="AD6A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6A00" w:themeFill="accent6" w:themeFillShade="99"/>
      </w:tcPr>
    </w:tblStylePr>
    <w:tblStylePr w:type="band1Vert">
      <w:tblPr/>
      <w:tcPr>
        <w:shd w:val="clear" w:color="auto" w:fill="FFDCA6" w:themeFill="accent6" w:themeFillTint="66"/>
      </w:tcPr>
    </w:tblStylePr>
    <w:tblStylePr w:type="band1Horz">
      <w:tblPr/>
      <w:tcPr>
        <w:shd w:val="clear" w:color="auto" w:fill="FFD490" w:themeFill="accent6" w:themeFillTint="7F"/>
      </w:tcPr>
    </w:tblStylePr>
    <w:tblStylePr w:type="neCell">
      <w:rPr>
        <w:color w:val="404040" w:themeColor="text1"/>
      </w:rPr>
    </w:tblStylePr>
    <w:tblStylePr w:type="nwCell">
      <w:rPr>
        <w:color w:val="404040" w:themeColor="text1"/>
      </w:rPr>
    </w:tblStylePr>
  </w:style>
  <w:style w:type="character" w:styleId="CommentReference">
    <w:name w:val="annotation reference"/>
    <w:basedOn w:val="DefaultParagraphFont"/>
    <w:uiPriority w:val="99"/>
    <w:unhideWhenUsed/>
    <w:rsid w:val="00F527CC"/>
    <w:rPr>
      <w:sz w:val="16"/>
      <w:szCs w:val="16"/>
      <w:lang w:val="en-US"/>
    </w:rPr>
  </w:style>
  <w:style w:type="paragraph" w:styleId="CommentText">
    <w:name w:val="annotation text"/>
    <w:basedOn w:val="Normal"/>
    <w:link w:val="CommentTextChar"/>
    <w:uiPriority w:val="99"/>
    <w:unhideWhenUsed/>
    <w:rsid w:val="00F527CC"/>
    <w:pPr>
      <w:spacing w:line="240" w:lineRule="auto"/>
    </w:pPr>
    <w:rPr>
      <w:sz w:val="20"/>
      <w:szCs w:val="20"/>
    </w:rPr>
  </w:style>
  <w:style w:type="character" w:customStyle="1" w:styleId="CommentTextChar">
    <w:name w:val="Comment Text Char"/>
    <w:basedOn w:val="DefaultParagraphFont"/>
    <w:link w:val="CommentText"/>
    <w:uiPriority w:val="99"/>
    <w:rsid w:val="00F527CC"/>
    <w:rPr>
      <w:sz w:val="20"/>
      <w:szCs w:val="20"/>
      <w:lang w:val="en-US"/>
    </w:rPr>
  </w:style>
  <w:style w:type="paragraph" w:styleId="CommentSubject">
    <w:name w:val="annotation subject"/>
    <w:basedOn w:val="CommentText"/>
    <w:next w:val="CommentText"/>
    <w:link w:val="CommentSubjectChar"/>
    <w:uiPriority w:val="99"/>
    <w:semiHidden/>
    <w:unhideWhenUsed/>
    <w:rsid w:val="00F527CC"/>
    <w:rPr>
      <w:b/>
      <w:bCs/>
    </w:rPr>
  </w:style>
  <w:style w:type="character" w:customStyle="1" w:styleId="CommentSubjectChar">
    <w:name w:val="Comment Subject Char"/>
    <w:basedOn w:val="CommentTextChar"/>
    <w:link w:val="CommentSubject"/>
    <w:uiPriority w:val="99"/>
    <w:semiHidden/>
    <w:rsid w:val="00F527CC"/>
    <w:rPr>
      <w:b/>
      <w:bCs/>
      <w:sz w:val="20"/>
      <w:szCs w:val="20"/>
      <w:lang w:val="en-US"/>
    </w:rPr>
  </w:style>
  <w:style w:type="table" w:styleId="DarkList">
    <w:name w:val="Dark List"/>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404040" w:themeFill="tex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text1" w:themeFillShade="BF"/>
      </w:tcPr>
    </w:tblStylePr>
    <w:tblStylePr w:type="band1Vert">
      <w:tblPr/>
      <w:tcPr>
        <w:tcBorders>
          <w:top w:val="nil"/>
          <w:left w:val="nil"/>
          <w:bottom w:val="nil"/>
          <w:right w:val="nil"/>
          <w:insideH w:val="nil"/>
          <w:insideV w:val="nil"/>
        </w:tcBorders>
        <w:shd w:val="clear" w:color="auto" w:fill="2F2F2F" w:themeFill="text1" w:themeFillShade="BF"/>
      </w:tcPr>
    </w:tblStylePr>
    <w:tblStylePr w:type="band1Horz">
      <w:tblPr/>
      <w:tcPr>
        <w:tcBorders>
          <w:top w:val="nil"/>
          <w:left w:val="nil"/>
          <w:bottom w:val="nil"/>
          <w:right w:val="nil"/>
          <w:insideH w:val="nil"/>
          <w:insideV w:val="nil"/>
        </w:tcBorders>
        <w:shd w:val="clear" w:color="auto" w:fill="2F2F2F" w:themeFill="text1" w:themeFillShade="BF"/>
      </w:tcPr>
    </w:tblStylePr>
  </w:style>
  <w:style w:type="table" w:styleId="DarkList-Accent1">
    <w:name w:val="Dark List Accent 1"/>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7C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162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959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9599" w:themeFill="accent1" w:themeFillShade="BF"/>
      </w:tcPr>
    </w:tblStylePr>
    <w:tblStylePr w:type="band1Vert">
      <w:tblPr/>
      <w:tcPr>
        <w:tcBorders>
          <w:top w:val="nil"/>
          <w:left w:val="nil"/>
          <w:bottom w:val="nil"/>
          <w:right w:val="nil"/>
          <w:insideH w:val="nil"/>
          <w:insideV w:val="nil"/>
        </w:tcBorders>
        <w:shd w:val="clear" w:color="auto" w:fill="939599" w:themeFill="accent1" w:themeFillShade="BF"/>
      </w:tcPr>
    </w:tblStylePr>
    <w:tblStylePr w:type="band1Horz">
      <w:tblPr/>
      <w:tcPr>
        <w:tcBorders>
          <w:top w:val="nil"/>
          <w:left w:val="nil"/>
          <w:bottom w:val="nil"/>
          <w:right w:val="nil"/>
          <w:insideH w:val="nil"/>
          <w:insideV w:val="nil"/>
        </w:tcBorders>
        <w:shd w:val="clear" w:color="auto" w:fill="939599" w:themeFill="accent1" w:themeFillShade="BF"/>
      </w:tcPr>
    </w:tblStylePr>
  </w:style>
  <w:style w:type="table" w:styleId="DarkList-Accent2">
    <w:name w:val="Dark List Accent 2"/>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93959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484A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6F7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6F72" w:themeFill="accent2" w:themeFillShade="BF"/>
      </w:tcPr>
    </w:tblStylePr>
    <w:tblStylePr w:type="band1Vert">
      <w:tblPr/>
      <w:tcPr>
        <w:tcBorders>
          <w:top w:val="nil"/>
          <w:left w:val="nil"/>
          <w:bottom w:val="nil"/>
          <w:right w:val="nil"/>
          <w:insideH w:val="nil"/>
          <w:insideV w:val="nil"/>
        </w:tcBorders>
        <w:shd w:val="clear" w:color="auto" w:fill="6D6F72" w:themeFill="accent2" w:themeFillShade="BF"/>
      </w:tcPr>
    </w:tblStylePr>
    <w:tblStylePr w:type="band1Horz">
      <w:tblPr/>
      <w:tcPr>
        <w:tcBorders>
          <w:top w:val="nil"/>
          <w:left w:val="nil"/>
          <w:bottom w:val="nil"/>
          <w:right w:val="nil"/>
          <w:insideH w:val="nil"/>
          <w:insideV w:val="nil"/>
        </w:tcBorders>
        <w:shd w:val="clear" w:color="auto" w:fill="6D6F72" w:themeFill="accent2" w:themeFillShade="BF"/>
      </w:tcPr>
    </w:tblStylePr>
  </w:style>
  <w:style w:type="table" w:styleId="DarkList-Accent3">
    <w:name w:val="Dark List Accent 3"/>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6364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3131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4A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4A4C" w:themeFill="accent3" w:themeFillShade="BF"/>
      </w:tcPr>
    </w:tblStylePr>
    <w:tblStylePr w:type="band1Vert">
      <w:tblPr/>
      <w:tcPr>
        <w:tcBorders>
          <w:top w:val="nil"/>
          <w:left w:val="nil"/>
          <w:bottom w:val="nil"/>
          <w:right w:val="nil"/>
          <w:insideH w:val="nil"/>
          <w:insideV w:val="nil"/>
        </w:tcBorders>
        <w:shd w:val="clear" w:color="auto" w:fill="4A4A4C" w:themeFill="accent3" w:themeFillShade="BF"/>
      </w:tcPr>
    </w:tblStylePr>
    <w:tblStylePr w:type="band1Horz">
      <w:tblPr/>
      <w:tcPr>
        <w:tcBorders>
          <w:top w:val="nil"/>
          <w:left w:val="nil"/>
          <w:bottom w:val="nil"/>
          <w:right w:val="nil"/>
          <w:insideH w:val="nil"/>
          <w:insideV w:val="nil"/>
        </w:tcBorders>
        <w:shd w:val="clear" w:color="auto" w:fill="4A4A4C" w:themeFill="accent3" w:themeFillShade="BF"/>
      </w:tcPr>
    </w:tblStylePr>
  </w:style>
  <w:style w:type="table" w:styleId="DarkList-Accent4">
    <w:name w:val="Dark List Accent 4"/>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D20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610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918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91820" w:themeFill="accent4" w:themeFillShade="BF"/>
      </w:tcPr>
    </w:tblStylePr>
    <w:tblStylePr w:type="band1Vert">
      <w:tblPr/>
      <w:tcPr>
        <w:tcBorders>
          <w:top w:val="nil"/>
          <w:left w:val="nil"/>
          <w:bottom w:val="nil"/>
          <w:right w:val="nil"/>
          <w:insideH w:val="nil"/>
          <w:insideV w:val="nil"/>
        </w:tcBorders>
        <w:shd w:val="clear" w:color="auto" w:fill="991820" w:themeFill="accent4" w:themeFillShade="BF"/>
      </w:tcPr>
    </w:tblStylePr>
    <w:tblStylePr w:type="band1Horz">
      <w:tblPr/>
      <w:tcPr>
        <w:tcBorders>
          <w:top w:val="nil"/>
          <w:left w:val="nil"/>
          <w:bottom w:val="nil"/>
          <w:right w:val="nil"/>
          <w:insideH w:val="nil"/>
          <w:insideV w:val="nil"/>
        </w:tcBorders>
        <w:shd w:val="clear" w:color="auto" w:fill="991820" w:themeFill="accent4" w:themeFillShade="BF"/>
      </w:tcPr>
    </w:tblStylePr>
  </w:style>
  <w:style w:type="table" w:styleId="DarkList-Accent5">
    <w:name w:val="Dark List Accent 5"/>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0055A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002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3F7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3F7F" w:themeFill="accent5" w:themeFillShade="BF"/>
      </w:tcPr>
    </w:tblStylePr>
    <w:tblStylePr w:type="band1Vert">
      <w:tblPr/>
      <w:tcPr>
        <w:tcBorders>
          <w:top w:val="nil"/>
          <w:left w:val="nil"/>
          <w:bottom w:val="nil"/>
          <w:right w:val="nil"/>
          <w:insideH w:val="nil"/>
          <w:insideV w:val="nil"/>
        </w:tcBorders>
        <w:shd w:val="clear" w:color="auto" w:fill="003F7F" w:themeFill="accent5" w:themeFillShade="BF"/>
      </w:tcPr>
    </w:tblStylePr>
    <w:tblStylePr w:type="band1Horz">
      <w:tblPr/>
      <w:tcPr>
        <w:tcBorders>
          <w:top w:val="nil"/>
          <w:left w:val="nil"/>
          <w:bottom w:val="nil"/>
          <w:right w:val="nil"/>
          <w:insideH w:val="nil"/>
          <w:insideV w:val="nil"/>
        </w:tcBorders>
        <w:shd w:val="clear" w:color="auto" w:fill="003F7F" w:themeFill="accent5" w:themeFillShade="BF"/>
      </w:tcPr>
    </w:tblStylePr>
  </w:style>
  <w:style w:type="table" w:styleId="DarkList-Accent6">
    <w:name w:val="Dark List Accent 6"/>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FFAA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8F57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88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88400" w:themeFill="accent6" w:themeFillShade="BF"/>
      </w:tcPr>
    </w:tblStylePr>
    <w:tblStylePr w:type="band1Vert">
      <w:tblPr/>
      <w:tcPr>
        <w:tcBorders>
          <w:top w:val="nil"/>
          <w:left w:val="nil"/>
          <w:bottom w:val="nil"/>
          <w:right w:val="nil"/>
          <w:insideH w:val="nil"/>
          <w:insideV w:val="nil"/>
        </w:tcBorders>
        <w:shd w:val="clear" w:color="auto" w:fill="D88400" w:themeFill="accent6" w:themeFillShade="BF"/>
      </w:tcPr>
    </w:tblStylePr>
    <w:tblStylePr w:type="band1Horz">
      <w:tblPr/>
      <w:tcPr>
        <w:tcBorders>
          <w:top w:val="nil"/>
          <w:left w:val="nil"/>
          <w:bottom w:val="nil"/>
          <w:right w:val="nil"/>
          <w:insideH w:val="nil"/>
          <w:insideV w:val="nil"/>
        </w:tcBorders>
        <w:shd w:val="clear" w:color="auto" w:fill="D88400" w:themeFill="accent6" w:themeFillShade="BF"/>
      </w:tcPr>
    </w:tblStylePr>
  </w:style>
  <w:style w:type="paragraph" w:styleId="DocumentMap">
    <w:name w:val="Document Map"/>
    <w:basedOn w:val="Normal"/>
    <w:link w:val="DocumentMapChar"/>
    <w:uiPriority w:val="99"/>
    <w:semiHidden/>
    <w:unhideWhenUsed/>
    <w:rsid w:val="00F527C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27C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527CC"/>
    <w:pPr>
      <w:spacing w:after="0" w:line="240" w:lineRule="auto"/>
    </w:pPr>
  </w:style>
  <w:style w:type="character" w:customStyle="1" w:styleId="E-mailSignatureChar">
    <w:name w:val="E-mail Signature Char"/>
    <w:basedOn w:val="DefaultParagraphFont"/>
    <w:link w:val="E-mailSignature"/>
    <w:uiPriority w:val="99"/>
    <w:semiHidden/>
    <w:rsid w:val="00F527CC"/>
    <w:rPr>
      <w:lang w:val="en-US"/>
    </w:rPr>
  </w:style>
  <w:style w:type="character" w:styleId="Emphasis">
    <w:name w:val="Emphasis"/>
    <w:basedOn w:val="DefaultParagraphFont"/>
    <w:uiPriority w:val="20"/>
    <w:qFormat/>
    <w:rsid w:val="00F527CC"/>
    <w:rPr>
      <w:i/>
      <w:iCs/>
      <w:lang w:val="en-US"/>
    </w:rPr>
  </w:style>
  <w:style w:type="paragraph" w:styleId="EnvelopeAddress">
    <w:name w:val="envelope address"/>
    <w:basedOn w:val="Normal"/>
    <w:uiPriority w:val="99"/>
    <w:semiHidden/>
    <w:unhideWhenUsed/>
    <w:rsid w:val="00F527CC"/>
    <w:pPr>
      <w:framePr w:w="7920" w:h="1980" w:hRule="exact" w:hSpace="180"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unhideWhenUsed/>
    <w:rsid w:val="00F527CC"/>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F527CC"/>
    <w:rPr>
      <w:color w:val="954F72" w:themeColor="followedHyperlink"/>
      <w:u w:val="single"/>
      <w:lang w:val="en-US"/>
    </w:rPr>
  </w:style>
  <w:style w:type="table" w:styleId="GridTable1Light">
    <w:name w:val="Grid Table 1 Light"/>
    <w:basedOn w:val="TableNormal"/>
    <w:uiPriority w:val="46"/>
    <w:rsid w:val="00F527CC"/>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C8C8C" w:themeColor="text1" w:themeTint="99"/>
        </w:tcBorders>
      </w:tcPr>
    </w:tblStylePr>
    <w:tblStylePr w:type="lastRow">
      <w:rPr>
        <w:b/>
        <w:bCs/>
      </w:rPr>
      <w:tblPr/>
      <w:tcPr>
        <w:tcBorders>
          <w:top w:val="double" w:sz="2" w:space="0" w:color="8C8C8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27CC"/>
    <w:pPr>
      <w:spacing w:after="0" w:line="240" w:lineRule="auto"/>
    </w:pPr>
    <w:tblPr>
      <w:tblStyleRowBandSize w:val="1"/>
      <w:tblStyleColBandSize w:val="1"/>
      <w:tblBorders>
        <w:top w:val="single" w:sz="4" w:space="0" w:color="E8E8E9" w:themeColor="accent1" w:themeTint="66"/>
        <w:left w:val="single" w:sz="4" w:space="0" w:color="E8E8E9" w:themeColor="accent1" w:themeTint="66"/>
        <w:bottom w:val="single" w:sz="4" w:space="0" w:color="E8E8E9" w:themeColor="accent1" w:themeTint="66"/>
        <w:right w:val="single" w:sz="4" w:space="0" w:color="E8E8E9" w:themeColor="accent1" w:themeTint="66"/>
        <w:insideH w:val="single" w:sz="4" w:space="0" w:color="E8E8E9" w:themeColor="accent1" w:themeTint="66"/>
        <w:insideV w:val="single" w:sz="4" w:space="0" w:color="E8E8E9" w:themeColor="accent1" w:themeTint="66"/>
      </w:tblBorders>
    </w:tblPr>
    <w:tblStylePr w:type="firstRow">
      <w:rPr>
        <w:b/>
        <w:bCs/>
      </w:rPr>
      <w:tblPr/>
      <w:tcPr>
        <w:tcBorders>
          <w:bottom w:val="single" w:sz="12" w:space="0" w:color="DDDDDF" w:themeColor="accent1" w:themeTint="99"/>
        </w:tcBorders>
      </w:tcPr>
    </w:tblStylePr>
    <w:tblStylePr w:type="lastRow">
      <w:rPr>
        <w:b/>
        <w:bCs/>
      </w:rPr>
      <w:tblPr/>
      <w:tcPr>
        <w:tcBorders>
          <w:top w:val="double" w:sz="2" w:space="0" w:color="DDDD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527CC"/>
    <w:pPr>
      <w:spacing w:after="0" w:line="240" w:lineRule="auto"/>
    </w:pPr>
    <w:tblPr>
      <w:tblStyleRowBandSize w:val="1"/>
      <w:tblStyleColBandSize w:val="1"/>
      <w:tblBorders>
        <w:top w:val="single" w:sz="4" w:space="0" w:color="D3D4D5" w:themeColor="accent2" w:themeTint="66"/>
        <w:left w:val="single" w:sz="4" w:space="0" w:color="D3D4D5" w:themeColor="accent2" w:themeTint="66"/>
        <w:bottom w:val="single" w:sz="4" w:space="0" w:color="D3D4D5" w:themeColor="accent2" w:themeTint="66"/>
        <w:right w:val="single" w:sz="4" w:space="0" w:color="D3D4D5" w:themeColor="accent2" w:themeTint="66"/>
        <w:insideH w:val="single" w:sz="4" w:space="0" w:color="D3D4D5" w:themeColor="accent2" w:themeTint="66"/>
        <w:insideV w:val="single" w:sz="4" w:space="0" w:color="D3D4D5" w:themeColor="accent2" w:themeTint="66"/>
      </w:tblBorders>
    </w:tblPr>
    <w:tblStylePr w:type="firstRow">
      <w:rPr>
        <w:b/>
        <w:bCs/>
      </w:rPr>
      <w:tblPr/>
      <w:tcPr>
        <w:tcBorders>
          <w:bottom w:val="single" w:sz="12" w:space="0" w:color="BEBFC1" w:themeColor="accent2" w:themeTint="99"/>
        </w:tcBorders>
      </w:tcPr>
    </w:tblStylePr>
    <w:tblStylePr w:type="lastRow">
      <w:rPr>
        <w:b/>
        <w:bCs/>
      </w:rPr>
      <w:tblPr/>
      <w:tcPr>
        <w:tcBorders>
          <w:top w:val="double" w:sz="2" w:space="0" w:color="BEBF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27CC"/>
    <w:pPr>
      <w:spacing w:after="0" w:line="240" w:lineRule="auto"/>
    </w:pPr>
    <w:tblPr>
      <w:tblStyleRowBandSize w:val="1"/>
      <w:tblStyleColBandSize w:val="1"/>
      <w:tblBorders>
        <w:top w:val="single" w:sz="4" w:space="0" w:color="C0C0C2" w:themeColor="accent3" w:themeTint="66"/>
        <w:left w:val="single" w:sz="4" w:space="0" w:color="C0C0C2" w:themeColor="accent3" w:themeTint="66"/>
        <w:bottom w:val="single" w:sz="4" w:space="0" w:color="C0C0C2" w:themeColor="accent3" w:themeTint="66"/>
        <w:right w:val="single" w:sz="4" w:space="0" w:color="C0C0C2" w:themeColor="accent3" w:themeTint="66"/>
        <w:insideH w:val="single" w:sz="4" w:space="0" w:color="C0C0C2" w:themeColor="accent3" w:themeTint="66"/>
        <w:insideV w:val="single" w:sz="4" w:space="0" w:color="C0C0C2" w:themeColor="accent3" w:themeTint="66"/>
      </w:tblBorders>
    </w:tblPr>
    <w:tblStylePr w:type="firstRow">
      <w:rPr>
        <w:b/>
        <w:bCs/>
      </w:rPr>
      <w:tblPr/>
      <w:tcPr>
        <w:tcBorders>
          <w:bottom w:val="single" w:sz="12" w:space="0" w:color="A0A1A3" w:themeColor="accent3" w:themeTint="99"/>
        </w:tcBorders>
      </w:tcPr>
    </w:tblStylePr>
    <w:tblStylePr w:type="lastRow">
      <w:rPr>
        <w:b/>
        <w:bCs/>
      </w:rPr>
      <w:tblPr/>
      <w:tcPr>
        <w:tcBorders>
          <w:top w:val="double" w:sz="2" w:space="0" w:color="A0A1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527CC"/>
    <w:pPr>
      <w:spacing w:after="0" w:line="240" w:lineRule="auto"/>
    </w:pPr>
    <w:tblPr>
      <w:tblStyleRowBandSize w:val="1"/>
      <w:tblStyleColBandSize w:val="1"/>
      <w:tblBorders>
        <w:top w:val="single" w:sz="4" w:space="0" w:color="F0A0A5" w:themeColor="accent4" w:themeTint="66"/>
        <w:left w:val="single" w:sz="4" w:space="0" w:color="F0A0A5" w:themeColor="accent4" w:themeTint="66"/>
        <w:bottom w:val="single" w:sz="4" w:space="0" w:color="F0A0A5" w:themeColor="accent4" w:themeTint="66"/>
        <w:right w:val="single" w:sz="4" w:space="0" w:color="F0A0A5" w:themeColor="accent4" w:themeTint="66"/>
        <w:insideH w:val="single" w:sz="4" w:space="0" w:color="F0A0A5" w:themeColor="accent4" w:themeTint="66"/>
        <w:insideV w:val="single" w:sz="4" w:space="0" w:color="F0A0A5" w:themeColor="accent4" w:themeTint="66"/>
      </w:tblBorders>
    </w:tblPr>
    <w:tblStylePr w:type="firstRow">
      <w:rPr>
        <w:b/>
        <w:bCs/>
      </w:rPr>
      <w:tblPr/>
      <w:tcPr>
        <w:tcBorders>
          <w:bottom w:val="single" w:sz="12" w:space="0" w:color="E87179" w:themeColor="accent4" w:themeTint="99"/>
        </w:tcBorders>
      </w:tcPr>
    </w:tblStylePr>
    <w:tblStylePr w:type="lastRow">
      <w:rPr>
        <w:b/>
        <w:bCs/>
      </w:rPr>
      <w:tblPr/>
      <w:tcPr>
        <w:tcBorders>
          <w:top w:val="double" w:sz="2" w:space="0" w:color="E8717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527CC"/>
    <w:pPr>
      <w:spacing w:after="0" w:line="240" w:lineRule="auto"/>
    </w:pPr>
    <w:tblPr>
      <w:tblStyleRowBandSize w:val="1"/>
      <w:tblStyleColBandSize w:val="1"/>
      <w:tblBorders>
        <w:top w:val="single" w:sz="4" w:space="0" w:color="77BAFF" w:themeColor="accent5" w:themeTint="66"/>
        <w:left w:val="single" w:sz="4" w:space="0" w:color="77BAFF" w:themeColor="accent5" w:themeTint="66"/>
        <w:bottom w:val="single" w:sz="4" w:space="0" w:color="77BAFF" w:themeColor="accent5" w:themeTint="66"/>
        <w:right w:val="single" w:sz="4" w:space="0" w:color="77BAFF" w:themeColor="accent5" w:themeTint="66"/>
        <w:insideH w:val="single" w:sz="4" w:space="0" w:color="77BAFF" w:themeColor="accent5" w:themeTint="66"/>
        <w:insideV w:val="single" w:sz="4" w:space="0" w:color="77BAFF" w:themeColor="accent5" w:themeTint="66"/>
      </w:tblBorders>
    </w:tblPr>
    <w:tblStylePr w:type="firstRow">
      <w:rPr>
        <w:b/>
        <w:bCs/>
      </w:rPr>
      <w:tblPr/>
      <w:tcPr>
        <w:tcBorders>
          <w:bottom w:val="single" w:sz="12" w:space="0" w:color="3398FF" w:themeColor="accent5" w:themeTint="99"/>
        </w:tcBorders>
      </w:tcPr>
    </w:tblStylePr>
    <w:tblStylePr w:type="lastRow">
      <w:rPr>
        <w:b/>
        <w:bCs/>
      </w:rPr>
      <w:tblPr/>
      <w:tcPr>
        <w:tcBorders>
          <w:top w:val="double" w:sz="2" w:space="0" w:color="3398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527CC"/>
    <w:pPr>
      <w:spacing w:after="0" w:line="240" w:lineRule="auto"/>
    </w:pPr>
    <w:tblPr>
      <w:tblStyleRowBandSize w:val="1"/>
      <w:tblStyleColBandSize w:val="1"/>
      <w:tblBorders>
        <w:top w:val="single" w:sz="4" w:space="0" w:color="FFDCA6" w:themeColor="accent6" w:themeTint="66"/>
        <w:left w:val="single" w:sz="4" w:space="0" w:color="FFDCA6" w:themeColor="accent6" w:themeTint="66"/>
        <w:bottom w:val="single" w:sz="4" w:space="0" w:color="FFDCA6" w:themeColor="accent6" w:themeTint="66"/>
        <w:right w:val="single" w:sz="4" w:space="0" w:color="FFDCA6" w:themeColor="accent6" w:themeTint="66"/>
        <w:insideH w:val="single" w:sz="4" w:space="0" w:color="FFDCA6" w:themeColor="accent6" w:themeTint="66"/>
        <w:insideV w:val="single" w:sz="4" w:space="0" w:color="FFDCA6" w:themeColor="accent6" w:themeTint="66"/>
      </w:tblBorders>
    </w:tblPr>
    <w:tblStylePr w:type="firstRow">
      <w:rPr>
        <w:b/>
        <w:bCs/>
      </w:rPr>
      <w:tblPr/>
      <w:tcPr>
        <w:tcBorders>
          <w:bottom w:val="single" w:sz="12" w:space="0" w:color="FFCB7A" w:themeColor="accent6" w:themeTint="99"/>
        </w:tcBorders>
      </w:tcPr>
    </w:tblStylePr>
    <w:tblStylePr w:type="lastRow">
      <w:rPr>
        <w:b/>
        <w:bCs/>
      </w:rPr>
      <w:tblPr/>
      <w:tcPr>
        <w:tcBorders>
          <w:top w:val="double" w:sz="2" w:space="0" w:color="FFCB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527CC"/>
    <w:pPr>
      <w:spacing w:after="0" w:line="240" w:lineRule="auto"/>
    </w:pPr>
    <w:tblPr>
      <w:tblStyleRowBandSize w:val="1"/>
      <w:tblStyleColBandSize w:val="1"/>
      <w:tblBorders>
        <w:top w:val="single" w:sz="2" w:space="0" w:color="8C8C8C" w:themeColor="text1" w:themeTint="99"/>
        <w:bottom w:val="single" w:sz="2" w:space="0" w:color="8C8C8C" w:themeColor="text1" w:themeTint="99"/>
        <w:insideH w:val="single" w:sz="2" w:space="0" w:color="8C8C8C" w:themeColor="text1" w:themeTint="99"/>
        <w:insideV w:val="single" w:sz="2" w:space="0" w:color="8C8C8C" w:themeColor="text1" w:themeTint="99"/>
      </w:tblBorders>
    </w:tblPr>
    <w:tblStylePr w:type="firstRow">
      <w:rPr>
        <w:b/>
        <w:bCs/>
      </w:rPr>
      <w:tblPr/>
      <w:tcPr>
        <w:tcBorders>
          <w:top w:val="nil"/>
          <w:bottom w:val="single" w:sz="12" w:space="0" w:color="8C8C8C" w:themeColor="text1" w:themeTint="99"/>
          <w:insideH w:val="nil"/>
          <w:insideV w:val="nil"/>
        </w:tcBorders>
        <w:shd w:val="clear" w:color="auto" w:fill="FFFFFF" w:themeFill="background1"/>
      </w:tcPr>
    </w:tblStylePr>
    <w:tblStylePr w:type="lastRow">
      <w:rPr>
        <w:b/>
        <w:bCs/>
      </w:rPr>
      <w:tblPr/>
      <w:tcPr>
        <w:tcBorders>
          <w:top w:val="double" w:sz="2" w:space="0" w:color="8C8C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2-Accent1">
    <w:name w:val="Grid Table 2 Accent 1"/>
    <w:basedOn w:val="TableNormal"/>
    <w:uiPriority w:val="47"/>
    <w:rsid w:val="00F527CC"/>
    <w:pPr>
      <w:spacing w:after="0" w:line="240" w:lineRule="auto"/>
    </w:pPr>
    <w:tblPr>
      <w:tblStyleRowBandSize w:val="1"/>
      <w:tblStyleColBandSize w:val="1"/>
      <w:tblBorders>
        <w:top w:val="single" w:sz="2" w:space="0" w:color="DDDDDF" w:themeColor="accent1" w:themeTint="99"/>
        <w:bottom w:val="single" w:sz="2" w:space="0" w:color="DDDDDF" w:themeColor="accent1" w:themeTint="99"/>
        <w:insideH w:val="single" w:sz="2" w:space="0" w:color="DDDDDF" w:themeColor="accent1" w:themeTint="99"/>
        <w:insideV w:val="single" w:sz="2" w:space="0" w:color="DDDDDF" w:themeColor="accent1" w:themeTint="99"/>
      </w:tblBorders>
    </w:tblPr>
    <w:tblStylePr w:type="firstRow">
      <w:rPr>
        <w:b/>
        <w:bCs/>
      </w:rPr>
      <w:tblPr/>
      <w:tcPr>
        <w:tcBorders>
          <w:top w:val="nil"/>
          <w:bottom w:val="single" w:sz="12" w:space="0" w:color="DDDDDF" w:themeColor="accent1" w:themeTint="99"/>
          <w:insideH w:val="nil"/>
          <w:insideV w:val="nil"/>
        </w:tcBorders>
        <w:shd w:val="clear" w:color="auto" w:fill="FFFFFF" w:themeFill="background1"/>
      </w:tcPr>
    </w:tblStylePr>
    <w:tblStylePr w:type="lastRow">
      <w:rPr>
        <w:b/>
        <w:bCs/>
      </w:rPr>
      <w:tblPr/>
      <w:tcPr>
        <w:tcBorders>
          <w:top w:val="double" w:sz="2" w:space="0" w:color="DDDD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2-Accent2">
    <w:name w:val="Grid Table 2 Accent 2"/>
    <w:basedOn w:val="TableNormal"/>
    <w:uiPriority w:val="47"/>
    <w:rsid w:val="00F527CC"/>
    <w:pPr>
      <w:spacing w:after="0" w:line="240" w:lineRule="auto"/>
    </w:pPr>
    <w:tblPr>
      <w:tblStyleRowBandSize w:val="1"/>
      <w:tblStyleColBandSize w:val="1"/>
      <w:tblBorders>
        <w:top w:val="single" w:sz="2" w:space="0" w:color="BEBFC1" w:themeColor="accent2" w:themeTint="99"/>
        <w:bottom w:val="single" w:sz="2" w:space="0" w:color="BEBFC1" w:themeColor="accent2" w:themeTint="99"/>
        <w:insideH w:val="single" w:sz="2" w:space="0" w:color="BEBFC1" w:themeColor="accent2" w:themeTint="99"/>
        <w:insideV w:val="single" w:sz="2" w:space="0" w:color="BEBFC1" w:themeColor="accent2" w:themeTint="99"/>
      </w:tblBorders>
    </w:tblPr>
    <w:tblStylePr w:type="firstRow">
      <w:rPr>
        <w:b/>
        <w:bCs/>
      </w:rPr>
      <w:tblPr/>
      <w:tcPr>
        <w:tcBorders>
          <w:top w:val="nil"/>
          <w:bottom w:val="single" w:sz="12" w:space="0" w:color="BEBFC1" w:themeColor="accent2" w:themeTint="99"/>
          <w:insideH w:val="nil"/>
          <w:insideV w:val="nil"/>
        </w:tcBorders>
        <w:shd w:val="clear" w:color="auto" w:fill="FFFFFF" w:themeFill="background1"/>
      </w:tcPr>
    </w:tblStylePr>
    <w:tblStylePr w:type="lastRow">
      <w:rPr>
        <w:b/>
        <w:bCs/>
      </w:rPr>
      <w:tblPr/>
      <w:tcPr>
        <w:tcBorders>
          <w:top w:val="double" w:sz="2" w:space="0" w:color="BEBF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2-Accent3">
    <w:name w:val="Grid Table 2 Accent 3"/>
    <w:basedOn w:val="TableNormal"/>
    <w:uiPriority w:val="47"/>
    <w:rsid w:val="00F527CC"/>
    <w:pPr>
      <w:spacing w:after="0" w:line="240" w:lineRule="auto"/>
    </w:pPr>
    <w:tblPr>
      <w:tblStyleRowBandSize w:val="1"/>
      <w:tblStyleColBandSize w:val="1"/>
      <w:tblBorders>
        <w:top w:val="single" w:sz="2" w:space="0" w:color="A0A1A3" w:themeColor="accent3" w:themeTint="99"/>
        <w:bottom w:val="single" w:sz="2" w:space="0" w:color="A0A1A3" w:themeColor="accent3" w:themeTint="99"/>
        <w:insideH w:val="single" w:sz="2" w:space="0" w:color="A0A1A3" w:themeColor="accent3" w:themeTint="99"/>
        <w:insideV w:val="single" w:sz="2" w:space="0" w:color="A0A1A3" w:themeColor="accent3" w:themeTint="99"/>
      </w:tblBorders>
    </w:tblPr>
    <w:tblStylePr w:type="firstRow">
      <w:rPr>
        <w:b/>
        <w:bCs/>
      </w:rPr>
      <w:tblPr/>
      <w:tcPr>
        <w:tcBorders>
          <w:top w:val="nil"/>
          <w:bottom w:val="single" w:sz="12" w:space="0" w:color="A0A1A3" w:themeColor="accent3" w:themeTint="99"/>
          <w:insideH w:val="nil"/>
          <w:insideV w:val="nil"/>
        </w:tcBorders>
        <w:shd w:val="clear" w:color="auto" w:fill="FFFFFF" w:themeFill="background1"/>
      </w:tcPr>
    </w:tblStylePr>
    <w:tblStylePr w:type="lastRow">
      <w:rPr>
        <w:b/>
        <w:bCs/>
      </w:rPr>
      <w:tblPr/>
      <w:tcPr>
        <w:tcBorders>
          <w:top w:val="double" w:sz="2" w:space="0" w:color="A0A1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2-Accent4">
    <w:name w:val="Grid Table 2 Accent 4"/>
    <w:basedOn w:val="TableNormal"/>
    <w:uiPriority w:val="47"/>
    <w:rsid w:val="00F527CC"/>
    <w:pPr>
      <w:spacing w:after="0" w:line="240" w:lineRule="auto"/>
    </w:pPr>
    <w:tblPr>
      <w:tblStyleRowBandSize w:val="1"/>
      <w:tblStyleColBandSize w:val="1"/>
      <w:tblBorders>
        <w:top w:val="single" w:sz="2" w:space="0" w:color="E87179" w:themeColor="accent4" w:themeTint="99"/>
        <w:bottom w:val="single" w:sz="2" w:space="0" w:color="E87179" w:themeColor="accent4" w:themeTint="99"/>
        <w:insideH w:val="single" w:sz="2" w:space="0" w:color="E87179" w:themeColor="accent4" w:themeTint="99"/>
        <w:insideV w:val="single" w:sz="2" w:space="0" w:color="E87179" w:themeColor="accent4" w:themeTint="99"/>
      </w:tblBorders>
    </w:tblPr>
    <w:tblStylePr w:type="firstRow">
      <w:rPr>
        <w:b/>
        <w:bCs/>
      </w:rPr>
      <w:tblPr/>
      <w:tcPr>
        <w:tcBorders>
          <w:top w:val="nil"/>
          <w:bottom w:val="single" w:sz="12" w:space="0" w:color="E87179" w:themeColor="accent4" w:themeTint="99"/>
          <w:insideH w:val="nil"/>
          <w:insideV w:val="nil"/>
        </w:tcBorders>
        <w:shd w:val="clear" w:color="auto" w:fill="FFFFFF" w:themeFill="background1"/>
      </w:tcPr>
    </w:tblStylePr>
    <w:tblStylePr w:type="lastRow">
      <w:rPr>
        <w:b/>
        <w:bCs/>
      </w:rPr>
      <w:tblPr/>
      <w:tcPr>
        <w:tcBorders>
          <w:top w:val="double" w:sz="2" w:space="0" w:color="E8717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2-Accent5">
    <w:name w:val="Grid Table 2 Accent 5"/>
    <w:basedOn w:val="TableNormal"/>
    <w:uiPriority w:val="47"/>
    <w:rsid w:val="00F527CC"/>
    <w:pPr>
      <w:spacing w:after="0" w:line="240" w:lineRule="auto"/>
    </w:pPr>
    <w:tblPr>
      <w:tblStyleRowBandSize w:val="1"/>
      <w:tblStyleColBandSize w:val="1"/>
      <w:tblBorders>
        <w:top w:val="single" w:sz="2" w:space="0" w:color="3398FF" w:themeColor="accent5" w:themeTint="99"/>
        <w:bottom w:val="single" w:sz="2" w:space="0" w:color="3398FF" w:themeColor="accent5" w:themeTint="99"/>
        <w:insideH w:val="single" w:sz="2" w:space="0" w:color="3398FF" w:themeColor="accent5" w:themeTint="99"/>
        <w:insideV w:val="single" w:sz="2" w:space="0" w:color="3398FF" w:themeColor="accent5" w:themeTint="99"/>
      </w:tblBorders>
    </w:tblPr>
    <w:tblStylePr w:type="firstRow">
      <w:rPr>
        <w:b/>
        <w:bCs/>
      </w:rPr>
      <w:tblPr/>
      <w:tcPr>
        <w:tcBorders>
          <w:top w:val="nil"/>
          <w:bottom w:val="single" w:sz="12" w:space="0" w:color="3398FF" w:themeColor="accent5" w:themeTint="99"/>
          <w:insideH w:val="nil"/>
          <w:insideV w:val="nil"/>
        </w:tcBorders>
        <w:shd w:val="clear" w:color="auto" w:fill="FFFFFF" w:themeFill="background1"/>
      </w:tcPr>
    </w:tblStylePr>
    <w:tblStylePr w:type="lastRow">
      <w:rPr>
        <w:b/>
        <w:bCs/>
      </w:rPr>
      <w:tblPr/>
      <w:tcPr>
        <w:tcBorders>
          <w:top w:val="double" w:sz="2" w:space="0" w:color="339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2-Accent6">
    <w:name w:val="Grid Table 2 Accent 6"/>
    <w:basedOn w:val="TableNormal"/>
    <w:uiPriority w:val="47"/>
    <w:rsid w:val="00F527CC"/>
    <w:pPr>
      <w:spacing w:after="0" w:line="240" w:lineRule="auto"/>
    </w:pPr>
    <w:tblPr>
      <w:tblStyleRowBandSize w:val="1"/>
      <w:tblStyleColBandSize w:val="1"/>
      <w:tblBorders>
        <w:top w:val="single" w:sz="2" w:space="0" w:color="FFCB7A" w:themeColor="accent6" w:themeTint="99"/>
        <w:bottom w:val="single" w:sz="2" w:space="0" w:color="FFCB7A" w:themeColor="accent6" w:themeTint="99"/>
        <w:insideH w:val="single" w:sz="2" w:space="0" w:color="FFCB7A" w:themeColor="accent6" w:themeTint="99"/>
        <w:insideV w:val="single" w:sz="2" w:space="0" w:color="FFCB7A" w:themeColor="accent6" w:themeTint="99"/>
      </w:tblBorders>
    </w:tblPr>
    <w:tblStylePr w:type="firstRow">
      <w:rPr>
        <w:b/>
        <w:bCs/>
      </w:rPr>
      <w:tblPr/>
      <w:tcPr>
        <w:tcBorders>
          <w:top w:val="nil"/>
          <w:bottom w:val="single" w:sz="12" w:space="0" w:color="FFCB7A" w:themeColor="accent6" w:themeTint="99"/>
          <w:insideH w:val="nil"/>
          <w:insideV w:val="nil"/>
        </w:tcBorders>
        <w:shd w:val="clear" w:color="auto" w:fill="FFFFFF" w:themeFill="background1"/>
      </w:tcPr>
    </w:tblStylePr>
    <w:tblStylePr w:type="lastRow">
      <w:rPr>
        <w:b/>
        <w:bCs/>
      </w:rPr>
      <w:tblPr/>
      <w:tcPr>
        <w:tcBorders>
          <w:top w:val="double" w:sz="2" w:space="0" w:color="FFCB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3">
    <w:name w:val="Grid Table 3"/>
    <w:basedOn w:val="TableNormal"/>
    <w:uiPriority w:val="48"/>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3-Accent1">
    <w:name w:val="Grid Table 3 Accent 1"/>
    <w:basedOn w:val="TableNormal"/>
    <w:uiPriority w:val="48"/>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bottom w:val="single" w:sz="4" w:space="0" w:color="DDDDDF" w:themeColor="accent1" w:themeTint="99"/>
        </w:tcBorders>
      </w:tcPr>
    </w:tblStylePr>
    <w:tblStylePr w:type="nwCell">
      <w:tblPr/>
      <w:tcPr>
        <w:tcBorders>
          <w:bottom w:val="single" w:sz="4" w:space="0" w:color="DDDDDF" w:themeColor="accent1" w:themeTint="99"/>
        </w:tcBorders>
      </w:tcPr>
    </w:tblStylePr>
    <w:tblStylePr w:type="seCell">
      <w:tblPr/>
      <w:tcPr>
        <w:tcBorders>
          <w:top w:val="single" w:sz="4" w:space="0" w:color="DDDDDF" w:themeColor="accent1" w:themeTint="99"/>
        </w:tcBorders>
      </w:tcPr>
    </w:tblStylePr>
    <w:tblStylePr w:type="swCell">
      <w:tblPr/>
      <w:tcPr>
        <w:tcBorders>
          <w:top w:val="single" w:sz="4" w:space="0" w:color="DDDDDF" w:themeColor="accent1" w:themeTint="99"/>
        </w:tcBorders>
      </w:tcPr>
    </w:tblStylePr>
  </w:style>
  <w:style w:type="table" w:styleId="GridTable3-Accent2">
    <w:name w:val="Grid Table 3 Accent 2"/>
    <w:basedOn w:val="TableNormal"/>
    <w:uiPriority w:val="48"/>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bottom w:val="single" w:sz="4" w:space="0" w:color="BEBFC1" w:themeColor="accent2" w:themeTint="99"/>
        </w:tcBorders>
      </w:tcPr>
    </w:tblStylePr>
    <w:tblStylePr w:type="nwCell">
      <w:tblPr/>
      <w:tcPr>
        <w:tcBorders>
          <w:bottom w:val="single" w:sz="4" w:space="0" w:color="BEBFC1" w:themeColor="accent2" w:themeTint="99"/>
        </w:tcBorders>
      </w:tcPr>
    </w:tblStylePr>
    <w:tblStylePr w:type="seCell">
      <w:tblPr/>
      <w:tcPr>
        <w:tcBorders>
          <w:top w:val="single" w:sz="4" w:space="0" w:color="BEBFC1" w:themeColor="accent2" w:themeTint="99"/>
        </w:tcBorders>
      </w:tcPr>
    </w:tblStylePr>
    <w:tblStylePr w:type="swCell">
      <w:tblPr/>
      <w:tcPr>
        <w:tcBorders>
          <w:top w:val="single" w:sz="4" w:space="0" w:color="BEBFC1" w:themeColor="accent2" w:themeTint="99"/>
        </w:tcBorders>
      </w:tcPr>
    </w:tblStylePr>
  </w:style>
  <w:style w:type="table" w:styleId="GridTable3-Accent3">
    <w:name w:val="Grid Table 3 Accent 3"/>
    <w:basedOn w:val="TableNormal"/>
    <w:uiPriority w:val="48"/>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bottom w:val="single" w:sz="4" w:space="0" w:color="A0A1A3" w:themeColor="accent3" w:themeTint="99"/>
        </w:tcBorders>
      </w:tcPr>
    </w:tblStylePr>
    <w:tblStylePr w:type="nwCell">
      <w:tblPr/>
      <w:tcPr>
        <w:tcBorders>
          <w:bottom w:val="single" w:sz="4" w:space="0" w:color="A0A1A3" w:themeColor="accent3" w:themeTint="99"/>
        </w:tcBorders>
      </w:tcPr>
    </w:tblStylePr>
    <w:tblStylePr w:type="seCell">
      <w:tblPr/>
      <w:tcPr>
        <w:tcBorders>
          <w:top w:val="single" w:sz="4" w:space="0" w:color="A0A1A3" w:themeColor="accent3" w:themeTint="99"/>
        </w:tcBorders>
      </w:tcPr>
    </w:tblStylePr>
    <w:tblStylePr w:type="swCell">
      <w:tblPr/>
      <w:tcPr>
        <w:tcBorders>
          <w:top w:val="single" w:sz="4" w:space="0" w:color="A0A1A3" w:themeColor="accent3" w:themeTint="99"/>
        </w:tcBorders>
      </w:tcPr>
    </w:tblStylePr>
  </w:style>
  <w:style w:type="table" w:styleId="GridTable3-Accent4">
    <w:name w:val="Grid Table 3 Accent 4"/>
    <w:basedOn w:val="TableNormal"/>
    <w:uiPriority w:val="48"/>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bottom w:val="single" w:sz="4" w:space="0" w:color="E87179" w:themeColor="accent4" w:themeTint="99"/>
        </w:tcBorders>
      </w:tcPr>
    </w:tblStylePr>
    <w:tblStylePr w:type="nwCell">
      <w:tblPr/>
      <w:tcPr>
        <w:tcBorders>
          <w:bottom w:val="single" w:sz="4" w:space="0" w:color="E87179" w:themeColor="accent4" w:themeTint="99"/>
        </w:tcBorders>
      </w:tcPr>
    </w:tblStylePr>
    <w:tblStylePr w:type="seCell">
      <w:tblPr/>
      <w:tcPr>
        <w:tcBorders>
          <w:top w:val="single" w:sz="4" w:space="0" w:color="E87179" w:themeColor="accent4" w:themeTint="99"/>
        </w:tcBorders>
      </w:tcPr>
    </w:tblStylePr>
    <w:tblStylePr w:type="swCell">
      <w:tblPr/>
      <w:tcPr>
        <w:tcBorders>
          <w:top w:val="single" w:sz="4" w:space="0" w:color="E87179" w:themeColor="accent4" w:themeTint="99"/>
        </w:tcBorders>
      </w:tcPr>
    </w:tblStylePr>
  </w:style>
  <w:style w:type="table" w:styleId="GridTable3-Accent5">
    <w:name w:val="Grid Table 3 Accent 5"/>
    <w:basedOn w:val="TableNormal"/>
    <w:uiPriority w:val="48"/>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bottom w:val="single" w:sz="4" w:space="0" w:color="3398FF" w:themeColor="accent5" w:themeTint="99"/>
        </w:tcBorders>
      </w:tcPr>
    </w:tblStylePr>
    <w:tblStylePr w:type="nwCell">
      <w:tblPr/>
      <w:tcPr>
        <w:tcBorders>
          <w:bottom w:val="single" w:sz="4" w:space="0" w:color="3398FF" w:themeColor="accent5" w:themeTint="99"/>
        </w:tcBorders>
      </w:tcPr>
    </w:tblStylePr>
    <w:tblStylePr w:type="seCell">
      <w:tblPr/>
      <w:tcPr>
        <w:tcBorders>
          <w:top w:val="single" w:sz="4" w:space="0" w:color="3398FF" w:themeColor="accent5" w:themeTint="99"/>
        </w:tcBorders>
      </w:tcPr>
    </w:tblStylePr>
    <w:tblStylePr w:type="swCell">
      <w:tblPr/>
      <w:tcPr>
        <w:tcBorders>
          <w:top w:val="single" w:sz="4" w:space="0" w:color="3398FF" w:themeColor="accent5" w:themeTint="99"/>
        </w:tcBorders>
      </w:tcPr>
    </w:tblStylePr>
  </w:style>
  <w:style w:type="table" w:styleId="GridTable3-Accent6">
    <w:name w:val="Grid Table 3 Accent 6"/>
    <w:basedOn w:val="TableNormal"/>
    <w:uiPriority w:val="48"/>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bottom w:val="single" w:sz="4" w:space="0" w:color="FFCB7A" w:themeColor="accent6" w:themeTint="99"/>
        </w:tcBorders>
      </w:tcPr>
    </w:tblStylePr>
    <w:tblStylePr w:type="nwCell">
      <w:tblPr/>
      <w:tcPr>
        <w:tcBorders>
          <w:bottom w:val="single" w:sz="4" w:space="0" w:color="FFCB7A" w:themeColor="accent6" w:themeTint="99"/>
        </w:tcBorders>
      </w:tcPr>
    </w:tblStylePr>
    <w:tblStylePr w:type="seCell">
      <w:tblPr/>
      <w:tcPr>
        <w:tcBorders>
          <w:top w:val="single" w:sz="4" w:space="0" w:color="FFCB7A" w:themeColor="accent6" w:themeTint="99"/>
        </w:tcBorders>
      </w:tcPr>
    </w:tblStylePr>
    <w:tblStylePr w:type="swCell">
      <w:tblPr/>
      <w:tcPr>
        <w:tcBorders>
          <w:top w:val="single" w:sz="4" w:space="0" w:color="FFCB7A" w:themeColor="accent6" w:themeTint="99"/>
        </w:tcBorders>
      </w:tcPr>
    </w:tblStylePr>
  </w:style>
  <w:style w:type="table" w:styleId="GridTable4">
    <w:name w:val="Grid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insideV w:val="nil"/>
        </w:tcBorders>
        <w:shd w:val="clear" w:color="auto" w:fill="404040" w:themeFill="text1"/>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4-Accent1">
    <w:name w:val="Grid Table 4 Accent 1"/>
    <w:basedOn w:val="TableNormal"/>
    <w:uiPriority w:val="49"/>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color w:val="FFFFFF" w:themeColor="background1"/>
      </w:rPr>
      <w:tblPr/>
      <w:tcPr>
        <w:tcBorders>
          <w:top w:val="single" w:sz="4" w:space="0" w:color="C7C8CA" w:themeColor="accent1"/>
          <w:left w:val="single" w:sz="4" w:space="0" w:color="C7C8CA" w:themeColor="accent1"/>
          <w:bottom w:val="single" w:sz="4" w:space="0" w:color="C7C8CA" w:themeColor="accent1"/>
          <w:right w:val="single" w:sz="4" w:space="0" w:color="C7C8CA" w:themeColor="accent1"/>
          <w:insideH w:val="nil"/>
          <w:insideV w:val="nil"/>
        </w:tcBorders>
        <w:shd w:val="clear" w:color="auto" w:fill="C7C8CA" w:themeFill="accent1"/>
      </w:tcPr>
    </w:tblStylePr>
    <w:tblStylePr w:type="lastRow">
      <w:rPr>
        <w:b/>
        <w:bCs/>
      </w:rPr>
      <w:tblPr/>
      <w:tcPr>
        <w:tcBorders>
          <w:top w:val="double" w:sz="4" w:space="0" w:color="C7C8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4-Accent2">
    <w:name w:val="Grid Table 4 Accent 2"/>
    <w:basedOn w:val="TableNormal"/>
    <w:uiPriority w:val="49"/>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color w:val="FFFFFF" w:themeColor="background1"/>
      </w:rPr>
      <w:tblPr/>
      <w:tcPr>
        <w:tcBorders>
          <w:top w:val="single" w:sz="4" w:space="0" w:color="939598" w:themeColor="accent2"/>
          <w:left w:val="single" w:sz="4" w:space="0" w:color="939598" w:themeColor="accent2"/>
          <w:bottom w:val="single" w:sz="4" w:space="0" w:color="939598" w:themeColor="accent2"/>
          <w:right w:val="single" w:sz="4" w:space="0" w:color="939598" w:themeColor="accent2"/>
          <w:insideH w:val="nil"/>
          <w:insideV w:val="nil"/>
        </w:tcBorders>
        <w:shd w:val="clear" w:color="auto" w:fill="939598" w:themeFill="accent2"/>
      </w:tcPr>
    </w:tblStylePr>
    <w:tblStylePr w:type="lastRow">
      <w:rPr>
        <w:b/>
        <w:bCs/>
      </w:rPr>
      <w:tblPr/>
      <w:tcPr>
        <w:tcBorders>
          <w:top w:val="double" w:sz="4" w:space="0" w:color="939598" w:themeColor="accent2"/>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4-Accent3">
    <w:name w:val="Grid Table 4 Accent 3"/>
    <w:basedOn w:val="TableNormal"/>
    <w:uiPriority w:val="49"/>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insideV w:val="nil"/>
        </w:tcBorders>
        <w:shd w:val="clear" w:color="auto" w:fill="636466" w:themeFill="accent3"/>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4-Accent4">
    <w:name w:val="Grid Table 4 Accent 4"/>
    <w:basedOn w:val="TableNormal"/>
    <w:uiPriority w:val="49"/>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color w:val="FFFFFF" w:themeColor="background1"/>
      </w:rPr>
      <w:tblPr/>
      <w:tcPr>
        <w:tcBorders>
          <w:top w:val="single" w:sz="4" w:space="0" w:color="CD202C" w:themeColor="accent4"/>
          <w:left w:val="single" w:sz="4" w:space="0" w:color="CD202C" w:themeColor="accent4"/>
          <w:bottom w:val="single" w:sz="4" w:space="0" w:color="CD202C" w:themeColor="accent4"/>
          <w:right w:val="single" w:sz="4" w:space="0" w:color="CD202C" w:themeColor="accent4"/>
          <w:insideH w:val="nil"/>
          <w:insideV w:val="nil"/>
        </w:tcBorders>
        <w:shd w:val="clear" w:color="auto" w:fill="CD202C" w:themeFill="accent4"/>
      </w:tcPr>
    </w:tblStylePr>
    <w:tblStylePr w:type="lastRow">
      <w:rPr>
        <w:b/>
        <w:bCs/>
      </w:rPr>
      <w:tblPr/>
      <w:tcPr>
        <w:tcBorders>
          <w:top w:val="double" w:sz="4" w:space="0" w:color="CD202C" w:themeColor="accent4"/>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4-Accent5">
    <w:name w:val="Grid Table 4 Accent 5"/>
    <w:basedOn w:val="TableNormal"/>
    <w:uiPriority w:val="49"/>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color w:val="FFFFFF" w:themeColor="background1"/>
      </w:rPr>
      <w:tblPr/>
      <w:tcPr>
        <w:tcBorders>
          <w:top w:val="single" w:sz="4" w:space="0" w:color="0055AA" w:themeColor="accent5"/>
          <w:left w:val="single" w:sz="4" w:space="0" w:color="0055AA" w:themeColor="accent5"/>
          <w:bottom w:val="single" w:sz="4" w:space="0" w:color="0055AA" w:themeColor="accent5"/>
          <w:right w:val="single" w:sz="4" w:space="0" w:color="0055AA" w:themeColor="accent5"/>
          <w:insideH w:val="nil"/>
          <w:insideV w:val="nil"/>
        </w:tcBorders>
        <w:shd w:val="clear" w:color="auto" w:fill="0055AA" w:themeFill="accent5"/>
      </w:tcPr>
    </w:tblStylePr>
    <w:tblStylePr w:type="lastRow">
      <w:rPr>
        <w:b/>
        <w:bCs/>
      </w:rPr>
      <w:tblPr/>
      <w:tcPr>
        <w:tcBorders>
          <w:top w:val="double" w:sz="4" w:space="0" w:color="0055AA" w:themeColor="accent5"/>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4-Accent6">
    <w:name w:val="Grid Table 4 Accent 6"/>
    <w:basedOn w:val="TableNormal"/>
    <w:uiPriority w:val="49"/>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color w:val="FFFFFF" w:themeColor="background1"/>
      </w:rPr>
      <w:tblPr/>
      <w:tcPr>
        <w:tcBorders>
          <w:top w:val="single" w:sz="4" w:space="0" w:color="FFAA22" w:themeColor="accent6"/>
          <w:left w:val="single" w:sz="4" w:space="0" w:color="FFAA22" w:themeColor="accent6"/>
          <w:bottom w:val="single" w:sz="4" w:space="0" w:color="FFAA22" w:themeColor="accent6"/>
          <w:right w:val="single" w:sz="4" w:space="0" w:color="FFAA22" w:themeColor="accent6"/>
          <w:insideH w:val="nil"/>
          <w:insideV w:val="nil"/>
        </w:tcBorders>
        <w:shd w:val="clear" w:color="auto" w:fill="FFAA22" w:themeFill="accent6"/>
      </w:tcPr>
    </w:tblStylePr>
    <w:tblStylePr w:type="lastRow">
      <w:rPr>
        <w:b/>
        <w:bCs/>
      </w:rPr>
      <w:tblPr/>
      <w:tcPr>
        <w:tcBorders>
          <w:top w:val="double" w:sz="4" w:space="0" w:color="FFAA22" w:themeColor="accent6"/>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5Dark">
    <w:name w:val="Grid Table 5 Dark"/>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text1"/>
      </w:tcPr>
    </w:tblStylePr>
    <w:tblStylePr w:type="band1Vert">
      <w:tblPr/>
      <w:tcPr>
        <w:shd w:val="clear" w:color="auto" w:fill="B2B2B2" w:themeFill="text1" w:themeFillTint="66"/>
      </w:tcPr>
    </w:tblStylePr>
    <w:tblStylePr w:type="band1Horz">
      <w:tblPr/>
      <w:tcPr>
        <w:shd w:val="clear" w:color="auto" w:fill="B2B2B2" w:themeFill="text1" w:themeFillTint="66"/>
      </w:tcPr>
    </w:tblStylePr>
  </w:style>
  <w:style w:type="table" w:styleId="GridTable5Dark-Accent1">
    <w:name w:val="Grid Table 5 Dark Accent 1"/>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C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C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C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C8CA" w:themeFill="accent1"/>
      </w:tcPr>
    </w:tblStylePr>
    <w:tblStylePr w:type="band1Vert">
      <w:tblPr/>
      <w:tcPr>
        <w:shd w:val="clear" w:color="auto" w:fill="E8E8E9" w:themeFill="accent1" w:themeFillTint="66"/>
      </w:tcPr>
    </w:tblStylePr>
    <w:tblStylePr w:type="band1Horz">
      <w:tblPr/>
      <w:tcPr>
        <w:shd w:val="clear" w:color="auto" w:fill="E8E8E9" w:themeFill="accent1" w:themeFillTint="66"/>
      </w:tcPr>
    </w:tblStylePr>
  </w:style>
  <w:style w:type="table" w:styleId="GridTable5Dark-Accent2">
    <w:name w:val="Grid Table 5 Dark Accent 2"/>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2"/>
      </w:tcPr>
    </w:tblStylePr>
    <w:tblStylePr w:type="band1Vert">
      <w:tblPr/>
      <w:tcPr>
        <w:shd w:val="clear" w:color="auto" w:fill="D3D4D5" w:themeFill="accent2" w:themeFillTint="66"/>
      </w:tcPr>
    </w:tblStylePr>
    <w:tblStylePr w:type="band1Horz">
      <w:tblPr/>
      <w:tcPr>
        <w:shd w:val="clear" w:color="auto" w:fill="D3D4D5" w:themeFill="accent2" w:themeFillTint="66"/>
      </w:tcPr>
    </w:tblStylePr>
  </w:style>
  <w:style w:type="table" w:styleId="GridTable5Dark-Accent3">
    <w:name w:val="Grid Table 5 Dark Accent 3"/>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4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4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4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466" w:themeFill="accent3"/>
      </w:tcPr>
    </w:tblStylePr>
    <w:tblStylePr w:type="band1Vert">
      <w:tblPr/>
      <w:tcPr>
        <w:shd w:val="clear" w:color="auto" w:fill="C0C0C2" w:themeFill="accent3" w:themeFillTint="66"/>
      </w:tcPr>
    </w:tblStylePr>
    <w:tblStylePr w:type="band1Horz">
      <w:tblPr/>
      <w:tcPr>
        <w:shd w:val="clear" w:color="auto" w:fill="C0C0C2" w:themeFill="accent3" w:themeFillTint="66"/>
      </w:tcPr>
    </w:tblStylePr>
  </w:style>
  <w:style w:type="table" w:styleId="GridTable5Dark-Accent4">
    <w:name w:val="Grid Table 5 Dark Accent 4"/>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F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20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20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20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202C" w:themeFill="accent4"/>
      </w:tcPr>
    </w:tblStylePr>
    <w:tblStylePr w:type="band1Vert">
      <w:tblPr/>
      <w:tcPr>
        <w:shd w:val="clear" w:color="auto" w:fill="F0A0A5" w:themeFill="accent4" w:themeFillTint="66"/>
      </w:tcPr>
    </w:tblStylePr>
    <w:tblStylePr w:type="band1Horz">
      <w:tblPr/>
      <w:tcPr>
        <w:shd w:val="clear" w:color="auto" w:fill="F0A0A5" w:themeFill="accent4" w:themeFillTint="66"/>
      </w:tcPr>
    </w:tblStylePr>
  </w:style>
  <w:style w:type="table" w:styleId="GridTable5Dark-Accent5">
    <w:name w:val="Grid Table 5 Dark Accent 5"/>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A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A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A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AA" w:themeFill="accent5"/>
      </w:tcPr>
    </w:tblStylePr>
    <w:tblStylePr w:type="band1Vert">
      <w:tblPr/>
      <w:tcPr>
        <w:shd w:val="clear" w:color="auto" w:fill="77BAFF" w:themeFill="accent5" w:themeFillTint="66"/>
      </w:tcPr>
    </w:tblStylePr>
    <w:tblStylePr w:type="band1Horz">
      <w:tblPr/>
      <w:tcPr>
        <w:shd w:val="clear" w:color="auto" w:fill="77BAFF" w:themeFill="accent5" w:themeFillTint="66"/>
      </w:tcPr>
    </w:tblStylePr>
  </w:style>
  <w:style w:type="table" w:styleId="GridTable5Dark-Accent6">
    <w:name w:val="Grid Table 5 Dark Accent 6"/>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A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A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A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A22" w:themeFill="accent6"/>
      </w:tcPr>
    </w:tblStylePr>
    <w:tblStylePr w:type="band1Vert">
      <w:tblPr/>
      <w:tcPr>
        <w:shd w:val="clear" w:color="auto" w:fill="FFDCA6" w:themeFill="accent6" w:themeFillTint="66"/>
      </w:tcPr>
    </w:tblStylePr>
    <w:tblStylePr w:type="band1Horz">
      <w:tblPr/>
      <w:tcPr>
        <w:shd w:val="clear" w:color="auto" w:fill="FFDCA6" w:themeFill="accent6" w:themeFillTint="66"/>
      </w:tcPr>
    </w:tblStylePr>
  </w:style>
  <w:style w:type="table" w:styleId="GridTable6Colorful">
    <w:name w:val="Grid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bottom w:val="single" w:sz="12" w:space="0" w:color="8C8C8C" w:themeColor="text1" w:themeTint="99"/>
        </w:tcBorders>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6Colorful-Accent1">
    <w:name w:val="Grid Table 6 Colorful Accent 1"/>
    <w:basedOn w:val="TableNormal"/>
    <w:uiPriority w:val="51"/>
    <w:rsid w:val="00F527CC"/>
    <w:pPr>
      <w:spacing w:after="0" w:line="240" w:lineRule="auto"/>
    </w:pPr>
    <w:rPr>
      <w:color w:val="939599" w:themeColor="accent1" w:themeShade="BF"/>
    </w:r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bottom w:val="single" w:sz="12" w:space="0" w:color="DDDDDF" w:themeColor="accent1" w:themeTint="99"/>
        </w:tcBorders>
      </w:tcPr>
    </w:tblStylePr>
    <w:tblStylePr w:type="lastRow">
      <w:rPr>
        <w:b/>
        <w:bCs/>
      </w:rPr>
      <w:tblPr/>
      <w:tcPr>
        <w:tcBorders>
          <w:top w:val="doub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6Colorful-Accent2">
    <w:name w:val="Grid Table 6 Colorful Accent 2"/>
    <w:basedOn w:val="TableNormal"/>
    <w:uiPriority w:val="51"/>
    <w:rsid w:val="00F527CC"/>
    <w:pPr>
      <w:spacing w:after="0" w:line="240" w:lineRule="auto"/>
    </w:pPr>
    <w:rPr>
      <w:color w:val="6D6F72" w:themeColor="accent2" w:themeShade="BF"/>
    </w:r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bottom w:val="single" w:sz="12" w:space="0" w:color="BEBFC1" w:themeColor="accent2" w:themeTint="99"/>
        </w:tcBorders>
      </w:tcPr>
    </w:tblStylePr>
    <w:tblStylePr w:type="lastRow">
      <w:rPr>
        <w:b/>
        <w:bCs/>
      </w:rPr>
      <w:tblPr/>
      <w:tcPr>
        <w:tcBorders>
          <w:top w:val="doub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6Colorful-Accent3">
    <w:name w:val="Grid Table 6 Colorful Accent 3"/>
    <w:basedOn w:val="TableNormal"/>
    <w:uiPriority w:val="51"/>
    <w:rsid w:val="00F527CC"/>
    <w:pPr>
      <w:spacing w:after="0" w:line="240" w:lineRule="auto"/>
    </w:pPr>
    <w:rPr>
      <w:color w:val="4A4A4C" w:themeColor="accent3" w:themeShade="BF"/>
    </w:r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bottom w:val="single" w:sz="12" w:space="0" w:color="A0A1A3" w:themeColor="accent3" w:themeTint="99"/>
        </w:tcBorders>
      </w:tcPr>
    </w:tblStylePr>
    <w:tblStylePr w:type="lastRow">
      <w:rPr>
        <w:b/>
        <w:bCs/>
      </w:rPr>
      <w:tblPr/>
      <w:tcPr>
        <w:tcBorders>
          <w:top w:val="doub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6Colorful-Accent4">
    <w:name w:val="Grid Table 6 Colorful Accent 4"/>
    <w:basedOn w:val="TableNormal"/>
    <w:uiPriority w:val="51"/>
    <w:rsid w:val="00F527CC"/>
    <w:pPr>
      <w:spacing w:after="0" w:line="240" w:lineRule="auto"/>
    </w:pPr>
    <w:rPr>
      <w:color w:val="991820" w:themeColor="accent4" w:themeShade="BF"/>
    </w:r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bottom w:val="single" w:sz="12" w:space="0" w:color="E87179" w:themeColor="accent4" w:themeTint="99"/>
        </w:tcBorders>
      </w:tcPr>
    </w:tblStylePr>
    <w:tblStylePr w:type="lastRow">
      <w:rPr>
        <w:b/>
        <w:bCs/>
      </w:rPr>
      <w:tblPr/>
      <w:tcPr>
        <w:tcBorders>
          <w:top w:val="doub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6Colorful-Accent5">
    <w:name w:val="Grid Table 6 Colorful Accent 5"/>
    <w:basedOn w:val="TableNormal"/>
    <w:uiPriority w:val="51"/>
    <w:rsid w:val="00F527CC"/>
    <w:pPr>
      <w:spacing w:after="0" w:line="240" w:lineRule="auto"/>
    </w:pPr>
    <w:rPr>
      <w:color w:val="003F7F" w:themeColor="accent5" w:themeShade="BF"/>
    </w:r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bottom w:val="single" w:sz="12" w:space="0" w:color="3398FF" w:themeColor="accent5" w:themeTint="99"/>
        </w:tcBorders>
      </w:tcPr>
    </w:tblStylePr>
    <w:tblStylePr w:type="lastRow">
      <w:rPr>
        <w:b/>
        <w:bCs/>
      </w:rPr>
      <w:tblPr/>
      <w:tcPr>
        <w:tcBorders>
          <w:top w:val="doub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6Colorful-Accent6">
    <w:name w:val="Grid Table 6 Colorful Accent 6"/>
    <w:basedOn w:val="TableNormal"/>
    <w:uiPriority w:val="51"/>
    <w:rsid w:val="00F527CC"/>
    <w:pPr>
      <w:spacing w:after="0" w:line="240" w:lineRule="auto"/>
    </w:pPr>
    <w:rPr>
      <w:color w:val="D88400" w:themeColor="accent6" w:themeShade="BF"/>
    </w:r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bottom w:val="single" w:sz="12" w:space="0" w:color="FFCB7A" w:themeColor="accent6" w:themeTint="99"/>
        </w:tcBorders>
      </w:tcPr>
    </w:tblStylePr>
    <w:tblStylePr w:type="lastRow">
      <w:rPr>
        <w:b/>
        <w:bCs/>
      </w:rPr>
      <w:tblPr/>
      <w:tcPr>
        <w:tcBorders>
          <w:top w:val="doub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7Colorful">
    <w:name w:val="Grid Table 7 Colorful"/>
    <w:basedOn w:val="TableNormal"/>
    <w:uiPriority w:val="52"/>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7Colorful-Accent1">
    <w:name w:val="Grid Table 7 Colorful Accent 1"/>
    <w:basedOn w:val="TableNormal"/>
    <w:uiPriority w:val="52"/>
    <w:rsid w:val="00F527CC"/>
    <w:pPr>
      <w:spacing w:after="0" w:line="240" w:lineRule="auto"/>
    </w:pPr>
    <w:rPr>
      <w:color w:val="939599" w:themeColor="accent1" w:themeShade="BF"/>
    </w:r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bottom w:val="single" w:sz="4" w:space="0" w:color="DDDDDF" w:themeColor="accent1" w:themeTint="99"/>
        </w:tcBorders>
      </w:tcPr>
    </w:tblStylePr>
    <w:tblStylePr w:type="nwCell">
      <w:tblPr/>
      <w:tcPr>
        <w:tcBorders>
          <w:bottom w:val="single" w:sz="4" w:space="0" w:color="DDDDDF" w:themeColor="accent1" w:themeTint="99"/>
        </w:tcBorders>
      </w:tcPr>
    </w:tblStylePr>
    <w:tblStylePr w:type="seCell">
      <w:tblPr/>
      <w:tcPr>
        <w:tcBorders>
          <w:top w:val="single" w:sz="4" w:space="0" w:color="DDDDDF" w:themeColor="accent1" w:themeTint="99"/>
        </w:tcBorders>
      </w:tcPr>
    </w:tblStylePr>
    <w:tblStylePr w:type="swCell">
      <w:tblPr/>
      <w:tcPr>
        <w:tcBorders>
          <w:top w:val="single" w:sz="4" w:space="0" w:color="DDDDDF" w:themeColor="accent1" w:themeTint="99"/>
        </w:tcBorders>
      </w:tcPr>
    </w:tblStylePr>
  </w:style>
  <w:style w:type="table" w:styleId="GridTable7Colorful-Accent2">
    <w:name w:val="Grid Table 7 Colorful Accent 2"/>
    <w:basedOn w:val="TableNormal"/>
    <w:uiPriority w:val="52"/>
    <w:rsid w:val="00F527CC"/>
    <w:pPr>
      <w:spacing w:after="0" w:line="240" w:lineRule="auto"/>
    </w:pPr>
    <w:rPr>
      <w:color w:val="6D6F72" w:themeColor="accent2" w:themeShade="BF"/>
    </w:r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bottom w:val="single" w:sz="4" w:space="0" w:color="BEBFC1" w:themeColor="accent2" w:themeTint="99"/>
        </w:tcBorders>
      </w:tcPr>
    </w:tblStylePr>
    <w:tblStylePr w:type="nwCell">
      <w:tblPr/>
      <w:tcPr>
        <w:tcBorders>
          <w:bottom w:val="single" w:sz="4" w:space="0" w:color="BEBFC1" w:themeColor="accent2" w:themeTint="99"/>
        </w:tcBorders>
      </w:tcPr>
    </w:tblStylePr>
    <w:tblStylePr w:type="seCell">
      <w:tblPr/>
      <w:tcPr>
        <w:tcBorders>
          <w:top w:val="single" w:sz="4" w:space="0" w:color="BEBFC1" w:themeColor="accent2" w:themeTint="99"/>
        </w:tcBorders>
      </w:tcPr>
    </w:tblStylePr>
    <w:tblStylePr w:type="swCell">
      <w:tblPr/>
      <w:tcPr>
        <w:tcBorders>
          <w:top w:val="single" w:sz="4" w:space="0" w:color="BEBFC1" w:themeColor="accent2" w:themeTint="99"/>
        </w:tcBorders>
      </w:tcPr>
    </w:tblStylePr>
  </w:style>
  <w:style w:type="table" w:styleId="GridTable7Colorful-Accent3">
    <w:name w:val="Grid Table 7 Colorful Accent 3"/>
    <w:basedOn w:val="TableNormal"/>
    <w:uiPriority w:val="52"/>
    <w:rsid w:val="00F527CC"/>
    <w:pPr>
      <w:spacing w:after="0" w:line="240" w:lineRule="auto"/>
    </w:pPr>
    <w:rPr>
      <w:color w:val="4A4A4C" w:themeColor="accent3" w:themeShade="BF"/>
    </w:r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bottom w:val="single" w:sz="4" w:space="0" w:color="A0A1A3" w:themeColor="accent3" w:themeTint="99"/>
        </w:tcBorders>
      </w:tcPr>
    </w:tblStylePr>
    <w:tblStylePr w:type="nwCell">
      <w:tblPr/>
      <w:tcPr>
        <w:tcBorders>
          <w:bottom w:val="single" w:sz="4" w:space="0" w:color="A0A1A3" w:themeColor="accent3" w:themeTint="99"/>
        </w:tcBorders>
      </w:tcPr>
    </w:tblStylePr>
    <w:tblStylePr w:type="seCell">
      <w:tblPr/>
      <w:tcPr>
        <w:tcBorders>
          <w:top w:val="single" w:sz="4" w:space="0" w:color="A0A1A3" w:themeColor="accent3" w:themeTint="99"/>
        </w:tcBorders>
      </w:tcPr>
    </w:tblStylePr>
    <w:tblStylePr w:type="swCell">
      <w:tblPr/>
      <w:tcPr>
        <w:tcBorders>
          <w:top w:val="single" w:sz="4" w:space="0" w:color="A0A1A3" w:themeColor="accent3" w:themeTint="99"/>
        </w:tcBorders>
      </w:tcPr>
    </w:tblStylePr>
  </w:style>
  <w:style w:type="table" w:styleId="GridTable7Colorful-Accent4">
    <w:name w:val="Grid Table 7 Colorful Accent 4"/>
    <w:basedOn w:val="TableNormal"/>
    <w:uiPriority w:val="52"/>
    <w:rsid w:val="00F527CC"/>
    <w:pPr>
      <w:spacing w:after="0" w:line="240" w:lineRule="auto"/>
    </w:pPr>
    <w:rPr>
      <w:color w:val="991820" w:themeColor="accent4" w:themeShade="BF"/>
    </w:r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bottom w:val="single" w:sz="4" w:space="0" w:color="E87179" w:themeColor="accent4" w:themeTint="99"/>
        </w:tcBorders>
      </w:tcPr>
    </w:tblStylePr>
    <w:tblStylePr w:type="nwCell">
      <w:tblPr/>
      <w:tcPr>
        <w:tcBorders>
          <w:bottom w:val="single" w:sz="4" w:space="0" w:color="E87179" w:themeColor="accent4" w:themeTint="99"/>
        </w:tcBorders>
      </w:tcPr>
    </w:tblStylePr>
    <w:tblStylePr w:type="seCell">
      <w:tblPr/>
      <w:tcPr>
        <w:tcBorders>
          <w:top w:val="single" w:sz="4" w:space="0" w:color="E87179" w:themeColor="accent4" w:themeTint="99"/>
        </w:tcBorders>
      </w:tcPr>
    </w:tblStylePr>
    <w:tblStylePr w:type="swCell">
      <w:tblPr/>
      <w:tcPr>
        <w:tcBorders>
          <w:top w:val="single" w:sz="4" w:space="0" w:color="E87179" w:themeColor="accent4" w:themeTint="99"/>
        </w:tcBorders>
      </w:tcPr>
    </w:tblStylePr>
  </w:style>
  <w:style w:type="table" w:styleId="GridTable7Colorful-Accent5">
    <w:name w:val="Grid Table 7 Colorful Accent 5"/>
    <w:basedOn w:val="TableNormal"/>
    <w:uiPriority w:val="52"/>
    <w:rsid w:val="00F527CC"/>
    <w:pPr>
      <w:spacing w:after="0" w:line="240" w:lineRule="auto"/>
    </w:pPr>
    <w:rPr>
      <w:color w:val="003F7F" w:themeColor="accent5" w:themeShade="BF"/>
    </w:r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bottom w:val="single" w:sz="4" w:space="0" w:color="3398FF" w:themeColor="accent5" w:themeTint="99"/>
        </w:tcBorders>
      </w:tcPr>
    </w:tblStylePr>
    <w:tblStylePr w:type="nwCell">
      <w:tblPr/>
      <w:tcPr>
        <w:tcBorders>
          <w:bottom w:val="single" w:sz="4" w:space="0" w:color="3398FF" w:themeColor="accent5" w:themeTint="99"/>
        </w:tcBorders>
      </w:tcPr>
    </w:tblStylePr>
    <w:tblStylePr w:type="seCell">
      <w:tblPr/>
      <w:tcPr>
        <w:tcBorders>
          <w:top w:val="single" w:sz="4" w:space="0" w:color="3398FF" w:themeColor="accent5" w:themeTint="99"/>
        </w:tcBorders>
      </w:tcPr>
    </w:tblStylePr>
    <w:tblStylePr w:type="swCell">
      <w:tblPr/>
      <w:tcPr>
        <w:tcBorders>
          <w:top w:val="single" w:sz="4" w:space="0" w:color="3398FF" w:themeColor="accent5" w:themeTint="99"/>
        </w:tcBorders>
      </w:tcPr>
    </w:tblStylePr>
  </w:style>
  <w:style w:type="table" w:styleId="GridTable7Colorful-Accent6">
    <w:name w:val="Grid Table 7 Colorful Accent 6"/>
    <w:basedOn w:val="TableNormal"/>
    <w:uiPriority w:val="52"/>
    <w:rsid w:val="00F527CC"/>
    <w:pPr>
      <w:spacing w:after="0" w:line="240" w:lineRule="auto"/>
    </w:pPr>
    <w:rPr>
      <w:color w:val="D88400" w:themeColor="accent6" w:themeShade="BF"/>
    </w:r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bottom w:val="single" w:sz="4" w:space="0" w:color="FFCB7A" w:themeColor="accent6" w:themeTint="99"/>
        </w:tcBorders>
      </w:tcPr>
    </w:tblStylePr>
    <w:tblStylePr w:type="nwCell">
      <w:tblPr/>
      <w:tcPr>
        <w:tcBorders>
          <w:bottom w:val="single" w:sz="4" w:space="0" w:color="FFCB7A" w:themeColor="accent6" w:themeTint="99"/>
        </w:tcBorders>
      </w:tcPr>
    </w:tblStylePr>
    <w:tblStylePr w:type="seCell">
      <w:tblPr/>
      <w:tcPr>
        <w:tcBorders>
          <w:top w:val="single" w:sz="4" w:space="0" w:color="FFCB7A" w:themeColor="accent6" w:themeTint="99"/>
        </w:tcBorders>
      </w:tcPr>
    </w:tblStylePr>
    <w:tblStylePr w:type="swCell">
      <w:tblPr/>
      <w:tcPr>
        <w:tcBorders>
          <w:top w:val="single" w:sz="4" w:space="0" w:color="FFCB7A" w:themeColor="accent6" w:themeTint="99"/>
        </w:tcBorders>
      </w:tcPr>
    </w:tblStylePr>
  </w:style>
  <w:style w:type="character" w:styleId="HTMLAcronym">
    <w:name w:val="HTML Acronym"/>
    <w:basedOn w:val="DefaultParagraphFont"/>
    <w:uiPriority w:val="99"/>
    <w:semiHidden/>
    <w:unhideWhenUsed/>
    <w:rsid w:val="00F527CC"/>
    <w:rPr>
      <w:lang w:val="en-US"/>
    </w:rPr>
  </w:style>
  <w:style w:type="paragraph" w:styleId="HTMLAddress">
    <w:name w:val="HTML Address"/>
    <w:basedOn w:val="Normal"/>
    <w:link w:val="HTMLAddressChar"/>
    <w:uiPriority w:val="99"/>
    <w:semiHidden/>
    <w:unhideWhenUsed/>
    <w:rsid w:val="00F527CC"/>
    <w:pPr>
      <w:spacing w:after="0" w:line="240" w:lineRule="auto"/>
    </w:pPr>
    <w:rPr>
      <w:i/>
      <w:iCs/>
    </w:rPr>
  </w:style>
  <w:style w:type="character" w:customStyle="1" w:styleId="HTMLAddressChar">
    <w:name w:val="HTML Address Char"/>
    <w:basedOn w:val="DefaultParagraphFont"/>
    <w:link w:val="HTMLAddress"/>
    <w:uiPriority w:val="99"/>
    <w:semiHidden/>
    <w:rsid w:val="00F527CC"/>
    <w:rPr>
      <w:i/>
      <w:iCs/>
      <w:lang w:val="en-US"/>
    </w:rPr>
  </w:style>
  <w:style w:type="character" w:styleId="HTMLCite">
    <w:name w:val="HTML Cite"/>
    <w:basedOn w:val="DefaultParagraphFont"/>
    <w:uiPriority w:val="99"/>
    <w:semiHidden/>
    <w:unhideWhenUsed/>
    <w:rsid w:val="00F527CC"/>
    <w:rPr>
      <w:i/>
      <w:iCs/>
      <w:lang w:val="en-US"/>
    </w:rPr>
  </w:style>
  <w:style w:type="character" w:styleId="HTMLCode">
    <w:name w:val="HTML Code"/>
    <w:basedOn w:val="DefaultParagraphFont"/>
    <w:uiPriority w:val="99"/>
    <w:semiHidden/>
    <w:unhideWhenUsed/>
    <w:rsid w:val="00F527CC"/>
    <w:rPr>
      <w:rFonts w:ascii="Consolas" w:hAnsi="Consolas"/>
      <w:sz w:val="20"/>
      <w:szCs w:val="20"/>
      <w:lang w:val="en-US"/>
    </w:rPr>
  </w:style>
  <w:style w:type="character" w:styleId="HTMLDefinition">
    <w:name w:val="HTML Definition"/>
    <w:basedOn w:val="DefaultParagraphFont"/>
    <w:uiPriority w:val="99"/>
    <w:semiHidden/>
    <w:unhideWhenUsed/>
    <w:rsid w:val="00F527CC"/>
    <w:rPr>
      <w:i/>
      <w:iCs/>
      <w:lang w:val="en-US"/>
    </w:rPr>
  </w:style>
  <w:style w:type="character" w:styleId="HTMLKeyboard">
    <w:name w:val="HTML Keyboard"/>
    <w:basedOn w:val="DefaultParagraphFont"/>
    <w:uiPriority w:val="99"/>
    <w:semiHidden/>
    <w:unhideWhenUsed/>
    <w:rsid w:val="00F527CC"/>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F527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27CC"/>
    <w:rPr>
      <w:rFonts w:ascii="Consolas" w:hAnsi="Consolas"/>
      <w:sz w:val="20"/>
      <w:szCs w:val="20"/>
      <w:lang w:val="en-US"/>
    </w:rPr>
  </w:style>
  <w:style w:type="character" w:styleId="HTMLSample">
    <w:name w:val="HTML Sample"/>
    <w:basedOn w:val="DefaultParagraphFont"/>
    <w:uiPriority w:val="99"/>
    <w:semiHidden/>
    <w:unhideWhenUsed/>
    <w:rsid w:val="00F527CC"/>
    <w:rPr>
      <w:rFonts w:ascii="Consolas" w:hAnsi="Consolas"/>
      <w:sz w:val="24"/>
      <w:szCs w:val="24"/>
      <w:lang w:val="en-US"/>
    </w:rPr>
  </w:style>
  <w:style w:type="character" w:styleId="HTMLTypewriter">
    <w:name w:val="HTML Typewriter"/>
    <w:basedOn w:val="DefaultParagraphFont"/>
    <w:uiPriority w:val="99"/>
    <w:semiHidden/>
    <w:unhideWhenUsed/>
    <w:rsid w:val="00F527CC"/>
    <w:rPr>
      <w:rFonts w:ascii="Consolas" w:hAnsi="Consolas"/>
      <w:sz w:val="20"/>
      <w:szCs w:val="20"/>
      <w:lang w:val="en-US"/>
    </w:rPr>
  </w:style>
  <w:style w:type="character" w:styleId="HTMLVariable">
    <w:name w:val="HTML Variable"/>
    <w:basedOn w:val="DefaultParagraphFont"/>
    <w:uiPriority w:val="99"/>
    <w:semiHidden/>
    <w:unhideWhenUsed/>
    <w:rsid w:val="00F527CC"/>
    <w:rPr>
      <w:i/>
      <w:iCs/>
      <w:lang w:val="en-US"/>
    </w:rPr>
  </w:style>
  <w:style w:type="paragraph" w:styleId="Index1">
    <w:name w:val="index 1"/>
    <w:basedOn w:val="Normal"/>
    <w:next w:val="Normal"/>
    <w:autoRedefine/>
    <w:uiPriority w:val="99"/>
    <w:semiHidden/>
    <w:unhideWhenUsed/>
    <w:rsid w:val="00F527CC"/>
    <w:pPr>
      <w:spacing w:after="0" w:line="240" w:lineRule="auto"/>
      <w:ind w:left="220" w:hanging="220"/>
    </w:pPr>
  </w:style>
  <w:style w:type="paragraph" w:styleId="Index2">
    <w:name w:val="index 2"/>
    <w:basedOn w:val="Normal"/>
    <w:next w:val="Normal"/>
    <w:autoRedefine/>
    <w:uiPriority w:val="99"/>
    <w:semiHidden/>
    <w:unhideWhenUsed/>
    <w:rsid w:val="00F527CC"/>
    <w:pPr>
      <w:spacing w:after="0" w:line="240" w:lineRule="auto"/>
      <w:ind w:left="440" w:hanging="220"/>
    </w:pPr>
  </w:style>
  <w:style w:type="paragraph" w:styleId="Index3">
    <w:name w:val="index 3"/>
    <w:basedOn w:val="Normal"/>
    <w:next w:val="Normal"/>
    <w:autoRedefine/>
    <w:uiPriority w:val="99"/>
    <w:semiHidden/>
    <w:unhideWhenUsed/>
    <w:rsid w:val="00F527CC"/>
    <w:pPr>
      <w:spacing w:after="0" w:line="240" w:lineRule="auto"/>
      <w:ind w:left="660" w:hanging="220"/>
    </w:pPr>
  </w:style>
  <w:style w:type="paragraph" w:styleId="Index4">
    <w:name w:val="index 4"/>
    <w:basedOn w:val="Normal"/>
    <w:next w:val="Normal"/>
    <w:autoRedefine/>
    <w:uiPriority w:val="99"/>
    <w:semiHidden/>
    <w:unhideWhenUsed/>
    <w:rsid w:val="00F527CC"/>
    <w:pPr>
      <w:spacing w:after="0" w:line="240" w:lineRule="auto"/>
      <w:ind w:left="880" w:hanging="220"/>
    </w:pPr>
  </w:style>
  <w:style w:type="paragraph" w:styleId="Index5">
    <w:name w:val="index 5"/>
    <w:basedOn w:val="Normal"/>
    <w:next w:val="Normal"/>
    <w:autoRedefine/>
    <w:uiPriority w:val="99"/>
    <w:semiHidden/>
    <w:unhideWhenUsed/>
    <w:rsid w:val="00F527CC"/>
    <w:pPr>
      <w:spacing w:after="0" w:line="240" w:lineRule="auto"/>
      <w:ind w:left="1100" w:hanging="220"/>
    </w:pPr>
  </w:style>
  <w:style w:type="paragraph" w:styleId="Index6">
    <w:name w:val="index 6"/>
    <w:basedOn w:val="Normal"/>
    <w:next w:val="Normal"/>
    <w:autoRedefine/>
    <w:uiPriority w:val="99"/>
    <w:semiHidden/>
    <w:unhideWhenUsed/>
    <w:rsid w:val="00F527CC"/>
    <w:pPr>
      <w:spacing w:after="0" w:line="240" w:lineRule="auto"/>
      <w:ind w:left="1320" w:hanging="220"/>
    </w:pPr>
  </w:style>
  <w:style w:type="paragraph" w:styleId="Index7">
    <w:name w:val="index 7"/>
    <w:basedOn w:val="Normal"/>
    <w:next w:val="Normal"/>
    <w:autoRedefine/>
    <w:uiPriority w:val="99"/>
    <w:semiHidden/>
    <w:unhideWhenUsed/>
    <w:rsid w:val="00F527CC"/>
    <w:pPr>
      <w:spacing w:after="0" w:line="240" w:lineRule="auto"/>
      <w:ind w:left="1540" w:hanging="220"/>
    </w:pPr>
  </w:style>
  <w:style w:type="paragraph" w:styleId="Index8">
    <w:name w:val="index 8"/>
    <w:basedOn w:val="Normal"/>
    <w:next w:val="Normal"/>
    <w:autoRedefine/>
    <w:uiPriority w:val="99"/>
    <w:semiHidden/>
    <w:unhideWhenUsed/>
    <w:rsid w:val="00F527CC"/>
    <w:pPr>
      <w:spacing w:after="0" w:line="240" w:lineRule="auto"/>
      <w:ind w:left="1760" w:hanging="220"/>
    </w:pPr>
  </w:style>
  <w:style w:type="paragraph" w:styleId="Index9">
    <w:name w:val="index 9"/>
    <w:basedOn w:val="Normal"/>
    <w:next w:val="Normal"/>
    <w:autoRedefine/>
    <w:uiPriority w:val="99"/>
    <w:semiHidden/>
    <w:unhideWhenUsed/>
    <w:rsid w:val="00F527CC"/>
    <w:pPr>
      <w:spacing w:after="0" w:line="240" w:lineRule="auto"/>
      <w:ind w:left="1980" w:hanging="220"/>
    </w:pPr>
  </w:style>
  <w:style w:type="paragraph" w:styleId="IndexHeading">
    <w:name w:val="index heading"/>
    <w:basedOn w:val="Normal"/>
    <w:next w:val="Index1"/>
    <w:uiPriority w:val="99"/>
    <w:semiHidden/>
    <w:unhideWhenUsed/>
    <w:rsid w:val="00F527CC"/>
    <w:rPr>
      <w:rFonts w:eastAsiaTheme="majorEastAsia" w:cs="Arial"/>
      <w:b/>
      <w:bCs/>
    </w:rPr>
  </w:style>
  <w:style w:type="character" w:styleId="IntenseEmphasis">
    <w:name w:val="Intense Emphasis"/>
    <w:basedOn w:val="DefaultParagraphFont"/>
    <w:uiPriority w:val="21"/>
    <w:qFormat/>
    <w:rsid w:val="00F527CC"/>
    <w:rPr>
      <w:i/>
      <w:iCs/>
      <w:color w:val="C7C8CA" w:themeColor="accent1"/>
      <w:lang w:val="en-US"/>
    </w:rPr>
  </w:style>
  <w:style w:type="paragraph" w:styleId="IntenseQuote">
    <w:name w:val="Intense Quote"/>
    <w:basedOn w:val="Normal"/>
    <w:next w:val="Normal"/>
    <w:link w:val="IntenseQuoteChar"/>
    <w:uiPriority w:val="30"/>
    <w:qFormat/>
    <w:rsid w:val="00F527CC"/>
    <w:pPr>
      <w:pBdr>
        <w:top w:val="single" w:sz="4" w:space="10" w:color="C7C8CA" w:themeColor="accent1"/>
        <w:bottom w:val="single" w:sz="4" w:space="10" w:color="C7C8CA" w:themeColor="accent1"/>
      </w:pBdr>
      <w:spacing w:before="360" w:after="360"/>
      <w:ind w:left="864" w:right="864"/>
      <w:jc w:val="center"/>
    </w:pPr>
    <w:rPr>
      <w:i/>
      <w:iCs/>
      <w:color w:val="C7C8CA" w:themeColor="accent1"/>
    </w:rPr>
  </w:style>
  <w:style w:type="character" w:customStyle="1" w:styleId="IntenseQuoteChar">
    <w:name w:val="Intense Quote Char"/>
    <w:basedOn w:val="DefaultParagraphFont"/>
    <w:link w:val="IntenseQuote"/>
    <w:uiPriority w:val="30"/>
    <w:rsid w:val="00F527CC"/>
    <w:rPr>
      <w:i/>
      <w:iCs/>
      <w:color w:val="C7C8CA" w:themeColor="accent1"/>
      <w:lang w:val="en-US"/>
    </w:rPr>
  </w:style>
  <w:style w:type="character" w:styleId="IntenseReference">
    <w:name w:val="Intense Reference"/>
    <w:basedOn w:val="DefaultParagraphFont"/>
    <w:uiPriority w:val="32"/>
    <w:qFormat/>
    <w:rsid w:val="00F527CC"/>
    <w:rPr>
      <w:b/>
      <w:bCs/>
      <w:smallCaps/>
      <w:color w:val="C7C8CA" w:themeColor="accent1"/>
      <w:spacing w:val="5"/>
      <w:lang w:val="en-US"/>
    </w:rPr>
  </w:style>
  <w:style w:type="table" w:styleId="LightGrid">
    <w:name w:val="Light Grid"/>
    <w:basedOn w:val="TableNormal"/>
    <w:uiPriority w:val="62"/>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18" w:space="0" w:color="404040" w:themeColor="text1"/>
          <w:right w:val="single" w:sz="8" w:space="0" w:color="404040" w:themeColor="text1"/>
          <w:insideH w:val="nil"/>
          <w:insideV w:val="single" w:sz="8" w:space="0" w:color="4040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insideH w:val="nil"/>
          <w:insideV w:val="single" w:sz="8" w:space="0" w:color="4040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shd w:val="clear" w:color="auto" w:fill="CFCFCF" w:themeFill="text1" w:themeFillTint="3F"/>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shd w:val="clear" w:color="auto" w:fill="CFCFCF" w:themeFill="text1" w:themeFillTint="3F"/>
      </w:tcPr>
    </w:tblStylePr>
    <w:tblStylePr w:type="band2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tcPr>
    </w:tblStylePr>
  </w:style>
  <w:style w:type="table" w:styleId="LightGrid-Accent1">
    <w:name w:val="Light Grid Accent 1"/>
    <w:basedOn w:val="TableNormal"/>
    <w:uiPriority w:val="62"/>
    <w:semiHidden/>
    <w:unhideWhenUsed/>
    <w:rsid w:val="00F527CC"/>
    <w:pPr>
      <w:spacing w:after="0" w:line="240" w:lineRule="auto"/>
    </w:p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insideH w:val="single" w:sz="8" w:space="0" w:color="C7C8CA" w:themeColor="accent1"/>
        <w:insideV w:val="single" w:sz="8" w:space="0" w:color="C7C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C8CA" w:themeColor="accent1"/>
          <w:left w:val="single" w:sz="8" w:space="0" w:color="C7C8CA" w:themeColor="accent1"/>
          <w:bottom w:val="single" w:sz="18" w:space="0" w:color="C7C8CA" w:themeColor="accent1"/>
          <w:right w:val="single" w:sz="8" w:space="0" w:color="C7C8CA" w:themeColor="accent1"/>
          <w:insideH w:val="nil"/>
          <w:insideV w:val="single" w:sz="8" w:space="0" w:color="C7C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C8CA" w:themeColor="accent1"/>
          <w:left w:val="single" w:sz="8" w:space="0" w:color="C7C8CA" w:themeColor="accent1"/>
          <w:bottom w:val="single" w:sz="8" w:space="0" w:color="C7C8CA" w:themeColor="accent1"/>
          <w:right w:val="single" w:sz="8" w:space="0" w:color="C7C8CA" w:themeColor="accent1"/>
          <w:insideH w:val="nil"/>
          <w:insideV w:val="single" w:sz="8" w:space="0" w:color="C7C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tblStylePr w:type="band1Vert">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shd w:val="clear" w:color="auto" w:fill="F1F1F2" w:themeFill="accent1" w:themeFillTint="3F"/>
      </w:tcPr>
    </w:tblStylePr>
    <w:tblStylePr w:type="band1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insideV w:val="single" w:sz="8" w:space="0" w:color="C7C8CA" w:themeColor="accent1"/>
        </w:tcBorders>
        <w:shd w:val="clear" w:color="auto" w:fill="F1F1F2" w:themeFill="accent1" w:themeFillTint="3F"/>
      </w:tcPr>
    </w:tblStylePr>
    <w:tblStylePr w:type="band2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insideV w:val="single" w:sz="8" w:space="0" w:color="C7C8CA" w:themeColor="accent1"/>
        </w:tcBorders>
      </w:tcPr>
    </w:tblStylePr>
  </w:style>
  <w:style w:type="table" w:styleId="LightGrid-Accent2">
    <w:name w:val="Light Grid Accent 2"/>
    <w:basedOn w:val="TableNormal"/>
    <w:uiPriority w:val="62"/>
    <w:semiHidden/>
    <w:unhideWhenUsed/>
    <w:rsid w:val="00F527CC"/>
    <w:pPr>
      <w:spacing w:after="0" w:line="240" w:lineRule="auto"/>
    </w:p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insideH w:val="single" w:sz="8" w:space="0" w:color="939598" w:themeColor="accent2"/>
        <w:insideV w:val="single" w:sz="8" w:space="0" w:color="93959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9598" w:themeColor="accent2"/>
          <w:left w:val="single" w:sz="8" w:space="0" w:color="939598" w:themeColor="accent2"/>
          <w:bottom w:val="single" w:sz="18" w:space="0" w:color="939598" w:themeColor="accent2"/>
          <w:right w:val="single" w:sz="8" w:space="0" w:color="939598" w:themeColor="accent2"/>
          <w:insideH w:val="nil"/>
          <w:insideV w:val="single" w:sz="8" w:space="0" w:color="93959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9598" w:themeColor="accent2"/>
          <w:left w:val="single" w:sz="8" w:space="0" w:color="939598" w:themeColor="accent2"/>
          <w:bottom w:val="single" w:sz="8" w:space="0" w:color="939598" w:themeColor="accent2"/>
          <w:right w:val="single" w:sz="8" w:space="0" w:color="939598" w:themeColor="accent2"/>
          <w:insideH w:val="nil"/>
          <w:insideV w:val="single" w:sz="8" w:space="0" w:color="93959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tblStylePr w:type="band1Vert">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shd w:val="clear" w:color="auto" w:fill="E4E4E5" w:themeFill="accent2" w:themeFillTint="3F"/>
      </w:tcPr>
    </w:tblStylePr>
    <w:tblStylePr w:type="band1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insideV w:val="single" w:sz="8" w:space="0" w:color="939598" w:themeColor="accent2"/>
        </w:tcBorders>
        <w:shd w:val="clear" w:color="auto" w:fill="E4E4E5" w:themeFill="accent2" w:themeFillTint="3F"/>
      </w:tcPr>
    </w:tblStylePr>
    <w:tblStylePr w:type="band2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insideV w:val="single" w:sz="8" w:space="0" w:color="939598" w:themeColor="accent2"/>
        </w:tcBorders>
      </w:tcPr>
    </w:tblStylePr>
  </w:style>
  <w:style w:type="table" w:styleId="LightGrid-Accent3">
    <w:name w:val="Light Grid Accent 3"/>
    <w:basedOn w:val="TableNormal"/>
    <w:uiPriority w:val="62"/>
    <w:semiHidden/>
    <w:unhideWhenUsed/>
    <w:rsid w:val="00F527CC"/>
    <w:pPr>
      <w:spacing w:after="0" w:line="240" w:lineRule="auto"/>
    </w:p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insideH w:val="single" w:sz="8" w:space="0" w:color="636466" w:themeColor="accent3"/>
        <w:insideV w:val="single" w:sz="8" w:space="0" w:color="6364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6466" w:themeColor="accent3"/>
          <w:left w:val="single" w:sz="8" w:space="0" w:color="636466" w:themeColor="accent3"/>
          <w:bottom w:val="single" w:sz="18" w:space="0" w:color="636466" w:themeColor="accent3"/>
          <w:right w:val="single" w:sz="8" w:space="0" w:color="636466" w:themeColor="accent3"/>
          <w:insideH w:val="nil"/>
          <w:insideV w:val="single" w:sz="8" w:space="0" w:color="6364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6466" w:themeColor="accent3"/>
          <w:left w:val="single" w:sz="8" w:space="0" w:color="636466" w:themeColor="accent3"/>
          <w:bottom w:val="single" w:sz="8" w:space="0" w:color="636466" w:themeColor="accent3"/>
          <w:right w:val="single" w:sz="8" w:space="0" w:color="636466" w:themeColor="accent3"/>
          <w:insideH w:val="nil"/>
          <w:insideV w:val="single" w:sz="8" w:space="0" w:color="6364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tblStylePr w:type="band1Vert">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shd w:val="clear" w:color="auto" w:fill="D8D8D9" w:themeFill="accent3" w:themeFillTint="3F"/>
      </w:tcPr>
    </w:tblStylePr>
    <w:tblStylePr w:type="band1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insideV w:val="single" w:sz="8" w:space="0" w:color="636466" w:themeColor="accent3"/>
        </w:tcBorders>
        <w:shd w:val="clear" w:color="auto" w:fill="D8D8D9" w:themeFill="accent3" w:themeFillTint="3F"/>
      </w:tcPr>
    </w:tblStylePr>
    <w:tblStylePr w:type="band2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insideV w:val="single" w:sz="8" w:space="0" w:color="636466" w:themeColor="accent3"/>
        </w:tcBorders>
      </w:tcPr>
    </w:tblStylePr>
  </w:style>
  <w:style w:type="table" w:styleId="LightGrid-Accent4">
    <w:name w:val="Light Grid Accent 4"/>
    <w:basedOn w:val="TableNormal"/>
    <w:uiPriority w:val="62"/>
    <w:semiHidden/>
    <w:unhideWhenUsed/>
    <w:rsid w:val="00F527CC"/>
    <w:pPr>
      <w:spacing w:after="0" w:line="240" w:lineRule="auto"/>
    </w:p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insideH w:val="single" w:sz="8" w:space="0" w:color="CD202C" w:themeColor="accent4"/>
        <w:insideV w:val="single" w:sz="8" w:space="0" w:color="CD20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202C" w:themeColor="accent4"/>
          <w:left w:val="single" w:sz="8" w:space="0" w:color="CD202C" w:themeColor="accent4"/>
          <w:bottom w:val="single" w:sz="18" w:space="0" w:color="CD202C" w:themeColor="accent4"/>
          <w:right w:val="single" w:sz="8" w:space="0" w:color="CD202C" w:themeColor="accent4"/>
          <w:insideH w:val="nil"/>
          <w:insideV w:val="single" w:sz="8" w:space="0" w:color="CD20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202C" w:themeColor="accent4"/>
          <w:left w:val="single" w:sz="8" w:space="0" w:color="CD202C" w:themeColor="accent4"/>
          <w:bottom w:val="single" w:sz="8" w:space="0" w:color="CD202C" w:themeColor="accent4"/>
          <w:right w:val="single" w:sz="8" w:space="0" w:color="CD202C" w:themeColor="accent4"/>
          <w:insideH w:val="nil"/>
          <w:insideV w:val="single" w:sz="8" w:space="0" w:color="CD20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tblStylePr w:type="band1Vert">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shd w:val="clear" w:color="auto" w:fill="F6C4C7" w:themeFill="accent4" w:themeFillTint="3F"/>
      </w:tcPr>
    </w:tblStylePr>
    <w:tblStylePr w:type="band1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insideV w:val="single" w:sz="8" w:space="0" w:color="CD202C" w:themeColor="accent4"/>
        </w:tcBorders>
        <w:shd w:val="clear" w:color="auto" w:fill="F6C4C7" w:themeFill="accent4" w:themeFillTint="3F"/>
      </w:tcPr>
    </w:tblStylePr>
    <w:tblStylePr w:type="band2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insideV w:val="single" w:sz="8" w:space="0" w:color="CD202C" w:themeColor="accent4"/>
        </w:tcBorders>
      </w:tcPr>
    </w:tblStylePr>
  </w:style>
  <w:style w:type="table" w:styleId="LightGrid-Accent5">
    <w:name w:val="Light Grid Accent 5"/>
    <w:basedOn w:val="TableNormal"/>
    <w:uiPriority w:val="62"/>
    <w:semiHidden/>
    <w:unhideWhenUsed/>
    <w:rsid w:val="00F527CC"/>
    <w:pPr>
      <w:spacing w:after="0" w:line="240" w:lineRule="auto"/>
    </w:p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insideH w:val="single" w:sz="8" w:space="0" w:color="0055AA" w:themeColor="accent5"/>
        <w:insideV w:val="single" w:sz="8" w:space="0" w:color="0055A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AA" w:themeColor="accent5"/>
          <w:left w:val="single" w:sz="8" w:space="0" w:color="0055AA" w:themeColor="accent5"/>
          <w:bottom w:val="single" w:sz="18" w:space="0" w:color="0055AA" w:themeColor="accent5"/>
          <w:right w:val="single" w:sz="8" w:space="0" w:color="0055AA" w:themeColor="accent5"/>
          <w:insideH w:val="nil"/>
          <w:insideV w:val="single" w:sz="8" w:space="0" w:color="0055A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AA" w:themeColor="accent5"/>
          <w:left w:val="single" w:sz="8" w:space="0" w:color="0055AA" w:themeColor="accent5"/>
          <w:bottom w:val="single" w:sz="8" w:space="0" w:color="0055AA" w:themeColor="accent5"/>
          <w:right w:val="single" w:sz="8" w:space="0" w:color="0055AA" w:themeColor="accent5"/>
          <w:insideH w:val="nil"/>
          <w:insideV w:val="single" w:sz="8" w:space="0" w:color="0055A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tblStylePr w:type="band1Vert">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shd w:val="clear" w:color="auto" w:fill="ABD4FF" w:themeFill="accent5" w:themeFillTint="3F"/>
      </w:tcPr>
    </w:tblStylePr>
    <w:tblStylePr w:type="band1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insideV w:val="single" w:sz="8" w:space="0" w:color="0055AA" w:themeColor="accent5"/>
        </w:tcBorders>
        <w:shd w:val="clear" w:color="auto" w:fill="ABD4FF" w:themeFill="accent5" w:themeFillTint="3F"/>
      </w:tcPr>
    </w:tblStylePr>
    <w:tblStylePr w:type="band2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insideV w:val="single" w:sz="8" w:space="0" w:color="0055AA" w:themeColor="accent5"/>
        </w:tcBorders>
      </w:tcPr>
    </w:tblStylePr>
  </w:style>
  <w:style w:type="table" w:styleId="LightGrid-Accent6">
    <w:name w:val="Light Grid Accent 6"/>
    <w:basedOn w:val="TableNormal"/>
    <w:uiPriority w:val="62"/>
    <w:semiHidden/>
    <w:unhideWhenUsed/>
    <w:rsid w:val="00F527CC"/>
    <w:pPr>
      <w:spacing w:after="0" w:line="240" w:lineRule="auto"/>
    </w:p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insideH w:val="single" w:sz="8" w:space="0" w:color="FFAA22" w:themeColor="accent6"/>
        <w:insideV w:val="single" w:sz="8" w:space="0" w:color="FFAA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A22" w:themeColor="accent6"/>
          <w:left w:val="single" w:sz="8" w:space="0" w:color="FFAA22" w:themeColor="accent6"/>
          <w:bottom w:val="single" w:sz="18" w:space="0" w:color="FFAA22" w:themeColor="accent6"/>
          <w:right w:val="single" w:sz="8" w:space="0" w:color="FFAA22" w:themeColor="accent6"/>
          <w:insideH w:val="nil"/>
          <w:insideV w:val="single" w:sz="8" w:space="0" w:color="FFAA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A22" w:themeColor="accent6"/>
          <w:left w:val="single" w:sz="8" w:space="0" w:color="FFAA22" w:themeColor="accent6"/>
          <w:bottom w:val="single" w:sz="8" w:space="0" w:color="FFAA22" w:themeColor="accent6"/>
          <w:right w:val="single" w:sz="8" w:space="0" w:color="FFAA22" w:themeColor="accent6"/>
          <w:insideH w:val="nil"/>
          <w:insideV w:val="single" w:sz="8" w:space="0" w:color="FFAA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tblStylePr w:type="band1Vert">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shd w:val="clear" w:color="auto" w:fill="FFE9C8" w:themeFill="accent6" w:themeFillTint="3F"/>
      </w:tcPr>
    </w:tblStylePr>
    <w:tblStylePr w:type="band1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insideV w:val="single" w:sz="8" w:space="0" w:color="FFAA22" w:themeColor="accent6"/>
        </w:tcBorders>
        <w:shd w:val="clear" w:color="auto" w:fill="FFE9C8" w:themeFill="accent6" w:themeFillTint="3F"/>
      </w:tcPr>
    </w:tblStylePr>
    <w:tblStylePr w:type="band2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insideV w:val="single" w:sz="8" w:space="0" w:color="FFAA22" w:themeColor="accent6"/>
        </w:tcBorders>
      </w:tcPr>
    </w:tblStylePr>
  </w:style>
  <w:style w:type="table" w:styleId="LightList">
    <w:name w:val="Light List"/>
    <w:basedOn w:val="TableNormal"/>
    <w:uiPriority w:val="61"/>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pPr>
        <w:spacing w:before="0" w:after="0" w:line="240" w:lineRule="auto"/>
      </w:pPr>
      <w:rPr>
        <w:b/>
        <w:bCs/>
        <w:color w:val="FFFFFF" w:themeColor="background1"/>
      </w:rPr>
      <w:tblPr/>
      <w:tcPr>
        <w:shd w:val="clear" w:color="auto" w:fill="404040" w:themeFill="text1"/>
      </w:tcPr>
    </w:tblStylePr>
    <w:tblStylePr w:type="lastRow">
      <w:pPr>
        <w:spacing w:before="0" w:after="0" w:line="240" w:lineRule="auto"/>
      </w:pPr>
      <w:rPr>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tcBorders>
      </w:tcPr>
    </w:tblStylePr>
    <w:tblStylePr w:type="firstCol">
      <w:rPr>
        <w:b/>
        <w:bCs/>
      </w:rPr>
    </w:tblStylePr>
    <w:tblStylePr w:type="lastCol">
      <w:rPr>
        <w:b/>
        <w:bCs/>
      </w:r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style>
  <w:style w:type="table" w:styleId="LightList-Accent1">
    <w:name w:val="Light List Accent 1"/>
    <w:basedOn w:val="TableNormal"/>
    <w:uiPriority w:val="61"/>
    <w:semiHidden/>
    <w:unhideWhenUsed/>
    <w:rsid w:val="00F527CC"/>
    <w:pPr>
      <w:spacing w:after="0" w:line="240" w:lineRule="auto"/>
    </w:p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tblBorders>
    </w:tblPr>
    <w:tblStylePr w:type="firstRow">
      <w:pPr>
        <w:spacing w:before="0" w:after="0" w:line="240" w:lineRule="auto"/>
      </w:pPr>
      <w:rPr>
        <w:b/>
        <w:bCs/>
        <w:color w:val="FFFFFF" w:themeColor="background1"/>
      </w:rPr>
      <w:tblPr/>
      <w:tcPr>
        <w:shd w:val="clear" w:color="auto" w:fill="C7C8CA" w:themeFill="accent1"/>
      </w:tcPr>
    </w:tblStylePr>
    <w:tblStylePr w:type="lastRow">
      <w:pPr>
        <w:spacing w:before="0" w:after="0" w:line="240" w:lineRule="auto"/>
      </w:pPr>
      <w:rPr>
        <w:b/>
        <w:bCs/>
      </w:rPr>
      <w:tblPr/>
      <w:tcPr>
        <w:tcBorders>
          <w:top w:val="double" w:sz="6" w:space="0" w:color="C7C8CA" w:themeColor="accent1"/>
          <w:left w:val="single" w:sz="8" w:space="0" w:color="C7C8CA" w:themeColor="accent1"/>
          <w:bottom w:val="single" w:sz="8" w:space="0" w:color="C7C8CA" w:themeColor="accent1"/>
          <w:right w:val="single" w:sz="8" w:space="0" w:color="C7C8CA" w:themeColor="accent1"/>
        </w:tcBorders>
      </w:tcPr>
    </w:tblStylePr>
    <w:tblStylePr w:type="firstCol">
      <w:rPr>
        <w:b/>
        <w:bCs/>
      </w:rPr>
    </w:tblStylePr>
    <w:tblStylePr w:type="lastCol">
      <w:rPr>
        <w:b/>
        <w:bCs/>
      </w:rPr>
    </w:tblStylePr>
    <w:tblStylePr w:type="band1Vert">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tblStylePr w:type="band1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style>
  <w:style w:type="table" w:styleId="LightList-Accent2">
    <w:name w:val="Light List Accent 2"/>
    <w:basedOn w:val="TableNormal"/>
    <w:uiPriority w:val="61"/>
    <w:semiHidden/>
    <w:unhideWhenUsed/>
    <w:rsid w:val="00F527CC"/>
    <w:pPr>
      <w:spacing w:after="0" w:line="240" w:lineRule="auto"/>
    </w:p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tblBorders>
    </w:tblPr>
    <w:tblStylePr w:type="firstRow">
      <w:pPr>
        <w:spacing w:before="0" w:after="0" w:line="240" w:lineRule="auto"/>
      </w:pPr>
      <w:rPr>
        <w:b/>
        <w:bCs/>
        <w:color w:val="FFFFFF" w:themeColor="background1"/>
      </w:rPr>
      <w:tblPr/>
      <w:tcPr>
        <w:shd w:val="clear" w:color="auto" w:fill="939598" w:themeFill="accent2"/>
      </w:tcPr>
    </w:tblStylePr>
    <w:tblStylePr w:type="lastRow">
      <w:pPr>
        <w:spacing w:before="0" w:after="0" w:line="240" w:lineRule="auto"/>
      </w:pPr>
      <w:rPr>
        <w:b/>
        <w:bCs/>
      </w:rPr>
      <w:tblPr/>
      <w:tcPr>
        <w:tcBorders>
          <w:top w:val="double" w:sz="6" w:space="0" w:color="939598" w:themeColor="accent2"/>
          <w:left w:val="single" w:sz="8" w:space="0" w:color="939598" w:themeColor="accent2"/>
          <w:bottom w:val="single" w:sz="8" w:space="0" w:color="939598" w:themeColor="accent2"/>
          <w:right w:val="single" w:sz="8" w:space="0" w:color="939598" w:themeColor="accent2"/>
        </w:tcBorders>
      </w:tcPr>
    </w:tblStylePr>
    <w:tblStylePr w:type="firstCol">
      <w:rPr>
        <w:b/>
        <w:bCs/>
      </w:rPr>
    </w:tblStylePr>
    <w:tblStylePr w:type="lastCol">
      <w:rPr>
        <w:b/>
        <w:bCs/>
      </w:rPr>
    </w:tblStylePr>
    <w:tblStylePr w:type="band1Vert">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tblStylePr w:type="band1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style>
  <w:style w:type="table" w:styleId="LightList-Accent3">
    <w:name w:val="Light List Accent 3"/>
    <w:basedOn w:val="TableNormal"/>
    <w:uiPriority w:val="61"/>
    <w:semiHidden/>
    <w:unhideWhenUsed/>
    <w:rsid w:val="00F527CC"/>
    <w:pPr>
      <w:spacing w:after="0" w:line="240" w:lineRule="auto"/>
    </w:p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tblBorders>
    </w:tblPr>
    <w:tblStylePr w:type="firstRow">
      <w:pPr>
        <w:spacing w:before="0" w:after="0" w:line="240" w:lineRule="auto"/>
      </w:pPr>
      <w:rPr>
        <w:b/>
        <w:bCs/>
        <w:color w:val="FFFFFF" w:themeColor="background1"/>
      </w:rPr>
      <w:tblPr/>
      <w:tcPr>
        <w:shd w:val="clear" w:color="auto" w:fill="636466" w:themeFill="accent3"/>
      </w:tcPr>
    </w:tblStylePr>
    <w:tblStylePr w:type="lastRow">
      <w:pPr>
        <w:spacing w:before="0" w:after="0" w:line="240" w:lineRule="auto"/>
      </w:pPr>
      <w:rPr>
        <w:b/>
        <w:bCs/>
      </w:rPr>
      <w:tblPr/>
      <w:tcPr>
        <w:tcBorders>
          <w:top w:val="double" w:sz="6" w:space="0" w:color="636466" w:themeColor="accent3"/>
          <w:left w:val="single" w:sz="8" w:space="0" w:color="636466" w:themeColor="accent3"/>
          <w:bottom w:val="single" w:sz="8" w:space="0" w:color="636466" w:themeColor="accent3"/>
          <w:right w:val="single" w:sz="8" w:space="0" w:color="636466" w:themeColor="accent3"/>
        </w:tcBorders>
      </w:tcPr>
    </w:tblStylePr>
    <w:tblStylePr w:type="firstCol">
      <w:rPr>
        <w:b/>
        <w:bCs/>
      </w:rPr>
    </w:tblStylePr>
    <w:tblStylePr w:type="lastCol">
      <w:rPr>
        <w:b/>
        <w:bCs/>
      </w:rPr>
    </w:tblStylePr>
    <w:tblStylePr w:type="band1Vert">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tblStylePr w:type="band1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style>
  <w:style w:type="table" w:styleId="LightList-Accent4">
    <w:name w:val="Light List Accent 4"/>
    <w:basedOn w:val="TableNormal"/>
    <w:uiPriority w:val="61"/>
    <w:semiHidden/>
    <w:unhideWhenUsed/>
    <w:rsid w:val="00F527CC"/>
    <w:pPr>
      <w:spacing w:after="0" w:line="240" w:lineRule="auto"/>
    </w:p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tblBorders>
    </w:tblPr>
    <w:tblStylePr w:type="firstRow">
      <w:pPr>
        <w:spacing w:before="0" w:after="0" w:line="240" w:lineRule="auto"/>
      </w:pPr>
      <w:rPr>
        <w:b/>
        <w:bCs/>
        <w:color w:val="FFFFFF" w:themeColor="background1"/>
      </w:rPr>
      <w:tblPr/>
      <w:tcPr>
        <w:shd w:val="clear" w:color="auto" w:fill="CD202C" w:themeFill="accent4"/>
      </w:tcPr>
    </w:tblStylePr>
    <w:tblStylePr w:type="lastRow">
      <w:pPr>
        <w:spacing w:before="0" w:after="0" w:line="240" w:lineRule="auto"/>
      </w:pPr>
      <w:rPr>
        <w:b/>
        <w:bCs/>
      </w:rPr>
      <w:tblPr/>
      <w:tcPr>
        <w:tcBorders>
          <w:top w:val="double" w:sz="6" w:space="0" w:color="CD202C" w:themeColor="accent4"/>
          <w:left w:val="single" w:sz="8" w:space="0" w:color="CD202C" w:themeColor="accent4"/>
          <w:bottom w:val="single" w:sz="8" w:space="0" w:color="CD202C" w:themeColor="accent4"/>
          <w:right w:val="single" w:sz="8" w:space="0" w:color="CD202C" w:themeColor="accent4"/>
        </w:tcBorders>
      </w:tcPr>
    </w:tblStylePr>
    <w:tblStylePr w:type="firstCol">
      <w:rPr>
        <w:b/>
        <w:bCs/>
      </w:rPr>
    </w:tblStylePr>
    <w:tblStylePr w:type="lastCol">
      <w:rPr>
        <w:b/>
        <w:bCs/>
      </w:rPr>
    </w:tblStylePr>
    <w:tblStylePr w:type="band1Vert">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tblStylePr w:type="band1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style>
  <w:style w:type="table" w:styleId="LightList-Accent5">
    <w:name w:val="Light List Accent 5"/>
    <w:basedOn w:val="TableNormal"/>
    <w:uiPriority w:val="61"/>
    <w:semiHidden/>
    <w:unhideWhenUsed/>
    <w:rsid w:val="00F527CC"/>
    <w:pPr>
      <w:spacing w:after="0" w:line="240" w:lineRule="auto"/>
    </w:p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tblBorders>
    </w:tblPr>
    <w:tblStylePr w:type="firstRow">
      <w:pPr>
        <w:spacing w:before="0" w:after="0" w:line="240" w:lineRule="auto"/>
      </w:pPr>
      <w:rPr>
        <w:b/>
        <w:bCs/>
        <w:color w:val="FFFFFF" w:themeColor="background1"/>
      </w:rPr>
      <w:tblPr/>
      <w:tcPr>
        <w:shd w:val="clear" w:color="auto" w:fill="0055AA" w:themeFill="accent5"/>
      </w:tcPr>
    </w:tblStylePr>
    <w:tblStylePr w:type="lastRow">
      <w:pPr>
        <w:spacing w:before="0" w:after="0" w:line="240" w:lineRule="auto"/>
      </w:pPr>
      <w:rPr>
        <w:b/>
        <w:bCs/>
      </w:rPr>
      <w:tblPr/>
      <w:tcPr>
        <w:tcBorders>
          <w:top w:val="double" w:sz="6" w:space="0" w:color="0055AA" w:themeColor="accent5"/>
          <w:left w:val="single" w:sz="8" w:space="0" w:color="0055AA" w:themeColor="accent5"/>
          <w:bottom w:val="single" w:sz="8" w:space="0" w:color="0055AA" w:themeColor="accent5"/>
          <w:right w:val="single" w:sz="8" w:space="0" w:color="0055AA" w:themeColor="accent5"/>
        </w:tcBorders>
      </w:tcPr>
    </w:tblStylePr>
    <w:tblStylePr w:type="firstCol">
      <w:rPr>
        <w:b/>
        <w:bCs/>
      </w:rPr>
    </w:tblStylePr>
    <w:tblStylePr w:type="lastCol">
      <w:rPr>
        <w:b/>
        <w:bCs/>
      </w:rPr>
    </w:tblStylePr>
    <w:tblStylePr w:type="band1Vert">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tblStylePr w:type="band1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style>
  <w:style w:type="table" w:styleId="LightList-Accent6">
    <w:name w:val="Light List Accent 6"/>
    <w:basedOn w:val="TableNormal"/>
    <w:uiPriority w:val="61"/>
    <w:semiHidden/>
    <w:unhideWhenUsed/>
    <w:rsid w:val="00F527CC"/>
    <w:pPr>
      <w:spacing w:after="0" w:line="240" w:lineRule="auto"/>
    </w:p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tblBorders>
    </w:tblPr>
    <w:tblStylePr w:type="firstRow">
      <w:pPr>
        <w:spacing w:before="0" w:after="0" w:line="240" w:lineRule="auto"/>
      </w:pPr>
      <w:rPr>
        <w:b/>
        <w:bCs/>
        <w:color w:val="FFFFFF" w:themeColor="background1"/>
      </w:rPr>
      <w:tblPr/>
      <w:tcPr>
        <w:shd w:val="clear" w:color="auto" w:fill="FFAA22" w:themeFill="accent6"/>
      </w:tcPr>
    </w:tblStylePr>
    <w:tblStylePr w:type="lastRow">
      <w:pPr>
        <w:spacing w:before="0" w:after="0" w:line="240" w:lineRule="auto"/>
      </w:pPr>
      <w:rPr>
        <w:b/>
        <w:bCs/>
      </w:rPr>
      <w:tblPr/>
      <w:tcPr>
        <w:tcBorders>
          <w:top w:val="double" w:sz="6" w:space="0" w:color="FFAA22" w:themeColor="accent6"/>
          <w:left w:val="single" w:sz="8" w:space="0" w:color="FFAA22" w:themeColor="accent6"/>
          <w:bottom w:val="single" w:sz="8" w:space="0" w:color="FFAA22" w:themeColor="accent6"/>
          <w:right w:val="single" w:sz="8" w:space="0" w:color="FFAA22" w:themeColor="accent6"/>
        </w:tcBorders>
      </w:tcPr>
    </w:tblStylePr>
    <w:tblStylePr w:type="firstCol">
      <w:rPr>
        <w:b/>
        <w:bCs/>
      </w:rPr>
    </w:tblStylePr>
    <w:tblStylePr w:type="lastCol">
      <w:rPr>
        <w:b/>
        <w:bCs/>
      </w:rPr>
    </w:tblStylePr>
    <w:tblStylePr w:type="band1Vert">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tblStylePr w:type="band1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style>
  <w:style w:type="table" w:styleId="LightShading">
    <w:name w:val="Light Shading"/>
    <w:basedOn w:val="TableNormal"/>
    <w:uiPriority w:val="60"/>
    <w:semiHidden/>
    <w:unhideWhenUsed/>
    <w:rsid w:val="00F527CC"/>
    <w:pPr>
      <w:spacing w:after="0" w:line="240" w:lineRule="auto"/>
    </w:pPr>
    <w:rPr>
      <w:color w:val="2F2F2F" w:themeColor="text1" w:themeShade="BF"/>
    </w:rPr>
    <w:tblPr>
      <w:tblStyleRowBandSize w:val="1"/>
      <w:tblStyleColBandSize w:val="1"/>
      <w:tblBorders>
        <w:top w:val="single" w:sz="8" w:space="0" w:color="404040" w:themeColor="text1"/>
        <w:bottom w:val="single" w:sz="8" w:space="0" w:color="404040" w:themeColor="text1"/>
      </w:tblBorders>
    </w:tblPr>
    <w:tblStylePr w:type="fir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la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left w:val="nil"/>
          <w:right w:val="nil"/>
          <w:insideH w:val="nil"/>
          <w:insideV w:val="nil"/>
        </w:tcBorders>
        <w:shd w:val="clear" w:color="auto" w:fill="CFCFCF" w:themeFill="text1" w:themeFillTint="3F"/>
      </w:tcPr>
    </w:tblStylePr>
  </w:style>
  <w:style w:type="table" w:styleId="LightShading-Accent1">
    <w:name w:val="Light Shading Accent 1"/>
    <w:basedOn w:val="TableNormal"/>
    <w:uiPriority w:val="60"/>
    <w:semiHidden/>
    <w:unhideWhenUsed/>
    <w:rsid w:val="00F527CC"/>
    <w:pPr>
      <w:spacing w:after="0" w:line="240" w:lineRule="auto"/>
    </w:pPr>
    <w:rPr>
      <w:color w:val="939599" w:themeColor="accent1" w:themeShade="BF"/>
    </w:rPr>
    <w:tblPr>
      <w:tblStyleRowBandSize w:val="1"/>
      <w:tblStyleColBandSize w:val="1"/>
      <w:tblBorders>
        <w:top w:val="single" w:sz="8" w:space="0" w:color="C7C8CA" w:themeColor="accent1"/>
        <w:bottom w:val="single" w:sz="8" w:space="0" w:color="C7C8CA" w:themeColor="accent1"/>
      </w:tblBorders>
    </w:tblPr>
    <w:tblStylePr w:type="firstRow">
      <w:pPr>
        <w:spacing w:before="0" w:after="0" w:line="240" w:lineRule="auto"/>
      </w:pPr>
      <w:rPr>
        <w:b/>
        <w:bCs/>
      </w:rPr>
      <w:tblPr/>
      <w:tcPr>
        <w:tcBorders>
          <w:top w:val="single" w:sz="8" w:space="0" w:color="C7C8CA" w:themeColor="accent1"/>
          <w:left w:val="nil"/>
          <w:bottom w:val="single" w:sz="8" w:space="0" w:color="C7C8CA" w:themeColor="accent1"/>
          <w:right w:val="nil"/>
          <w:insideH w:val="nil"/>
          <w:insideV w:val="nil"/>
        </w:tcBorders>
      </w:tcPr>
    </w:tblStylePr>
    <w:tblStylePr w:type="lastRow">
      <w:pPr>
        <w:spacing w:before="0" w:after="0" w:line="240" w:lineRule="auto"/>
      </w:pPr>
      <w:rPr>
        <w:b/>
        <w:bCs/>
      </w:rPr>
      <w:tblPr/>
      <w:tcPr>
        <w:tcBorders>
          <w:top w:val="single" w:sz="8" w:space="0" w:color="C7C8CA" w:themeColor="accent1"/>
          <w:left w:val="nil"/>
          <w:bottom w:val="single" w:sz="8" w:space="0" w:color="C7C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left w:val="nil"/>
          <w:right w:val="nil"/>
          <w:insideH w:val="nil"/>
          <w:insideV w:val="nil"/>
        </w:tcBorders>
        <w:shd w:val="clear" w:color="auto" w:fill="F1F1F2" w:themeFill="accent1" w:themeFillTint="3F"/>
      </w:tcPr>
    </w:tblStylePr>
  </w:style>
  <w:style w:type="table" w:styleId="LightShading-Accent2">
    <w:name w:val="Light Shading Accent 2"/>
    <w:basedOn w:val="TableNormal"/>
    <w:uiPriority w:val="60"/>
    <w:semiHidden/>
    <w:unhideWhenUsed/>
    <w:rsid w:val="00F527CC"/>
    <w:pPr>
      <w:spacing w:after="0" w:line="240" w:lineRule="auto"/>
    </w:pPr>
    <w:rPr>
      <w:color w:val="6D6F72" w:themeColor="accent2" w:themeShade="BF"/>
    </w:rPr>
    <w:tblPr>
      <w:tblStyleRowBandSize w:val="1"/>
      <w:tblStyleColBandSize w:val="1"/>
      <w:tblBorders>
        <w:top w:val="single" w:sz="8" w:space="0" w:color="939598" w:themeColor="accent2"/>
        <w:bottom w:val="single" w:sz="8" w:space="0" w:color="939598" w:themeColor="accent2"/>
      </w:tblBorders>
    </w:tblPr>
    <w:tblStylePr w:type="fir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la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left w:val="nil"/>
          <w:right w:val="nil"/>
          <w:insideH w:val="nil"/>
          <w:insideV w:val="nil"/>
        </w:tcBorders>
        <w:shd w:val="clear" w:color="auto" w:fill="E4E4E5" w:themeFill="accent2" w:themeFillTint="3F"/>
      </w:tcPr>
    </w:tblStylePr>
  </w:style>
  <w:style w:type="table" w:styleId="LightShading-Accent3">
    <w:name w:val="Light Shading Accent 3"/>
    <w:basedOn w:val="TableNormal"/>
    <w:uiPriority w:val="60"/>
    <w:semiHidden/>
    <w:unhideWhenUsed/>
    <w:rsid w:val="00F527CC"/>
    <w:pPr>
      <w:spacing w:after="0" w:line="240" w:lineRule="auto"/>
    </w:pPr>
    <w:rPr>
      <w:color w:val="4A4A4C" w:themeColor="accent3" w:themeShade="BF"/>
    </w:rPr>
    <w:tblPr>
      <w:tblStyleRowBandSize w:val="1"/>
      <w:tblStyleColBandSize w:val="1"/>
      <w:tblBorders>
        <w:top w:val="single" w:sz="8" w:space="0" w:color="636466" w:themeColor="accent3"/>
        <w:bottom w:val="single" w:sz="8" w:space="0" w:color="636466" w:themeColor="accent3"/>
      </w:tblBorders>
    </w:tblPr>
    <w:tblStylePr w:type="firstRow">
      <w:pPr>
        <w:spacing w:before="0" w:after="0" w:line="240" w:lineRule="auto"/>
      </w:pPr>
      <w:rPr>
        <w:b/>
        <w:bCs/>
      </w:rPr>
      <w:tblPr/>
      <w:tcPr>
        <w:tcBorders>
          <w:top w:val="single" w:sz="8" w:space="0" w:color="636466" w:themeColor="accent3"/>
          <w:left w:val="nil"/>
          <w:bottom w:val="single" w:sz="8" w:space="0" w:color="636466" w:themeColor="accent3"/>
          <w:right w:val="nil"/>
          <w:insideH w:val="nil"/>
          <w:insideV w:val="nil"/>
        </w:tcBorders>
      </w:tcPr>
    </w:tblStylePr>
    <w:tblStylePr w:type="lastRow">
      <w:pPr>
        <w:spacing w:before="0" w:after="0" w:line="240" w:lineRule="auto"/>
      </w:pPr>
      <w:rPr>
        <w:b/>
        <w:bCs/>
      </w:rPr>
      <w:tblPr/>
      <w:tcPr>
        <w:tcBorders>
          <w:top w:val="single" w:sz="8" w:space="0" w:color="636466" w:themeColor="accent3"/>
          <w:left w:val="nil"/>
          <w:bottom w:val="single" w:sz="8" w:space="0" w:color="6364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9" w:themeFill="accent3" w:themeFillTint="3F"/>
      </w:tcPr>
    </w:tblStylePr>
    <w:tblStylePr w:type="band1Horz">
      <w:tblPr/>
      <w:tcPr>
        <w:tcBorders>
          <w:left w:val="nil"/>
          <w:right w:val="nil"/>
          <w:insideH w:val="nil"/>
          <w:insideV w:val="nil"/>
        </w:tcBorders>
        <w:shd w:val="clear" w:color="auto" w:fill="D8D8D9" w:themeFill="accent3" w:themeFillTint="3F"/>
      </w:tcPr>
    </w:tblStylePr>
  </w:style>
  <w:style w:type="table" w:styleId="LightShading-Accent4">
    <w:name w:val="Light Shading Accent 4"/>
    <w:basedOn w:val="TableNormal"/>
    <w:uiPriority w:val="60"/>
    <w:semiHidden/>
    <w:unhideWhenUsed/>
    <w:rsid w:val="00F527CC"/>
    <w:pPr>
      <w:spacing w:after="0" w:line="240" w:lineRule="auto"/>
    </w:pPr>
    <w:rPr>
      <w:color w:val="991820" w:themeColor="accent4" w:themeShade="BF"/>
    </w:rPr>
    <w:tblPr>
      <w:tblStyleRowBandSize w:val="1"/>
      <w:tblStyleColBandSize w:val="1"/>
      <w:tblBorders>
        <w:top w:val="single" w:sz="8" w:space="0" w:color="CD202C" w:themeColor="accent4"/>
        <w:bottom w:val="single" w:sz="8" w:space="0" w:color="CD202C" w:themeColor="accent4"/>
      </w:tblBorders>
    </w:tblPr>
    <w:tblStylePr w:type="firstRow">
      <w:pPr>
        <w:spacing w:before="0" w:after="0" w:line="240" w:lineRule="auto"/>
      </w:pPr>
      <w:rPr>
        <w:b/>
        <w:bCs/>
      </w:rPr>
      <w:tblPr/>
      <w:tcPr>
        <w:tcBorders>
          <w:top w:val="single" w:sz="8" w:space="0" w:color="CD202C" w:themeColor="accent4"/>
          <w:left w:val="nil"/>
          <w:bottom w:val="single" w:sz="8" w:space="0" w:color="CD202C" w:themeColor="accent4"/>
          <w:right w:val="nil"/>
          <w:insideH w:val="nil"/>
          <w:insideV w:val="nil"/>
        </w:tcBorders>
      </w:tcPr>
    </w:tblStylePr>
    <w:tblStylePr w:type="lastRow">
      <w:pPr>
        <w:spacing w:before="0" w:after="0" w:line="240" w:lineRule="auto"/>
      </w:pPr>
      <w:rPr>
        <w:b/>
        <w:bCs/>
      </w:rPr>
      <w:tblPr/>
      <w:tcPr>
        <w:tcBorders>
          <w:top w:val="single" w:sz="8" w:space="0" w:color="CD202C" w:themeColor="accent4"/>
          <w:left w:val="nil"/>
          <w:bottom w:val="single" w:sz="8" w:space="0" w:color="CD20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4C7" w:themeFill="accent4" w:themeFillTint="3F"/>
      </w:tcPr>
    </w:tblStylePr>
    <w:tblStylePr w:type="band1Horz">
      <w:tblPr/>
      <w:tcPr>
        <w:tcBorders>
          <w:left w:val="nil"/>
          <w:right w:val="nil"/>
          <w:insideH w:val="nil"/>
          <w:insideV w:val="nil"/>
        </w:tcBorders>
        <w:shd w:val="clear" w:color="auto" w:fill="F6C4C7" w:themeFill="accent4" w:themeFillTint="3F"/>
      </w:tcPr>
    </w:tblStylePr>
  </w:style>
  <w:style w:type="table" w:styleId="LightShading-Accent5">
    <w:name w:val="Light Shading Accent 5"/>
    <w:basedOn w:val="TableNormal"/>
    <w:uiPriority w:val="60"/>
    <w:semiHidden/>
    <w:unhideWhenUsed/>
    <w:rsid w:val="00F527CC"/>
    <w:pPr>
      <w:spacing w:after="0" w:line="240" w:lineRule="auto"/>
    </w:pPr>
    <w:rPr>
      <w:color w:val="003F7F" w:themeColor="accent5" w:themeShade="BF"/>
    </w:rPr>
    <w:tblPr>
      <w:tblStyleRowBandSize w:val="1"/>
      <w:tblStyleColBandSize w:val="1"/>
      <w:tblBorders>
        <w:top w:val="single" w:sz="8" w:space="0" w:color="0055AA" w:themeColor="accent5"/>
        <w:bottom w:val="single" w:sz="8" w:space="0" w:color="0055AA" w:themeColor="accent5"/>
      </w:tblBorders>
    </w:tblPr>
    <w:tblStylePr w:type="firstRow">
      <w:pPr>
        <w:spacing w:before="0" w:after="0" w:line="240" w:lineRule="auto"/>
      </w:pPr>
      <w:rPr>
        <w:b/>
        <w:bCs/>
      </w:rPr>
      <w:tblPr/>
      <w:tcPr>
        <w:tcBorders>
          <w:top w:val="single" w:sz="8" w:space="0" w:color="0055AA" w:themeColor="accent5"/>
          <w:left w:val="nil"/>
          <w:bottom w:val="single" w:sz="8" w:space="0" w:color="0055AA" w:themeColor="accent5"/>
          <w:right w:val="nil"/>
          <w:insideH w:val="nil"/>
          <w:insideV w:val="nil"/>
        </w:tcBorders>
      </w:tcPr>
    </w:tblStylePr>
    <w:tblStylePr w:type="lastRow">
      <w:pPr>
        <w:spacing w:before="0" w:after="0" w:line="240" w:lineRule="auto"/>
      </w:pPr>
      <w:rPr>
        <w:b/>
        <w:bCs/>
      </w:rPr>
      <w:tblPr/>
      <w:tcPr>
        <w:tcBorders>
          <w:top w:val="single" w:sz="8" w:space="0" w:color="0055AA" w:themeColor="accent5"/>
          <w:left w:val="nil"/>
          <w:bottom w:val="single" w:sz="8" w:space="0" w:color="0055A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4FF" w:themeFill="accent5" w:themeFillTint="3F"/>
      </w:tcPr>
    </w:tblStylePr>
    <w:tblStylePr w:type="band1Horz">
      <w:tblPr/>
      <w:tcPr>
        <w:tcBorders>
          <w:left w:val="nil"/>
          <w:right w:val="nil"/>
          <w:insideH w:val="nil"/>
          <w:insideV w:val="nil"/>
        </w:tcBorders>
        <w:shd w:val="clear" w:color="auto" w:fill="ABD4FF" w:themeFill="accent5" w:themeFillTint="3F"/>
      </w:tcPr>
    </w:tblStylePr>
  </w:style>
  <w:style w:type="table" w:styleId="LightShading-Accent6">
    <w:name w:val="Light Shading Accent 6"/>
    <w:basedOn w:val="TableNormal"/>
    <w:uiPriority w:val="60"/>
    <w:semiHidden/>
    <w:unhideWhenUsed/>
    <w:rsid w:val="00F527CC"/>
    <w:pPr>
      <w:spacing w:after="0" w:line="240" w:lineRule="auto"/>
    </w:pPr>
    <w:rPr>
      <w:color w:val="D88400" w:themeColor="accent6" w:themeShade="BF"/>
    </w:rPr>
    <w:tblPr>
      <w:tblStyleRowBandSize w:val="1"/>
      <w:tblStyleColBandSize w:val="1"/>
      <w:tblBorders>
        <w:top w:val="single" w:sz="8" w:space="0" w:color="FFAA22" w:themeColor="accent6"/>
        <w:bottom w:val="single" w:sz="8" w:space="0" w:color="FFAA22" w:themeColor="accent6"/>
      </w:tblBorders>
    </w:tblPr>
    <w:tblStylePr w:type="firstRow">
      <w:pPr>
        <w:spacing w:before="0" w:after="0" w:line="240" w:lineRule="auto"/>
      </w:pPr>
      <w:rPr>
        <w:b/>
        <w:bCs/>
      </w:rPr>
      <w:tblPr/>
      <w:tcPr>
        <w:tcBorders>
          <w:top w:val="single" w:sz="8" w:space="0" w:color="FFAA22" w:themeColor="accent6"/>
          <w:left w:val="nil"/>
          <w:bottom w:val="single" w:sz="8" w:space="0" w:color="FFAA22" w:themeColor="accent6"/>
          <w:right w:val="nil"/>
          <w:insideH w:val="nil"/>
          <w:insideV w:val="nil"/>
        </w:tcBorders>
      </w:tcPr>
    </w:tblStylePr>
    <w:tblStylePr w:type="lastRow">
      <w:pPr>
        <w:spacing w:before="0" w:after="0" w:line="240" w:lineRule="auto"/>
      </w:pPr>
      <w:rPr>
        <w:b/>
        <w:bCs/>
      </w:rPr>
      <w:tblPr/>
      <w:tcPr>
        <w:tcBorders>
          <w:top w:val="single" w:sz="8" w:space="0" w:color="FFAA22" w:themeColor="accent6"/>
          <w:left w:val="nil"/>
          <w:bottom w:val="single" w:sz="8" w:space="0" w:color="FFAA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C8" w:themeFill="accent6" w:themeFillTint="3F"/>
      </w:tcPr>
    </w:tblStylePr>
    <w:tblStylePr w:type="band1Horz">
      <w:tblPr/>
      <w:tcPr>
        <w:tcBorders>
          <w:left w:val="nil"/>
          <w:right w:val="nil"/>
          <w:insideH w:val="nil"/>
          <w:insideV w:val="nil"/>
        </w:tcBorders>
        <w:shd w:val="clear" w:color="auto" w:fill="FFE9C8" w:themeFill="accent6" w:themeFillTint="3F"/>
      </w:tcPr>
    </w:tblStylePr>
  </w:style>
  <w:style w:type="character" w:styleId="LineNumber">
    <w:name w:val="line number"/>
    <w:basedOn w:val="DefaultParagraphFont"/>
    <w:uiPriority w:val="99"/>
    <w:semiHidden/>
    <w:unhideWhenUsed/>
    <w:rsid w:val="00F527CC"/>
    <w:rPr>
      <w:lang w:val="en-US"/>
    </w:rPr>
  </w:style>
  <w:style w:type="paragraph" w:styleId="List">
    <w:name w:val="List"/>
    <w:basedOn w:val="Normal"/>
    <w:uiPriority w:val="99"/>
    <w:semiHidden/>
    <w:unhideWhenUsed/>
    <w:rsid w:val="00F527CC"/>
    <w:pPr>
      <w:ind w:left="283" w:hanging="283"/>
      <w:contextualSpacing/>
    </w:pPr>
  </w:style>
  <w:style w:type="paragraph" w:styleId="List2">
    <w:name w:val="List 2"/>
    <w:basedOn w:val="Normal"/>
    <w:uiPriority w:val="99"/>
    <w:semiHidden/>
    <w:unhideWhenUsed/>
    <w:rsid w:val="00F527CC"/>
    <w:pPr>
      <w:ind w:left="566" w:hanging="283"/>
      <w:contextualSpacing/>
    </w:pPr>
  </w:style>
  <w:style w:type="paragraph" w:styleId="List3">
    <w:name w:val="List 3"/>
    <w:basedOn w:val="Normal"/>
    <w:uiPriority w:val="99"/>
    <w:semiHidden/>
    <w:unhideWhenUsed/>
    <w:rsid w:val="00F527CC"/>
    <w:pPr>
      <w:ind w:left="849" w:hanging="283"/>
      <w:contextualSpacing/>
    </w:pPr>
  </w:style>
  <w:style w:type="paragraph" w:styleId="List4">
    <w:name w:val="List 4"/>
    <w:basedOn w:val="Normal"/>
    <w:uiPriority w:val="99"/>
    <w:semiHidden/>
    <w:unhideWhenUsed/>
    <w:rsid w:val="00F527CC"/>
    <w:pPr>
      <w:ind w:left="1132" w:hanging="283"/>
      <w:contextualSpacing/>
    </w:pPr>
  </w:style>
  <w:style w:type="paragraph" w:styleId="List5">
    <w:name w:val="List 5"/>
    <w:basedOn w:val="Normal"/>
    <w:uiPriority w:val="99"/>
    <w:semiHidden/>
    <w:unhideWhenUsed/>
    <w:rsid w:val="00F527CC"/>
    <w:pPr>
      <w:ind w:left="1415" w:hanging="283"/>
      <w:contextualSpacing/>
    </w:pPr>
  </w:style>
  <w:style w:type="paragraph" w:styleId="ListBullet">
    <w:name w:val="List Bullet"/>
    <w:basedOn w:val="Normal"/>
    <w:uiPriority w:val="99"/>
    <w:semiHidden/>
    <w:unhideWhenUsed/>
    <w:rsid w:val="00F527CC"/>
    <w:pPr>
      <w:numPr>
        <w:numId w:val="1"/>
      </w:numPr>
      <w:contextualSpacing/>
    </w:pPr>
  </w:style>
  <w:style w:type="paragraph" w:styleId="ListBullet2">
    <w:name w:val="List Bullet 2"/>
    <w:basedOn w:val="Normal"/>
    <w:uiPriority w:val="99"/>
    <w:semiHidden/>
    <w:unhideWhenUsed/>
    <w:rsid w:val="00F527CC"/>
    <w:pPr>
      <w:numPr>
        <w:numId w:val="2"/>
      </w:numPr>
      <w:contextualSpacing/>
    </w:pPr>
  </w:style>
  <w:style w:type="paragraph" w:styleId="ListBullet3">
    <w:name w:val="List Bullet 3"/>
    <w:basedOn w:val="Normal"/>
    <w:uiPriority w:val="99"/>
    <w:semiHidden/>
    <w:unhideWhenUsed/>
    <w:rsid w:val="00F527CC"/>
    <w:pPr>
      <w:numPr>
        <w:numId w:val="3"/>
      </w:numPr>
      <w:contextualSpacing/>
    </w:pPr>
  </w:style>
  <w:style w:type="paragraph" w:styleId="ListBullet4">
    <w:name w:val="List Bullet 4"/>
    <w:basedOn w:val="Normal"/>
    <w:uiPriority w:val="99"/>
    <w:semiHidden/>
    <w:unhideWhenUsed/>
    <w:rsid w:val="00F527CC"/>
    <w:pPr>
      <w:numPr>
        <w:numId w:val="4"/>
      </w:numPr>
      <w:contextualSpacing/>
    </w:pPr>
  </w:style>
  <w:style w:type="paragraph" w:styleId="ListBullet5">
    <w:name w:val="List Bullet 5"/>
    <w:basedOn w:val="Normal"/>
    <w:uiPriority w:val="99"/>
    <w:semiHidden/>
    <w:unhideWhenUsed/>
    <w:rsid w:val="00F527CC"/>
    <w:pPr>
      <w:numPr>
        <w:numId w:val="5"/>
      </w:numPr>
      <w:contextualSpacing/>
    </w:pPr>
  </w:style>
  <w:style w:type="paragraph" w:styleId="ListContinue">
    <w:name w:val="List Continue"/>
    <w:basedOn w:val="Normal"/>
    <w:uiPriority w:val="99"/>
    <w:semiHidden/>
    <w:unhideWhenUsed/>
    <w:rsid w:val="00F527CC"/>
    <w:pPr>
      <w:ind w:left="283"/>
      <w:contextualSpacing/>
    </w:pPr>
  </w:style>
  <w:style w:type="paragraph" w:styleId="ListContinue2">
    <w:name w:val="List Continue 2"/>
    <w:basedOn w:val="Normal"/>
    <w:uiPriority w:val="99"/>
    <w:semiHidden/>
    <w:unhideWhenUsed/>
    <w:rsid w:val="00F527CC"/>
    <w:pPr>
      <w:ind w:left="566"/>
      <w:contextualSpacing/>
    </w:pPr>
  </w:style>
  <w:style w:type="paragraph" w:styleId="ListContinue3">
    <w:name w:val="List Continue 3"/>
    <w:basedOn w:val="Normal"/>
    <w:uiPriority w:val="99"/>
    <w:semiHidden/>
    <w:unhideWhenUsed/>
    <w:rsid w:val="00F527CC"/>
    <w:pPr>
      <w:ind w:left="849"/>
      <w:contextualSpacing/>
    </w:pPr>
  </w:style>
  <w:style w:type="paragraph" w:styleId="ListContinue4">
    <w:name w:val="List Continue 4"/>
    <w:basedOn w:val="Normal"/>
    <w:uiPriority w:val="99"/>
    <w:semiHidden/>
    <w:unhideWhenUsed/>
    <w:rsid w:val="00F527CC"/>
    <w:pPr>
      <w:ind w:left="1132"/>
      <w:contextualSpacing/>
    </w:pPr>
  </w:style>
  <w:style w:type="paragraph" w:styleId="ListContinue5">
    <w:name w:val="List Continue 5"/>
    <w:basedOn w:val="Normal"/>
    <w:uiPriority w:val="99"/>
    <w:semiHidden/>
    <w:unhideWhenUsed/>
    <w:rsid w:val="00F527CC"/>
    <w:pPr>
      <w:ind w:left="1415"/>
      <w:contextualSpacing/>
    </w:pPr>
  </w:style>
  <w:style w:type="paragraph" w:styleId="ListNumber">
    <w:name w:val="List Number"/>
    <w:basedOn w:val="Normal"/>
    <w:uiPriority w:val="99"/>
    <w:semiHidden/>
    <w:unhideWhenUsed/>
    <w:rsid w:val="00F527CC"/>
    <w:pPr>
      <w:numPr>
        <w:numId w:val="6"/>
      </w:numPr>
      <w:contextualSpacing/>
    </w:pPr>
  </w:style>
  <w:style w:type="paragraph" w:styleId="ListNumber2">
    <w:name w:val="List Number 2"/>
    <w:basedOn w:val="Normal"/>
    <w:uiPriority w:val="99"/>
    <w:semiHidden/>
    <w:unhideWhenUsed/>
    <w:rsid w:val="00F527CC"/>
    <w:pPr>
      <w:numPr>
        <w:numId w:val="7"/>
      </w:numPr>
      <w:contextualSpacing/>
    </w:pPr>
  </w:style>
  <w:style w:type="paragraph" w:styleId="ListNumber3">
    <w:name w:val="List Number 3"/>
    <w:basedOn w:val="Normal"/>
    <w:uiPriority w:val="99"/>
    <w:semiHidden/>
    <w:unhideWhenUsed/>
    <w:rsid w:val="00F527CC"/>
    <w:pPr>
      <w:numPr>
        <w:numId w:val="8"/>
      </w:numPr>
      <w:contextualSpacing/>
    </w:pPr>
  </w:style>
  <w:style w:type="paragraph" w:styleId="ListNumber4">
    <w:name w:val="List Number 4"/>
    <w:basedOn w:val="Normal"/>
    <w:uiPriority w:val="99"/>
    <w:semiHidden/>
    <w:unhideWhenUsed/>
    <w:rsid w:val="00F527CC"/>
    <w:pPr>
      <w:numPr>
        <w:numId w:val="9"/>
      </w:numPr>
      <w:contextualSpacing/>
    </w:pPr>
  </w:style>
  <w:style w:type="paragraph" w:styleId="ListNumber5">
    <w:name w:val="List Number 5"/>
    <w:basedOn w:val="Normal"/>
    <w:uiPriority w:val="99"/>
    <w:semiHidden/>
    <w:unhideWhenUsed/>
    <w:rsid w:val="00F527CC"/>
    <w:pPr>
      <w:numPr>
        <w:numId w:val="10"/>
      </w:numPr>
      <w:contextualSpacing/>
    </w:pPr>
  </w:style>
  <w:style w:type="paragraph" w:styleId="ListParagraph">
    <w:name w:val="List Paragraph"/>
    <w:aliases w:val="Paragraph,Header 2,Head1.1,References,Paragraphe de liste1,List Paragraph1,Liste couleur - Accent 11,Liste couleur - Accent 111,Paragraphe de liste3,List Paragraph2,Bullets,List Paragraph nowy,Numbered List Paragraph,titre_kely,Liste 1"/>
    <w:basedOn w:val="Normal"/>
    <w:link w:val="ListParagraphChar"/>
    <w:uiPriority w:val="34"/>
    <w:qFormat/>
    <w:rsid w:val="00F527CC"/>
    <w:pPr>
      <w:ind w:left="720"/>
      <w:contextualSpacing/>
    </w:pPr>
  </w:style>
  <w:style w:type="table" w:styleId="ListTable1Light">
    <w:name w:val="List Table 1 Light"/>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8C8C8C" w:themeColor="text1" w:themeTint="99"/>
        </w:tcBorders>
      </w:tcPr>
    </w:tblStylePr>
    <w:tblStylePr w:type="lastRow">
      <w:rPr>
        <w:b/>
        <w:bCs/>
      </w:rPr>
      <w:tblPr/>
      <w:tcPr>
        <w:tcBorders>
          <w:top w:val="sing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1Light-Accent1">
    <w:name w:val="List Table 1 Light Accent 1"/>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DDDDDF" w:themeColor="accent1" w:themeTint="99"/>
        </w:tcBorders>
      </w:tcPr>
    </w:tblStylePr>
    <w:tblStylePr w:type="lastRow">
      <w:rPr>
        <w:b/>
        <w:bCs/>
      </w:rPr>
      <w:tblPr/>
      <w:tcPr>
        <w:tcBorders>
          <w:top w:val="sing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1Light-Accent2">
    <w:name w:val="List Table 1 Light Accent 2"/>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BEBFC1" w:themeColor="accent2" w:themeTint="99"/>
        </w:tcBorders>
      </w:tcPr>
    </w:tblStylePr>
    <w:tblStylePr w:type="lastRow">
      <w:rPr>
        <w:b/>
        <w:bCs/>
      </w:rPr>
      <w:tblPr/>
      <w:tcPr>
        <w:tcBorders>
          <w:top w:val="sing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1Light-Accent3">
    <w:name w:val="List Table 1 Light Accent 3"/>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A0A1A3" w:themeColor="accent3" w:themeTint="99"/>
        </w:tcBorders>
      </w:tcPr>
    </w:tblStylePr>
    <w:tblStylePr w:type="lastRow">
      <w:rPr>
        <w:b/>
        <w:bCs/>
      </w:rPr>
      <w:tblPr/>
      <w:tcPr>
        <w:tcBorders>
          <w:top w:val="sing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1Light-Accent4">
    <w:name w:val="List Table 1 Light Accent 4"/>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E87179" w:themeColor="accent4" w:themeTint="99"/>
        </w:tcBorders>
      </w:tcPr>
    </w:tblStylePr>
    <w:tblStylePr w:type="lastRow">
      <w:rPr>
        <w:b/>
        <w:bCs/>
      </w:rPr>
      <w:tblPr/>
      <w:tcPr>
        <w:tcBorders>
          <w:top w:val="sing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1Light-Accent5">
    <w:name w:val="List Table 1 Light Accent 5"/>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3398FF" w:themeColor="accent5" w:themeTint="99"/>
        </w:tcBorders>
      </w:tcPr>
    </w:tblStylePr>
    <w:tblStylePr w:type="lastRow">
      <w:rPr>
        <w:b/>
        <w:bCs/>
      </w:rPr>
      <w:tblPr/>
      <w:tcPr>
        <w:tcBorders>
          <w:top w:val="sing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1Light-Accent6">
    <w:name w:val="List Table 1 Light Accent 6"/>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FFCB7A" w:themeColor="accent6" w:themeTint="99"/>
        </w:tcBorders>
      </w:tcPr>
    </w:tblStylePr>
    <w:tblStylePr w:type="lastRow">
      <w:rPr>
        <w:b/>
        <w:bCs/>
      </w:rPr>
      <w:tblPr/>
      <w:tcPr>
        <w:tcBorders>
          <w:top w:val="sing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2">
    <w:name w:val="List Table 2"/>
    <w:basedOn w:val="TableNormal"/>
    <w:uiPriority w:val="47"/>
    <w:rsid w:val="00F527CC"/>
    <w:pPr>
      <w:spacing w:after="0" w:line="240" w:lineRule="auto"/>
    </w:pPr>
    <w:tblPr>
      <w:tblStyleRowBandSize w:val="1"/>
      <w:tblStyleColBandSize w:val="1"/>
      <w:tblBorders>
        <w:top w:val="single" w:sz="4" w:space="0" w:color="8C8C8C" w:themeColor="text1" w:themeTint="99"/>
        <w:bottom w:val="single" w:sz="4" w:space="0" w:color="8C8C8C" w:themeColor="text1" w:themeTint="99"/>
        <w:insideH w:val="single" w:sz="4" w:space="0" w:color="8C8C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2-Accent1">
    <w:name w:val="List Table 2 Accent 1"/>
    <w:basedOn w:val="TableNormal"/>
    <w:uiPriority w:val="47"/>
    <w:rsid w:val="00F527CC"/>
    <w:pPr>
      <w:spacing w:after="0" w:line="240" w:lineRule="auto"/>
    </w:pPr>
    <w:tblPr>
      <w:tblStyleRowBandSize w:val="1"/>
      <w:tblStyleColBandSize w:val="1"/>
      <w:tblBorders>
        <w:top w:val="single" w:sz="4" w:space="0" w:color="DDDDDF" w:themeColor="accent1" w:themeTint="99"/>
        <w:bottom w:val="single" w:sz="4" w:space="0" w:color="DDDDDF" w:themeColor="accent1" w:themeTint="99"/>
        <w:insideH w:val="single" w:sz="4" w:space="0" w:color="DDDD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2-Accent2">
    <w:name w:val="List Table 2 Accent 2"/>
    <w:basedOn w:val="TableNormal"/>
    <w:uiPriority w:val="47"/>
    <w:rsid w:val="00F527CC"/>
    <w:pPr>
      <w:spacing w:after="0" w:line="240" w:lineRule="auto"/>
    </w:pPr>
    <w:tblPr>
      <w:tblStyleRowBandSize w:val="1"/>
      <w:tblStyleColBandSize w:val="1"/>
      <w:tblBorders>
        <w:top w:val="single" w:sz="4" w:space="0" w:color="BEBFC1" w:themeColor="accent2" w:themeTint="99"/>
        <w:bottom w:val="single" w:sz="4" w:space="0" w:color="BEBFC1" w:themeColor="accent2" w:themeTint="99"/>
        <w:insideH w:val="single" w:sz="4" w:space="0" w:color="BEBFC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2-Accent3">
    <w:name w:val="List Table 2 Accent 3"/>
    <w:basedOn w:val="TableNormal"/>
    <w:uiPriority w:val="47"/>
    <w:rsid w:val="00F527CC"/>
    <w:pPr>
      <w:spacing w:after="0" w:line="240" w:lineRule="auto"/>
    </w:pPr>
    <w:tblPr>
      <w:tblStyleRowBandSize w:val="1"/>
      <w:tblStyleColBandSize w:val="1"/>
      <w:tblBorders>
        <w:top w:val="single" w:sz="4" w:space="0" w:color="A0A1A3" w:themeColor="accent3" w:themeTint="99"/>
        <w:bottom w:val="single" w:sz="4" w:space="0" w:color="A0A1A3" w:themeColor="accent3" w:themeTint="99"/>
        <w:insideH w:val="single" w:sz="4" w:space="0" w:color="A0A1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2-Accent4">
    <w:name w:val="List Table 2 Accent 4"/>
    <w:basedOn w:val="TableNormal"/>
    <w:uiPriority w:val="47"/>
    <w:rsid w:val="00F527CC"/>
    <w:pPr>
      <w:spacing w:after="0" w:line="240" w:lineRule="auto"/>
    </w:pPr>
    <w:tblPr>
      <w:tblStyleRowBandSize w:val="1"/>
      <w:tblStyleColBandSize w:val="1"/>
      <w:tblBorders>
        <w:top w:val="single" w:sz="4" w:space="0" w:color="E87179" w:themeColor="accent4" w:themeTint="99"/>
        <w:bottom w:val="single" w:sz="4" w:space="0" w:color="E87179" w:themeColor="accent4" w:themeTint="99"/>
        <w:insideH w:val="single" w:sz="4" w:space="0" w:color="E8717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2-Accent5">
    <w:name w:val="List Table 2 Accent 5"/>
    <w:basedOn w:val="TableNormal"/>
    <w:uiPriority w:val="47"/>
    <w:rsid w:val="00F527CC"/>
    <w:pPr>
      <w:spacing w:after="0" w:line="240" w:lineRule="auto"/>
    </w:pPr>
    <w:tblPr>
      <w:tblStyleRowBandSize w:val="1"/>
      <w:tblStyleColBandSize w:val="1"/>
      <w:tblBorders>
        <w:top w:val="single" w:sz="4" w:space="0" w:color="3398FF" w:themeColor="accent5" w:themeTint="99"/>
        <w:bottom w:val="single" w:sz="4" w:space="0" w:color="3398FF" w:themeColor="accent5" w:themeTint="99"/>
        <w:insideH w:val="single" w:sz="4" w:space="0" w:color="339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2-Accent6">
    <w:name w:val="List Table 2 Accent 6"/>
    <w:basedOn w:val="TableNormal"/>
    <w:uiPriority w:val="47"/>
    <w:rsid w:val="00F527CC"/>
    <w:pPr>
      <w:spacing w:after="0" w:line="240" w:lineRule="auto"/>
    </w:pPr>
    <w:tblPr>
      <w:tblStyleRowBandSize w:val="1"/>
      <w:tblStyleColBandSize w:val="1"/>
      <w:tblBorders>
        <w:top w:val="single" w:sz="4" w:space="0" w:color="FFCB7A" w:themeColor="accent6" w:themeTint="99"/>
        <w:bottom w:val="single" w:sz="4" w:space="0" w:color="FFCB7A" w:themeColor="accent6" w:themeTint="99"/>
        <w:insideH w:val="single" w:sz="4" w:space="0" w:color="FFCB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3">
    <w:name w:val="List Table 3"/>
    <w:basedOn w:val="TableNormal"/>
    <w:uiPriority w:val="48"/>
    <w:rsid w:val="00F527CC"/>
    <w:pPr>
      <w:spacing w:after="0" w:line="240" w:lineRule="auto"/>
    </w:pPr>
    <w:tblPr>
      <w:tblStyleRowBandSize w:val="1"/>
      <w:tblStyleColBandSize w:val="1"/>
      <w:tblBorders>
        <w:top w:val="single" w:sz="4" w:space="0" w:color="404040" w:themeColor="text1"/>
        <w:left w:val="single" w:sz="4" w:space="0" w:color="404040" w:themeColor="text1"/>
        <w:bottom w:val="single" w:sz="4" w:space="0" w:color="404040" w:themeColor="text1"/>
        <w:right w:val="single" w:sz="4" w:space="0" w:color="404040" w:themeColor="text1"/>
      </w:tblBorders>
    </w:tblPr>
    <w:tblStylePr w:type="firstRow">
      <w:rPr>
        <w:b/>
        <w:bCs/>
        <w:color w:val="FFFFFF" w:themeColor="background1"/>
      </w:rPr>
      <w:tblPr/>
      <w:tcPr>
        <w:shd w:val="clear" w:color="auto" w:fill="404040" w:themeFill="text1"/>
      </w:tcPr>
    </w:tblStylePr>
    <w:tblStylePr w:type="lastRow">
      <w:rPr>
        <w:b/>
        <w:bCs/>
      </w:rPr>
      <w:tblPr/>
      <w:tcPr>
        <w:tcBorders>
          <w:top w:val="double" w:sz="4" w:space="0" w:color="40404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text1"/>
          <w:right w:val="single" w:sz="4" w:space="0" w:color="404040" w:themeColor="text1"/>
        </w:tcBorders>
      </w:tcPr>
    </w:tblStylePr>
    <w:tblStylePr w:type="band1Horz">
      <w:tblPr/>
      <w:tcPr>
        <w:tcBorders>
          <w:top w:val="single" w:sz="4" w:space="0" w:color="404040" w:themeColor="text1"/>
          <w:bottom w:val="single" w:sz="4" w:space="0" w:color="40404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text1"/>
          <w:left w:val="nil"/>
        </w:tcBorders>
      </w:tcPr>
    </w:tblStylePr>
    <w:tblStylePr w:type="swCell">
      <w:tblPr/>
      <w:tcPr>
        <w:tcBorders>
          <w:top w:val="double" w:sz="4" w:space="0" w:color="404040" w:themeColor="text1"/>
          <w:right w:val="nil"/>
        </w:tcBorders>
      </w:tcPr>
    </w:tblStylePr>
  </w:style>
  <w:style w:type="table" w:styleId="ListTable3-Accent1">
    <w:name w:val="List Table 3 Accent 1"/>
    <w:basedOn w:val="TableNormal"/>
    <w:uiPriority w:val="48"/>
    <w:rsid w:val="00F527CC"/>
    <w:pPr>
      <w:spacing w:after="0" w:line="240" w:lineRule="auto"/>
    </w:pPr>
    <w:tblPr>
      <w:tblStyleRowBandSize w:val="1"/>
      <w:tblStyleColBandSize w:val="1"/>
      <w:tblBorders>
        <w:top w:val="single" w:sz="4" w:space="0" w:color="C7C8CA" w:themeColor="accent1"/>
        <w:left w:val="single" w:sz="4" w:space="0" w:color="C7C8CA" w:themeColor="accent1"/>
        <w:bottom w:val="single" w:sz="4" w:space="0" w:color="C7C8CA" w:themeColor="accent1"/>
        <w:right w:val="single" w:sz="4" w:space="0" w:color="C7C8CA" w:themeColor="accent1"/>
      </w:tblBorders>
    </w:tblPr>
    <w:tblStylePr w:type="firstRow">
      <w:rPr>
        <w:b/>
        <w:bCs/>
        <w:color w:val="FFFFFF" w:themeColor="background1"/>
      </w:rPr>
      <w:tblPr/>
      <w:tcPr>
        <w:shd w:val="clear" w:color="auto" w:fill="C7C8CA" w:themeFill="accent1"/>
      </w:tcPr>
    </w:tblStylePr>
    <w:tblStylePr w:type="lastRow">
      <w:rPr>
        <w:b/>
        <w:bCs/>
      </w:rPr>
      <w:tblPr/>
      <w:tcPr>
        <w:tcBorders>
          <w:top w:val="double" w:sz="4" w:space="0" w:color="C7C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C8CA" w:themeColor="accent1"/>
          <w:right w:val="single" w:sz="4" w:space="0" w:color="C7C8CA" w:themeColor="accent1"/>
        </w:tcBorders>
      </w:tcPr>
    </w:tblStylePr>
    <w:tblStylePr w:type="band1Horz">
      <w:tblPr/>
      <w:tcPr>
        <w:tcBorders>
          <w:top w:val="single" w:sz="4" w:space="0" w:color="C7C8CA" w:themeColor="accent1"/>
          <w:bottom w:val="single" w:sz="4" w:space="0" w:color="C7C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8CA" w:themeColor="accent1"/>
          <w:left w:val="nil"/>
        </w:tcBorders>
      </w:tcPr>
    </w:tblStylePr>
    <w:tblStylePr w:type="swCell">
      <w:tblPr/>
      <w:tcPr>
        <w:tcBorders>
          <w:top w:val="double" w:sz="4" w:space="0" w:color="C7C8CA" w:themeColor="accent1"/>
          <w:right w:val="nil"/>
        </w:tcBorders>
      </w:tcPr>
    </w:tblStylePr>
  </w:style>
  <w:style w:type="table" w:styleId="ListTable3-Accent2">
    <w:name w:val="List Table 3 Accent 2"/>
    <w:basedOn w:val="TableNormal"/>
    <w:uiPriority w:val="48"/>
    <w:rsid w:val="00F527CC"/>
    <w:pPr>
      <w:spacing w:after="0" w:line="240" w:lineRule="auto"/>
    </w:pPr>
    <w:tblPr>
      <w:tblStyleRowBandSize w:val="1"/>
      <w:tblStyleColBandSize w:val="1"/>
      <w:tblBorders>
        <w:top w:val="single" w:sz="4" w:space="0" w:color="939598" w:themeColor="accent2"/>
        <w:left w:val="single" w:sz="4" w:space="0" w:color="939598" w:themeColor="accent2"/>
        <w:bottom w:val="single" w:sz="4" w:space="0" w:color="939598" w:themeColor="accent2"/>
        <w:right w:val="single" w:sz="4" w:space="0" w:color="939598" w:themeColor="accent2"/>
      </w:tblBorders>
    </w:tblPr>
    <w:tblStylePr w:type="firstRow">
      <w:rPr>
        <w:b/>
        <w:bCs/>
        <w:color w:val="FFFFFF" w:themeColor="background1"/>
      </w:rPr>
      <w:tblPr/>
      <w:tcPr>
        <w:shd w:val="clear" w:color="auto" w:fill="939598" w:themeFill="accent2"/>
      </w:tcPr>
    </w:tblStylePr>
    <w:tblStylePr w:type="lastRow">
      <w:rPr>
        <w:b/>
        <w:bCs/>
      </w:rPr>
      <w:tblPr/>
      <w:tcPr>
        <w:tcBorders>
          <w:top w:val="double" w:sz="4" w:space="0" w:color="93959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9598" w:themeColor="accent2"/>
          <w:right w:val="single" w:sz="4" w:space="0" w:color="939598" w:themeColor="accent2"/>
        </w:tcBorders>
      </w:tcPr>
    </w:tblStylePr>
    <w:tblStylePr w:type="band1Horz">
      <w:tblPr/>
      <w:tcPr>
        <w:tcBorders>
          <w:top w:val="single" w:sz="4" w:space="0" w:color="939598" w:themeColor="accent2"/>
          <w:bottom w:val="single" w:sz="4" w:space="0" w:color="93959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9598" w:themeColor="accent2"/>
          <w:left w:val="nil"/>
        </w:tcBorders>
      </w:tcPr>
    </w:tblStylePr>
    <w:tblStylePr w:type="swCell">
      <w:tblPr/>
      <w:tcPr>
        <w:tcBorders>
          <w:top w:val="double" w:sz="4" w:space="0" w:color="939598" w:themeColor="accent2"/>
          <w:right w:val="nil"/>
        </w:tcBorders>
      </w:tcPr>
    </w:tblStylePr>
  </w:style>
  <w:style w:type="table" w:styleId="ListTable3-Accent3">
    <w:name w:val="List Table 3 Accent 3"/>
    <w:basedOn w:val="TableNormal"/>
    <w:uiPriority w:val="48"/>
    <w:rsid w:val="00F527CC"/>
    <w:pPr>
      <w:spacing w:after="0" w:line="240" w:lineRule="auto"/>
    </w:pPr>
    <w:tblPr>
      <w:tblStyleRowBandSize w:val="1"/>
      <w:tblStyleColBandSize w:val="1"/>
      <w:tblBorders>
        <w:top w:val="single" w:sz="4" w:space="0" w:color="636466" w:themeColor="accent3"/>
        <w:left w:val="single" w:sz="4" w:space="0" w:color="636466" w:themeColor="accent3"/>
        <w:bottom w:val="single" w:sz="4" w:space="0" w:color="636466" w:themeColor="accent3"/>
        <w:right w:val="single" w:sz="4" w:space="0" w:color="636466" w:themeColor="accent3"/>
      </w:tblBorders>
    </w:tblPr>
    <w:tblStylePr w:type="firstRow">
      <w:rPr>
        <w:b/>
        <w:bCs/>
        <w:color w:val="FFFFFF" w:themeColor="background1"/>
      </w:rPr>
      <w:tblPr/>
      <w:tcPr>
        <w:shd w:val="clear" w:color="auto" w:fill="636466" w:themeFill="accent3"/>
      </w:tcPr>
    </w:tblStylePr>
    <w:tblStylePr w:type="lastRow">
      <w:rPr>
        <w:b/>
        <w:bCs/>
      </w:rPr>
      <w:tblPr/>
      <w:tcPr>
        <w:tcBorders>
          <w:top w:val="double" w:sz="4" w:space="0" w:color="6364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466" w:themeColor="accent3"/>
          <w:right w:val="single" w:sz="4" w:space="0" w:color="636466" w:themeColor="accent3"/>
        </w:tcBorders>
      </w:tcPr>
    </w:tblStylePr>
    <w:tblStylePr w:type="band1Horz">
      <w:tblPr/>
      <w:tcPr>
        <w:tcBorders>
          <w:top w:val="single" w:sz="4" w:space="0" w:color="636466" w:themeColor="accent3"/>
          <w:bottom w:val="single" w:sz="4" w:space="0" w:color="6364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466" w:themeColor="accent3"/>
          <w:left w:val="nil"/>
        </w:tcBorders>
      </w:tcPr>
    </w:tblStylePr>
    <w:tblStylePr w:type="swCell">
      <w:tblPr/>
      <w:tcPr>
        <w:tcBorders>
          <w:top w:val="double" w:sz="4" w:space="0" w:color="636466" w:themeColor="accent3"/>
          <w:right w:val="nil"/>
        </w:tcBorders>
      </w:tcPr>
    </w:tblStylePr>
  </w:style>
  <w:style w:type="table" w:styleId="ListTable3-Accent4">
    <w:name w:val="List Table 3 Accent 4"/>
    <w:basedOn w:val="TableNormal"/>
    <w:uiPriority w:val="48"/>
    <w:rsid w:val="00F527CC"/>
    <w:pPr>
      <w:spacing w:after="0" w:line="240" w:lineRule="auto"/>
    </w:pPr>
    <w:tblPr>
      <w:tblStyleRowBandSize w:val="1"/>
      <w:tblStyleColBandSize w:val="1"/>
      <w:tblBorders>
        <w:top w:val="single" w:sz="4" w:space="0" w:color="CD202C" w:themeColor="accent4"/>
        <w:left w:val="single" w:sz="4" w:space="0" w:color="CD202C" w:themeColor="accent4"/>
        <w:bottom w:val="single" w:sz="4" w:space="0" w:color="CD202C" w:themeColor="accent4"/>
        <w:right w:val="single" w:sz="4" w:space="0" w:color="CD202C" w:themeColor="accent4"/>
      </w:tblBorders>
    </w:tblPr>
    <w:tblStylePr w:type="firstRow">
      <w:rPr>
        <w:b/>
        <w:bCs/>
        <w:color w:val="FFFFFF" w:themeColor="background1"/>
      </w:rPr>
      <w:tblPr/>
      <w:tcPr>
        <w:shd w:val="clear" w:color="auto" w:fill="CD202C" w:themeFill="accent4"/>
      </w:tcPr>
    </w:tblStylePr>
    <w:tblStylePr w:type="lastRow">
      <w:rPr>
        <w:b/>
        <w:bCs/>
      </w:rPr>
      <w:tblPr/>
      <w:tcPr>
        <w:tcBorders>
          <w:top w:val="double" w:sz="4" w:space="0" w:color="CD20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202C" w:themeColor="accent4"/>
          <w:right w:val="single" w:sz="4" w:space="0" w:color="CD202C" w:themeColor="accent4"/>
        </w:tcBorders>
      </w:tcPr>
    </w:tblStylePr>
    <w:tblStylePr w:type="band1Horz">
      <w:tblPr/>
      <w:tcPr>
        <w:tcBorders>
          <w:top w:val="single" w:sz="4" w:space="0" w:color="CD202C" w:themeColor="accent4"/>
          <w:bottom w:val="single" w:sz="4" w:space="0" w:color="CD20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202C" w:themeColor="accent4"/>
          <w:left w:val="nil"/>
        </w:tcBorders>
      </w:tcPr>
    </w:tblStylePr>
    <w:tblStylePr w:type="swCell">
      <w:tblPr/>
      <w:tcPr>
        <w:tcBorders>
          <w:top w:val="double" w:sz="4" w:space="0" w:color="CD202C" w:themeColor="accent4"/>
          <w:right w:val="nil"/>
        </w:tcBorders>
      </w:tcPr>
    </w:tblStylePr>
  </w:style>
  <w:style w:type="table" w:styleId="ListTable3-Accent5">
    <w:name w:val="List Table 3 Accent 5"/>
    <w:basedOn w:val="TableNormal"/>
    <w:uiPriority w:val="48"/>
    <w:rsid w:val="00F527CC"/>
    <w:pPr>
      <w:spacing w:after="0" w:line="240" w:lineRule="auto"/>
    </w:pPr>
    <w:tblPr>
      <w:tblStyleRowBandSize w:val="1"/>
      <w:tblStyleColBandSize w:val="1"/>
      <w:tblBorders>
        <w:top w:val="single" w:sz="4" w:space="0" w:color="0055AA" w:themeColor="accent5"/>
        <w:left w:val="single" w:sz="4" w:space="0" w:color="0055AA" w:themeColor="accent5"/>
        <w:bottom w:val="single" w:sz="4" w:space="0" w:color="0055AA" w:themeColor="accent5"/>
        <w:right w:val="single" w:sz="4" w:space="0" w:color="0055AA" w:themeColor="accent5"/>
      </w:tblBorders>
    </w:tblPr>
    <w:tblStylePr w:type="firstRow">
      <w:rPr>
        <w:b/>
        <w:bCs/>
        <w:color w:val="FFFFFF" w:themeColor="background1"/>
      </w:rPr>
      <w:tblPr/>
      <w:tcPr>
        <w:shd w:val="clear" w:color="auto" w:fill="0055AA" w:themeFill="accent5"/>
      </w:tcPr>
    </w:tblStylePr>
    <w:tblStylePr w:type="lastRow">
      <w:rPr>
        <w:b/>
        <w:bCs/>
      </w:rPr>
      <w:tblPr/>
      <w:tcPr>
        <w:tcBorders>
          <w:top w:val="double" w:sz="4" w:space="0" w:color="0055A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AA" w:themeColor="accent5"/>
          <w:right w:val="single" w:sz="4" w:space="0" w:color="0055AA" w:themeColor="accent5"/>
        </w:tcBorders>
      </w:tcPr>
    </w:tblStylePr>
    <w:tblStylePr w:type="band1Horz">
      <w:tblPr/>
      <w:tcPr>
        <w:tcBorders>
          <w:top w:val="single" w:sz="4" w:space="0" w:color="0055AA" w:themeColor="accent5"/>
          <w:bottom w:val="single" w:sz="4" w:space="0" w:color="0055A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AA" w:themeColor="accent5"/>
          <w:left w:val="nil"/>
        </w:tcBorders>
      </w:tcPr>
    </w:tblStylePr>
    <w:tblStylePr w:type="swCell">
      <w:tblPr/>
      <w:tcPr>
        <w:tcBorders>
          <w:top w:val="double" w:sz="4" w:space="0" w:color="0055AA" w:themeColor="accent5"/>
          <w:right w:val="nil"/>
        </w:tcBorders>
      </w:tcPr>
    </w:tblStylePr>
  </w:style>
  <w:style w:type="table" w:styleId="ListTable3-Accent6">
    <w:name w:val="List Table 3 Accent 6"/>
    <w:basedOn w:val="TableNormal"/>
    <w:uiPriority w:val="48"/>
    <w:rsid w:val="00F527CC"/>
    <w:pPr>
      <w:spacing w:after="0" w:line="240" w:lineRule="auto"/>
    </w:pPr>
    <w:tblPr>
      <w:tblStyleRowBandSize w:val="1"/>
      <w:tblStyleColBandSize w:val="1"/>
      <w:tblBorders>
        <w:top w:val="single" w:sz="4" w:space="0" w:color="FFAA22" w:themeColor="accent6"/>
        <w:left w:val="single" w:sz="4" w:space="0" w:color="FFAA22" w:themeColor="accent6"/>
        <w:bottom w:val="single" w:sz="4" w:space="0" w:color="FFAA22" w:themeColor="accent6"/>
        <w:right w:val="single" w:sz="4" w:space="0" w:color="FFAA22" w:themeColor="accent6"/>
      </w:tblBorders>
    </w:tblPr>
    <w:tblStylePr w:type="firstRow">
      <w:rPr>
        <w:b/>
        <w:bCs/>
        <w:color w:val="FFFFFF" w:themeColor="background1"/>
      </w:rPr>
      <w:tblPr/>
      <w:tcPr>
        <w:shd w:val="clear" w:color="auto" w:fill="FFAA22" w:themeFill="accent6"/>
      </w:tcPr>
    </w:tblStylePr>
    <w:tblStylePr w:type="lastRow">
      <w:rPr>
        <w:b/>
        <w:bCs/>
      </w:rPr>
      <w:tblPr/>
      <w:tcPr>
        <w:tcBorders>
          <w:top w:val="double" w:sz="4" w:space="0" w:color="FFAA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A22" w:themeColor="accent6"/>
          <w:right w:val="single" w:sz="4" w:space="0" w:color="FFAA22" w:themeColor="accent6"/>
        </w:tcBorders>
      </w:tcPr>
    </w:tblStylePr>
    <w:tblStylePr w:type="band1Horz">
      <w:tblPr/>
      <w:tcPr>
        <w:tcBorders>
          <w:top w:val="single" w:sz="4" w:space="0" w:color="FFAA22" w:themeColor="accent6"/>
          <w:bottom w:val="single" w:sz="4" w:space="0" w:color="FFAA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A22" w:themeColor="accent6"/>
          <w:left w:val="nil"/>
        </w:tcBorders>
      </w:tcPr>
    </w:tblStylePr>
    <w:tblStylePr w:type="swCell">
      <w:tblPr/>
      <w:tcPr>
        <w:tcBorders>
          <w:top w:val="double" w:sz="4" w:space="0" w:color="FFAA22" w:themeColor="accent6"/>
          <w:right w:val="nil"/>
        </w:tcBorders>
      </w:tcPr>
    </w:tblStylePr>
  </w:style>
  <w:style w:type="table" w:styleId="ListTable4">
    <w:name w:val="List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tcBorders>
        <w:shd w:val="clear" w:color="auto" w:fill="404040" w:themeFill="text1"/>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4-Accent1">
    <w:name w:val="List Table 4 Accent 1"/>
    <w:basedOn w:val="TableNormal"/>
    <w:uiPriority w:val="49"/>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tblBorders>
    </w:tblPr>
    <w:tblStylePr w:type="firstRow">
      <w:rPr>
        <w:b/>
        <w:bCs/>
        <w:color w:val="FFFFFF" w:themeColor="background1"/>
      </w:rPr>
      <w:tblPr/>
      <w:tcPr>
        <w:tcBorders>
          <w:top w:val="single" w:sz="4" w:space="0" w:color="C7C8CA" w:themeColor="accent1"/>
          <w:left w:val="single" w:sz="4" w:space="0" w:color="C7C8CA" w:themeColor="accent1"/>
          <w:bottom w:val="single" w:sz="4" w:space="0" w:color="C7C8CA" w:themeColor="accent1"/>
          <w:right w:val="single" w:sz="4" w:space="0" w:color="C7C8CA" w:themeColor="accent1"/>
          <w:insideH w:val="nil"/>
        </w:tcBorders>
        <w:shd w:val="clear" w:color="auto" w:fill="C7C8CA" w:themeFill="accent1"/>
      </w:tcPr>
    </w:tblStylePr>
    <w:tblStylePr w:type="lastRow">
      <w:rPr>
        <w:b/>
        <w:bCs/>
      </w:rPr>
      <w:tblPr/>
      <w:tcPr>
        <w:tcBorders>
          <w:top w:val="doub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4-Accent2">
    <w:name w:val="List Table 4 Accent 2"/>
    <w:basedOn w:val="TableNormal"/>
    <w:uiPriority w:val="49"/>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tblBorders>
    </w:tblPr>
    <w:tblStylePr w:type="firstRow">
      <w:rPr>
        <w:b/>
        <w:bCs/>
        <w:color w:val="FFFFFF" w:themeColor="background1"/>
      </w:rPr>
      <w:tblPr/>
      <w:tcPr>
        <w:tcBorders>
          <w:top w:val="single" w:sz="4" w:space="0" w:color="939598" w:themeColor="accent2"/>
          <w:left w:val="single" w:sz="4" w:space="0" w:color="939598" w:themeColor="accent2"/>
          <w:bottom w:val="single" w:sz="4" w:space="0" w:color="939598" w:themeColor="accent2"/>
          <w:right w:val="single" w:sz="4" w:space="0" w:color="939598" w:themeColor="accent2"/>
          <w:insideH w:val="nil"/>
        </w:tcBorders>
        <w:shd w:val="clear" w:color="auto" w:fill="939598" w:themeFill="accent2"/>
      </w:tcPr>
    </w:tblStylePr>
    <w:tblStylePr w:type="lastRow">
      <w:rPr>
        <w:b/>
        <w:bCs/>
      </w:rPr>
      <w:tblPr/>
      <w:tcPr>
        <w:tcBorders>
          <w:top w:val="doub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4-Accent3">
    <w:name w:val="List Table 4 Accent 3"/>
    <w:basedOn w:val="TableNormal"/>
    <w:uiPriority w:val="49"/>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tcBorders>
        <w:shd w:val="clear" w:color="auto" w:fill="636466" w:themeFill="accent3"/>
      </w:tcPr>
    </w:tblStylePr>
    <w:tblStylePr w:type="lastRow">
      <w:rPr>
        <w:b/>
        <w:bCs/>
      </w:rPr>
      <w:tblPr/>
      <w:tcPr>
        <w:tcBorders>
          <w:top w:val="doub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4-Accent4">
    <w:name w:val="List Table 4 Accent 4"/>
    <w:basedOn w:val="TableNormal"/>
    <w:uiPriority w:val="49"/>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tblBorders>
    </w:tblPr>
    <w:tblStylePr w:type="firstRow">
      <w:rPr>
        <w:b/>
        <w:bCs/>
        <w:color w:val="FFFFFF" w:themeColor="background1"/>
      </w:rPr>
      <w:tblPr/>
      <w:tcPr>
        <w:tcBorders>
          <w:top w:val="single" w:sz="4" w:space="0" w:color="CD202C" w:themeColor="accent4"/>
          <w:left w:val="single" w:sz="4" w:space="0" w:color="CD202C" w:themeColor="accent4"/>
          <w:bottom w:val="single" w:sz="4" w:space="0" w:color="CD202C" w:themeColor="accent4"/>
          <w:right w:val="single" w:sz="4" w:space="0" w:color="CD202C" w:themeColor="accent4"/>
          <w:insideH w:val="nil"/>
        </w:tcBorders>
        <w:shd w:val="clear" w:color="auto" w:fill="CD202C" w:themeFill="accent4"/>
      </w:tcPr>
    </w:tblStylePr>
    <w:tblStylePr w:type="lastRow">
      <w:rPr>
        <w:b/>
        <w:bCs/>
      </w:rPr>
      <w:tblPr/>
      <w:tcPr>
        <w:tcBorders>
          <w:top w:val="doub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4-Accent5">
    <w:name w:val="List Table 4 Accent 5"/>
    <w:basedOn w:val="TableNormal"/>
    <w:uiPriority w:val="49"/>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tblBorders>
    </w:tblPr>
    <w:tblStylePr w:type="firstRow">
      <w:rPr>
        <w:b/>
        <w:bCs/>
        <w:color w:val="FFFFFF" w:themeColor="background1"/>
      </w:rPr>
      <w:tblPr/>
      <w:tcPr>
        <w:tcBorders>
          <w:top w:val="single" w:sz="4" w:space="0" w:color="0055AA" w:themeColor="accent5"/>
          <w:left w:val="single" w:sz="4" w:space="0" w:color="0055AA" w:themeColor="accent5"/>
          <w:bottom w:val="single" w:sz="4" w:space="0" w:color="0055AA" w:themeColor="accent5"/>
          <w:right w:val="single" w:sz="4" w:space="0" w:color="0055AA" w:themeColor="accent5"/>
          <w:insideH w:val="nil"/>
        </w:tcBorders>
        <w:shd w:val="clear" w:color="auto" w:fill="0055AA" w:themeFill="accent5"/>
      </w:tcPr>
    </w:tblStylePr>
    <w:tblStylePr w:type="lastRow">
      <w:rPr>
        <w:b/>
        <w:bCs/>
      </w:rPr>
      <w:tblPr/>
      <w:tcPr>
        <w:tcBorders>
          <w:top w:val="doub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4-Accent6">
    <w:name w:val="List Table 4 Accent 6"/>
    <w:basedOn w:val="TableNormal"/>
    <w:uiPriority w:val="49"/>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tblBorders>
    </w:tblPr>
    <w:tblStylePr w:type="firstRow">
      <w:rPr>
        <w:b/>
        <w:bCs/>
        <w:color w:val="FFFFFF" w:themeColor="background1"/>
      </w:rPr>
      <w:tblPr/>
      <w:tcPr>
        <w:tcBorders>
          <w:top w:val="single" w:sz="4" w:space="0" w:color="FFAA22" w:themeColor="accent6"/>
          <w:left w:val="single" w:sz="4" w:space="0" w:color="FFAA22" w:themeColor="accent6"/>
          <w:bottom w:val="single" w:sz="4" w:space="0" w:color="FFAA22" w:themeColor="accent6"/>
          <w:right w:val="single" w:sz="4" w:space="0" w:color="FFAA22" w:themeColor="accent6"/>
          <w:insideH w:val="nil"/>
        </w:tcBorders>
        <w:shd w:val="clear" w:color="auto" w:fill="FFAA22" w:themeFill="accent6"/>
      </w:tcPr>
    </w:tblStylePr>
    <w:tblStylePr w:type="lastRow">
      <w:rPr>
        <w:b/>
        <w:bCs/>
      </w:rPr>
      <w:tblPr/>
      <w:tcPr>
        <w:tcBorders>
          <w:top w:val="doub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5Dark">
    <w:name w:val="List Table 5 Dark"/>
    <w:basedOn w:val="TableNormal"/>
    <w:uiPriority w:val="50"/>
    <w:rsid w:val="00F527CC"/>
    <w:pPr>
      <w:spacing w:after="0" w:line="240" w:lineRule="auto"/>
    </w:pPr>
    <w:rPr>
      <w:color w:val="FFFFFF" w:themeColor="background1"/>
    </w:rPr>
    <w:tblPr>
      <w:tblStyleRowBandSize w:val="1"/>
      <w:tblStyleColBandSize w:val="1"/>
      <w:tblBorders>
        <w:top w:val="single" w:sz="24" w:space="0" w:color="404040" w:themeColor="text1"/>
        <w:left w:val="single" w:sz="24" w:space="0" w:color="404040" w:themeColor="text1"/>
        <w:bottom w:val="single" w:sz="24" w:space="0" w:color="404040" w:themeColor="text1"/>
        <w:right w:val="single" w:sz="24" w:space="0" w:color="404040" w:themeColor="text1"/>
      </w:tblBorders>
    </w:tblPr>
    <w:tcPr>
      <w:shd w:val="clear" w:color="auto" w:fill="40404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527CC"/>
    <w:pPr>
      <w:spacing w:after="0" w:line="240" w:lineRule="auto"/>
    </w:pPr>
    <w:rPr>
      <w:color w:val="FFFFFF" w:themeColor="background1"/>
    </w:rPr>
    <w:tblPr>
      <w:tblStyleRowBandSize w:val="1"/>
      <w:tblStyleColBandSize w:val="1"/>
      <w:tblBorders>
        <w:top w:val="single" w:sz="24" w:space="0" w:color="C7C8CA" w:themeColor="accent1"/>
        <w:left w:val="single" w:sz="24" w:space="0" w:color="C7C8CA" w:themeColor="accent1"/>
        <w:bottom w:val="single" w:sz="24" w:space="0" w:color="C7C8CA" w:themeColor="accent1"/>
        <w:right w:val="single" w:sz="24" w:space="0" w:color="C7C8CA" w:themeColor="accent1"/>
      </w:tblBorders>
    </w:tblPr>
    <w:tcPr>
      <w:shd w:val="clear" w:color="auto" w:fill="C7C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527CC"/>
    <w:pPr>
      <w:spacing w:after="0" w:line="240" w:lineRule="auto"/>
    </w:pPr>
    <w:rPr>
      <w:color w:val="FFFFFF" w:themeColor="background1"/>
    </w:rPr>
    <w:tblPr>
      <w:tblStyleRowBandSize w:val="1"/>
      <w:tblStyleColBandSize w:val="1"/>
      <w:tblBorders>
        <w:top w:val="single" w:sz="24" w:space="0" w:color="939598" w:themeColor="accent2"/>
        <w:left w:val="single" w:sz="24" w:space="0" w:color="939598" w:themeColor="accent2"/>
        <w:bottom w:val="single" w:sz="24" w:space="0" w:color="939598" w:themeColor="accent2"/>
        <w:right w:val="single" w:sz="24" w:space="0" w:color="939598" w:themeColor="accent2"/>
      </w:tblBorders>
    </w:tblPr>
    <w:tcPr>
      <w:shd w:val="clear" w:color="auto" w:fill="93959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527CC"/>
    <w:pPr>
      <w:spacing w:after="0" w:line="240" w:lineRule="auto"/>
    </w:pPr>
    <w:rPr>
      <w:color w:val="FFFFFF" w:themeColor="background1"/>
    </w:rPr>
    <w:tblPr>
      <w:tblStyleRowBandSize w:val="1"/>
      <w:tblStyleColBandSize w:val="1"/>
      <w:tblBorders>
        <w:top w:val="single" w:sz="24" w:space="0" w:color="636466" w:themeColor="accent3"/>
        <w:left w:val="single" w:sz="24" w:space="0" w:color="636466" w:themeColor="accent3"/>
        <w:bottom w:val="single" w:sz="24" w:space="0" w:color="636466" w:themeColor="accent3"/>
        <w:right w:val="single" w:sz="24" w:space="0" w:color="636466" w:themeColor="accent3"/>
      </w:tblBorders>
    </w:tblPr>
    <w:tcPr>
      <w:shd w:val="clear" w:color="auto" w:fill="6364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527CC"/>
    <w:pPr>
      <w:spacing w:after="0" w:line="240" w:lineRule="auto"/>
    </w:pPr>
    <w:rPr>
      <w:color w:val="FFFFFF" w:themeColor="background1"/>
    </w:rPr>
    <w:tblPr>
      <w:tblStyleRowBandSize w:val="1"/>
      <w:tblStyleColBandSize w:val="1"/>
      <w:tblBorders>
        <w:top w:val="single" w:sz="24" w:space="0" w:color="CD202C" w:themeColor="accent4"/>
        <w:left w:val="single" w:sz="24" w:space="0" w:color="CD202C" w:themeColor="accent4"/>
        <w:bottom w:val="single" w:sz="24" w:space="0" w:color="CD202C" w:themeColor="accent4"/>
        <w:right w:val="single" w:sz="24" w:space="0" w:color="CD202C" w:themeColor="accent4"/>
      </w:tblBorders>
    </w:tblPr>
    <w:tcPr>
      <w:shd w:val="clear" w:color="auto" w:fill="CD20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527CC"/>
    <w:pPr>
      <w:spacing w:after="0" w:line="240" w:lineRule="auto"/>
    </w:pPr>
    <w:rPr>
      <w:color w:val="FFFFFF" w:themeColor="background1"/>
    </w:rPr>
    <w:tblPr>
      <w:tblStyleRowBandSize w:val="1"/>
      <w:tblStyleColBandSize w:val="1"/>
      <w:tblBorders>
        <w:top w:val="single" w:sz="24" w:space="0" w:color="0055AA" w:themeColor="accent5"/>
        <w:left w:val="single" w:sz="24" w:space="0" w:color="0055AA" w:themeColor="accent5"/>
        <w:bottom w:val="single" w:sz="24" w:space="0" w:color="0055AA" w:themeColor="accent5"/>
        <w:right w:val="single" w:sz="24" w:space="0" w:color="0055AA" w:themeColor="accent5"/>
      </w:tblBorders>
    </w:tblPr>
    <w:tcPr>
      <w:shd w:val="clear" w:color="auto" w:fill="0055A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527CC"/>
    <w:pPr>
      <w:spacing w:after="0" w:line="240" w:lineRule="auto"/>
    </w:pPr>
    <w:rPr>
      <w:color w:val="FFFFFF" w:themeColor="background1"/>
    </w:rPr>
    <w:tblPr>
      <w:tblStyleRowBandSize w:val="1"/>
      <w:tblStyleColBandSize w:val="1"/>
      <w:tblBorders>
        <w:top w:val="single" w:sz="24" w:space="0" w:color="FFAA22" w:themeColor="accent6"/>
        <w:left w:val="single" w:sz="24" w:space="0" w:color="FFAA22" w:themeColor="accent6"/>
        <w:bottom w:val="single" w:sz="24" w:space="0" w:color="FFAA22" w:themeColor="accent6"/>
        <w:right w:val="single" w:sz="24" w:space="0" w:color="FFAA22" w:themeColor="accent6"/>
      </w:tblBorders>
    </w:tblPr>
    <w:tcPr>
      <w:shd w:val="clear" w:color="auto" w:fill="FFAA2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404040" w:themeColor="text1"/>
        <w:bottom w:val="single" w:sz="4" w:space="0" w:color="404040" w:themeColor="text1"/>
      </w:tblBorders>
    </w:tblPr>
    <w:tblStylePr w:type="firstRow">
      <w:rPr>
        <w:b/>
        <w:bCs/>
      </w:rPr>
      <w:tblPr/>
      <w:tcPr>
        <w:tcBorders>
          <w:bottom w:val="single" w:sz="4" w:space="0" w:color="404040" w:themeColor="text1"/>
        </w:tcBorders>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6Colorful-Accent1">
    <w:name w:val="List Table 6 Colorful Accent 1"/>
    <w:basedOn w:val="TableNormal"/>
    <w:uiPriority w:val="51"/>
    <w:rsid w:val="00F527CC"/>
    <w:pPr>
      <w:spacing w:after="0" w:line="240" w:lineRule="auto"/>
    </w:pPr>
    <w:rPr>
      <w:color w:val="939599" w:themeColor="accent1" w:themeShade="BF"/>
    </w:rPr>
    <w:tblPr>
      <w:tblStyleRowBandSize w:val="1"/>
      <w:tblStyleColBandSize w:val="1"/>
      <w:tblBorders>
        <w:top w:val="single" w:sz="4" w:space="0" w:color="C7C8CA" w:themeColor="accent1"/>
        <w:bottom w:val="single" w:sz="4" w:space="0" w:color="C7C8CA" w:themeColor="accent1"/>
      </w:tblBorders>
    </w:tblPr>
    <w:tblStylePr w:type="firstRow">
      <w:rPr>
        <w:b/>
        <w:bCs/>
      </w:rPr>
      <w:tblPr/>
      <w:tcPr>
        <w:tcBorders>
          <w:bottom w:val="single" w:sz="4" w:space="0" w:color="C7C8CA" w:themeColor="accent1"/>
        </w:tcBorders>
      </w:tcPr>
    </w:tblStylePr>
    <w:tblStylePr w:type="lastRow">
      <w:rPr>
        <w:b/>
        <w:bCs/>
      </w:rPr>
      <w:tblPr/>
      <w:tcPr>
        <w:tcBorders>
          <w:top w:val="double" w:sz="4" w:space="0" w:color="C7C8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6Colorful-Accent2">
    <w:name w:val="List Table 6 Colorful Accent 2"/>
    <w:basedOn w:val="TableNormal"/>
    <w:uiPriority w:val="51"/>
    <w:rsid w:val="00F527CC"/>
    <w:pPr>
      <w:spacing w:after="0" w:line="240" w:lineRule="auto"/>
    </w:pPr>
    <w:rPr>
      <w:color w:val="6D6F72" w:themeColor="accent2" w:themeShade="BF"/>
    </w:rPr>
    <w:tblPr>
      <w:tblStyleRowBandSize w:val="1"/>
      <w:tblStyleColBandSize w:val="1"/>
      <w:tblBorders>
        <w:top w:val="single" w:sz="4" w:space="0" w:color="939598" w:themeColor="accent2"/>
        <w:bottom w:val="single" w:sz="4" w:space="0" w:color="939598" w:themeColor="accent2"/>
      </w:tblBorders>
    </w:tblPr>
    <w:tblStylePr w:type="firstRow">
      <w:rPr>
        <w:b/>
        <w:bCs/>
      </w:rPr>
      <w:tblPr/>
      <w:tcPr>
        <w:tcBorders>
          <w:bottom w:val="single" w:sz="4" w:space="0" w:color="939598" w:themeColor="accent2"/>
        </w:tcBorders>
      </w:tcPr>
    </w:tblStylePr>
    <w:tblStylePr w:type="lastRow">
      <w:rPr>
        <w:b/>
        <w:bCs/>
      </w:rPr>
      <w:tblPr/>
      <w:tcPr>
        <w:tcBorders>
          <w:top w:val="double" w:sz="4" w:space="0" w:color="939598" w:themeColor="accent2"/>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6Colorful-Accent3">
    <w:name w:val="List Table 6 Colorful Accent 3"/>
    <w:basedOn w:val="TableNormal"/>
    <w:uiPriority w:val="51"/>
    <w:rsid w:val="00F527CC"/>
    <w:pPr>
      <w:spacing w:after="0" w:line="240" w:lineRule="auto"/>
    </w:pPr>
    <w:rPr>
      <w:color w:val="4A4A4C" w:themeColor="accent3" w:themeShade="BF"/>
    </w:rPr>
    <w:tblPr>
      <w:tblStyleRowBandSize w:val="1"/>
      <w:tblStyleColBandSize w:val="1"/>
      <w:tblBorders>
        <w:top w:val="single" w:sz="4" w:space="0" w:color="636466" w:themeColor="accent3"/>
        <w:bottom w:val="single" w:sz="4" w:space="0" w:color="636466" w:themeColor="accent3"/>
      </w:tblBorders>
    </w:tblPr>
    <w:tblStylePr w:type="firstRow">
      <w:rPr>
        <w:b/>
        <w:bCs/>
      </w:rPr>
      <w:tblPr/>
      <w:tcPr>
        <w:tcBorders>
          <w:bottom w:val="single" w:sz="4" w:space="0" w:color="636466" w:themeColor="accent3"/>
        </w:tcBorders>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6Colorful-Accent4">
    <w:name w:val="List Table 6 Colorful Accent 4"/>
    <w:basedOn w:val="TableNormal"/>
    <w:uiPriority w:val="51"/>
    <w:rsid w:val="00F527CC"/>
    <w:pPr>
      <w:spacing w:after="0" w:line="240" w:lineRule="auto"/>
    </w:pPr>
    <w:rPr>
      <w:color w:val="991820" w:themeColor="accent4" w:themeShade="BF"/>
    </w:rPr>
    <w:tblPr>
      <w:tblStyleRowBandSize w:val="1"/>
      <w:tblStyleColBandSize w:val="1"/>
      <w:tblBorders>
        <w:top w:val="single" w:sz="4" w:space="0" w:color="CD202C" w:themeColor="accent4"/>
        <w:bottom w:val="single" w:sz="4" w:space="0" w:color="CD202C" w:themeColor="accent4"/>
      </w:tblBorders>
    </w:tblPr>
    <w:tblStylePr w:type="firstRow">
      <w:rPr>
        <w:b/>
        <w:bCs/>
      </w:rPr>
      <w:tblPr/>
      <w:tcPr>
        <w:tcBorders>
          <w:bottom w:val="single" w:sz="4" w:space="0" w:color="CD202C" w:themeColor="accent4"/>
        </w:tcBorders>
      </w:tcPr>
    </w:tblStylePr>
    <w:tblStylePr w:type="lastRow">
      <w:rPr>
        <w:b/>
        <w:bCs/>
      </w:rPr>
      <w:tblPr/>
      <w:tcPr>
        <w:tcBorders>
          <w:top w:val="double" w:sz="4" w:space="0" w:color="CD202C" w:themeColor="accent4"/>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6Colorful-Accent5">
    <w:name w:val="List Table 6 Colorful Accent 5"/>
    <w:basedOn w:val="TableNormal"/>
    <w:uiPriority w:val="51"/>
    <w:rsid w:val="00F527CC"/>
    <w:pPr>
      <w:spacing w:after="0" w:line="240" w:lineRule="auto"/>
    </w:pPr>
    <w:rPr>
      <w:color w:val="003F7F" w:themeColor="accent5" w:themeShade="BF"/>
    </w:rPr>
    <w:tblPr>
      <w:tblStyleRowBandSize w:val="1"/>
      <w:tblStyleColBandSize w:val="1"/>
      <w:tblBorders>
        <w:top w:val="single" w:sz="4" w:space="0" w:color="0055AA" w:themeColor="accent5"/>
        <w:bottom w:val="single" w:sz="4" w:space="0" w:color="0055AA" w:themeColor="accent5"/>
      </w:tblBorders>
    </w:tblPr>
    <w:tblStylePr w:type="firstRow">
      <w:rPr>
        <w:b/>
        <w:bCs/>
      </w:rPr>
      <w:tblPr/>
      <w:tcPr>
        <w:tcBorders>
          <w:bottom w:val="single" w:sz="4" w:space="0" w:color="0055AA" w:themeColor="accent5"/>
        </w:tcBorders>
      </w:tcPr>
    </w:tblStylePr>
    <w:tblStylePr w:type="lastRow">
      <w:rPr>
        <w:b/>
        <w:bCs/>
      </w:rPr>
      <w:tblPr/>
      <w:tcPr>
        <w:tcBorders>
          <w:top w:val="double" w:sz="4" w:space="0" w:color="0055AA" w:themeColor="accent5"/>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6Colorful-Accent6">
    <w:name w:val="List Table 6 Colorful Accent 6"/>
    <w:basedOn w:val="TableNormal"/>
    <w:uiPriority w:val="51"/>
    <w:rsid w:val="00F527CC"/>
    <w:pPr>
      <w:spacing w:after="0" w:line="240" w:lineRule="auto"/>
    </w:pPr>
    <w:rPr>
      <w:color w:val="D88400" w:themeColor="accent6" w:themeShade="BF"/>
    </w:rPr>
    <w:tblPr>
      <w:tblStyleRowBandSize w:val="1"/>
      <w:tblStyleColBandSize w:val="1"/>
      <w:tblBorders>
        <w:top w:val="single" w:sz="4" w:space="0" w:color="FFAA22" w:themeColor="accent6"/>
        <w:bottom w:val="single" w:sz="4" w:space="0" w:color="FFAA22" w:themeColor="accent6"/>
      </w:tblBorders>
    </w:tblPr>
    <w:tblStylePr w:type="firstRow">
      <w:rPr>
        <w:b/>
        <w:bCs/>
      </w:rPr>
      <w:tblPr/>
      <w:tcPr>
        <w:tcBorders>
          <w:bottom w:val="single" w:sz="4" w:space="0" w:color="FFAA22" w:themeColor="accent6"/>
        </w:tcBorders>
      </w:tcPr>
    </w:tblStylePr>
    <w:tblStylePr w:type="lastRow">
      <w:rPr>
        <w:b/>
        <w:bCs/>
      </w:rPr>
      <w:tblPr/>
      <w:tcPr>
        <w:tcBorders>
          <w:top w:val="double" w:sz="4" w:space="0" w:color="FFAA22" w:themeColor="accent6"/>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7Colorful">
    <w:name w:val="List Table 7 Colorful"/>
    <w:basedOn w:val="TableNormal"/>
    <w:uiPriority w:val="52"/>
    <w:rsid w:val="00F527CC"/>
    <w:pPr>
      <w:spacing w:after="0" w:line="240" w:lineRule="auto"/>
    </w:pPr>
    <w:rPr>
      <w:color w:val="40404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text1"/>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527CC"/>
    <w:pPr>
      <w:spacing w:after="0" w:line="240" w:lineRule="auto"/>
    </w:pPr>
    <w:rPr>
      <w:color w:val="93959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7C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7C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7C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7C8CA" w:themeColor="accent1"/>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27CC"/>
    <w:pPr>
      <w:spacing w:after="0" w:line="240" w:lineRule="auto"/>
    </w:pPr>
    <w:rPr>
      <w:color w:val="6D6F7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959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959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959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9598" w:themeColor="accent2"/>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27CC"/>
    <w:pPr>
      <w:spacing w:after="0" w:line="240" w:lineRule="auto"/>
    </w:pPr>
    <w:rPr>
      <w:color w:val="4A4A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64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64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64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6466" w:themeColor="accent3"/>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527CC"/>
    <w:pPr>
      <w:spacing w:after="0" w:line="240" w:lineRule="auto"/>
    </w:pPr>
    <w:rPr>
      <w:color w:val="9918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20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20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20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202C" w:themeColor="accent4"/>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27CC"/>
    <w:pPr>
      <w:spacing w:after="0" w:line="240" w:lineRule="auto"/>
    </w:pPr>
    <w:rPr>
      <w:color w:val="003F7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A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A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A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AA" w:themeColor="accent5"/>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527CC"/>
    <w:pPr>
      <w:spacing w:after="0" w:line="240" w:lineRule="auto"/>
    </w:pPr>
    <w:rPr>
      <w:color w:val="D88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A2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A2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A2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A22" w:themeColor="accent6"/>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527CC"/>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527CC"/>
    <w:rPr>
      <w:rFonts w:ascii="Consolas" w:hAnsi="Consolas"/>
      <w:sz w:val="20"/>
      <w:szCs w:val="20"/>
      <w:lang w:val="en-US"/>
    </w:rPr>
  </w:style>
  <w:style w:type="table" w:styleId="MediumGrid1">
    <w:name w:val="Medium Grid 1"/>
    <w:basedOn w:val="TableNormal"/>
    <w:uiPriority w:val="67"/>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insideV w:val="single" w:sz="8" w:space="0" w:color="6F6F6F" w:themeColor="text1" w:themeTint="BF"/>
      </w:tblBorders>
    </w:tblPr>
    <w:tcPr>
      <w:shd w:val="clear" w:color="auto" w:fill="CFCFCF" w:themeFill="text1" w:themeFillTint="3F"/>
    </w:tcPr>
    <w:tblStylePr w:type="firstRow">
      <w:rPr>
        <w:b/>
        <w:bCs/>
      </w:rPr>
    </w:tblStylePr>
    <w:tblStylePr w:type="lastRow">
      <w:rPr>
        <w:b/>
        <w:bCs/>
      </w:rPr>
      <w:tblPr/>
      <w:tcPr>
        <w:tcBorders>
          <w:top w:val="single" w:sz="18" w:space="0" w:color="6F6F6F" w:themeColor="text1" w:themeTint="BF"/>
        </w:tcBorders>
      </w:tcPr>
    </w:tblStylePr>
    <w:tblStylePr w:type="firstCol">
      <w:rPr>
        <w:b/>
        <w:bCs/>
      </w:rPr>
    </w:tblStylePr>
    <w:tblStylePr w:type="lastCol">
      <w:rPr>
        <w:b/>
        <w:bCs/>
      </w:r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MediumGrid1-Accent1">
    <w:name w:val="Medium Grid 1 Accent 1"/>
    <w:basedOn w:val="TableNormal"/>
    <w:uiPriority w:val="67"/>
    <w:semiHidden/>
    <w:unhideWhenUsed/>
    <w:rsid w:val="00F527CC"/>
    <w:pPr>
      <w:spacing w:after="0" w:line="240" w:lineRule="auto"/>
    </w:pPr>
    <w:tblPr>
      <w:tblStyleRowBandSize w:val="1"/>
      <w:tblStyleColBandSize w:val="1"/>
      <w:tbl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single" w:sz="8" w:space="0" w:color="D5D5D7" w:themeColor="accent1" w:themeTint="BF"/>
        <w:insideV w:val="single" w:sz="8" w:space="0" w:color="D5D5D7" w:themeColor="accent1" w:themeTint="BF"/>
      </w:tblBorders>
    </w:tblPr>
    <w:tcPr>
      <w:shd w:val="clear" w:color="auto" w:fill="F1F1F2" w:themeFill="accent1" w:themeFillTint="3F"/>
    </w:tcPr>
    <w:tblStylePr w:type="firstRow">
      <w:rPr>
        <w:b/>
        <w:bCs/>
      </w:rPr>
    </w:tblStylePr>
    <w:tblStylePr w:type="lastRow">
      <w:rPr>
        <w:b/>
        <w:bCs/>
      </w:rPr>
      <w:tblPr/>
      <w:tcPr>
        <w:tcBorders>
          <w:top w:val="single" w:sz="18" w:space="0" w:color="D5D5D7" w:themeColor="accent1" w:themeTint="BF"/>
        </w:tcBorders>
      </w:tcPr>
    </w:tblStylePr>
    <w:tblStylePr w:type="firstCol">
      <w:rPr>
        <w:b/>
        <w:bCs/>
      </w:rPr>
    </w:tblStylePr>
    <w:tblStylePr w:type="lastCol">
      <w:rPr>
        <w:b/>
        <w:bCs/>
      </w:rPr>
    </w:tblStylePr>
    <w:tblStylePr w:type="band1Vert">
      <w:tblPr/>
      <w:tcPr>
        <w:shd w:val="clear" w:color="auto" w:fill="E3E3E4" w:themeFill="accent1" w:themeFillTint="7F"/>
      </w:tcPr>
    </w:tblStylePr>
    <w:tblStylePr w:type="band1Horz">
      <w:tblPr/>
      <w:tcPr>
        <w:shd w:val="clear" w:color="auto" w:fill="E3E3E4" w:themeFill="accent1" w:themeFillTint="7F"/>
      </w:tcPr>
    </w:tblStylePr>
  </w:style>
  <w:style w:type="table" w:styleId="MediumGrid1-Accent2">
    <w:name w:val="Medium Grid 1 Accent 2"/>
    <w:basedOn w:val="TableNormal"/>
    <w:uiPriority w:val="67"/>
    <w:semiHidden/>
    <w:unhideWhenUsed/>
    <w:rsid w:val="00F527CC"/>
    <w:pPr>
      <w:spacing w:after="0" w:line="240" w:lineRule="auto"/>
    </w:pPr>
    <w:tblPr>
      <w:tblStyleRowBandSize w:val="1"/>
      <w:tblStyleColBandSize w:val="1"/>
      <w:tbl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single" w:sz="8" w:space="0" w:color="ADAFB1" w:themeColor="accent2" w:themeTint="BF"/>
        <w:insideV w:val="single" w:sz="8" w:space="0" w:color="ADAFB1" w:themeColor="accent2" w:themeTint="BF"/>
      </w:tblBorders>
    </w:tblPr>
    <w:tcPr>
      <w:shd w:val="clear" w:color="auto" w:fill="E4E4E5" w:themeFill="accent2" w:themeFillTint="3F"/>
    </w:tcPr>
    <w:tblStylePr w:type="firstRow">
      <w:rPr>
        <w:b/>
        <w:bCs/>
      </w:rPr>
    </w:tblStylePr>
    <w:tblStylePr w:type="lastRow">
      <w:rPr>
        <w:b/>
        <w:bCs/>
      </w:rPr>
      <w:tblPr/>
      <w:tcPr>
        <w:tcBorders>
          <w:top w:val="single" w:sz="18" w:space="0" w:color="ADAFB1" w:themeColor="accent2" w:themeTint="BF"/>
        </w:tcBorders>
      </w:tcPr>
    </w:tblStylePr>
    <w:tblStylePr w:type="firstCol">
      <w:rPr>
        <w:b/>
        <w:bCs/>
      </w:rPr>
    </w:tblStylePr>
    <w:tblStylePr w:type="lastCol">
      <w:rPr>
        <w:b/>
        <w:bCs/>
      </w:rPr>
    </w:tblStylePr>
    <w:tblStylePr w:type="band1Vert">
      <w:tblPr/>
      <w:tcPr>
        <w:shd w:val="clear" w:color="auto" w:fill="C9CACB" w:themeFill="accent2" w:themeFillTint="7F"/>
      </w:tcPr>
    </w:tblStylePr>
    <w:tblStylePr w:type="band1Horz">
      <w:tblPr/>
      <w:tcPr>
        <w:shd w:val="clear" w:color="auto" w:fill="C9CACB" w:themeFill="accent2" w:themeFillTint="7F"/>
      </w:tcPr>
    </w:tblStylePr>
  </w:style>
  <w:style w:type="table" w:styleId="MediumGrid1-Accent3">
    <w:name w:val="Medium Grid 1 Accent 3"/>
    <w:basedOn w:val="TableNormal"/>
    <w:uiPriority w:val="67"/>
    <w:semiHidden/>
    <w:unhideWhenUsed/>
    <w:rsid w:val="00F527CC"/>
    <w:pPr>
      <w:spacing w:after="0" w:line="240" w:lineRule="auto"/>
    </w:pPr>
    <w:tblPr>
      <w:tblStyleRowBandSize w:val="1"/>
      <w:tblStyleColBandSize w:val="1"/>
      <w:tbl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single" w:sz="8" w:space="0" w:color="898A8C" w:themeColor="accent3" w:themeTint="BF"/>
        <w:insideV w:val="single" w:sz="8" w:space="0" w:color="898A8C" w:themeColor="accent3" w:themeTint="BF"/>
      </w:tblBorders>
    </w:tblPr>
    <w:tcPr>
      <w:shd w:val="clear" w:color="auto" w:fill="D8D8D9" w:themeFill="accent3" w:themeFillTint="3F"/>
    </w:tcPr>
    <w:tblStylePr w:type="firstRow">
      <w:rPr>
        <w:b/>
        <w:bCs/>
      </w:rPr>
    </w:tblStylePr>
    <w:tblStylePr w:type="lastRow">
      <w:rPr>
        <w:b/>
        <w:bCs/>
      </w:rPr>
      <w:tblPr/>
      <w:tcPr>
        <w:tcBorders>
          <w:top w:val="single" w:sz="18" w:space="0" w:color="898A8C" w:themeColor="accent3" w:themeTint="BF"/>
        </w:tcBorders>
      </w:tcPr>
    </w:tblStylePr>
    <w:tblStylePr w:type="firstCol">
      <w:rPr>
        <w:b/>
        <w:bCs/>
      </w:rPr>
    </w:tblStylePr>
    <w:tblStylePr w:type="lastCol">
      <w:rPr>
        <w:b/>
        <w:bCs/>
      </w:rPr>
    </w:tblStylePr>
    <w:tblStylePr w:type="band1Vert">
      <w:tblPr/>
      <w:tcPr>
        <w:shd w:val="clear" w:color="auto" w:fill="B0B1B3" w:themeFill="accent3" w:themeFillTint="7F"/>
      </w:tcPr>
    </w:tblStylePr>
    <w:tblStylePr w:type="band1Horz">
      <w:tblPr/>
      <w:tcPr>
        <w:shd w:val="clear" w:color="auto" w:fill="B0B1B3" w:themeFill="accent3" w:themeFillTint="7F"/>
      </w:tcPr>
    </w:tblStylePr>
  </w:style>
  <w:style w:type="table" w:styleId="MediumGrid1-Accent4">
    <w:name w:val="Medium Grid 1 Accent 4"/>
    <w:basedOn w:val="TableNormal"/>
    <w:uiPriority w:val="67"/>
    <w:semiHidden/>
    <w:unhideWhenUsed/>
    <w:rsid w:val="00F527CC"/>
    <w:pPr>
      <w:spacing w:after="0" w:line="240" w:lineRule="auto"/>
    </w:pPr>
    <w:tblPr>
      <w:tblStyleRowBandSize w:val="1"/>
      <w:tblStyleColBandSize w:val="1"/>
      <w:tbl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single" w:sz="8" w:space="0" w:color="E34E57" w:themeColor="accent4" w:themeTint="BF"/>
        <w:insideV w:val="single" w:sz="8" w:space="0" w:color="E34E57" w:themeColor="accent4" w:themeTint="BF"/>
      </w:tblBorders>
    </w:tblPr>
    <w:tcPr>
      <w:shd w:val="clear" w:color="auto" w:fill="F6C4C7" w:themeFill="accent4" w:themeFillTint="3F"/>
    </w:tcPr>
    <w:tblStylePr w:type="firstRow">
      <w:rPr>
        <w:b/>
        <w:bCs/>
      </w:rPr>
    </w:tblStylePr>
    <w:tblStylePr w:type="lastRow">
      <w:rPr>
        <w:b/>
        <w:bCs/>
      </w:rPr>
      <w:tblPr/>
      <w:tcPr>
        <w:tcBorders>
          <w:top w:val="single" w:sz="18" w:space="0" w:color="E34E57" w:themeColor="accent4" w:themeTint="BF"/>
        </w:tcBorders>
      </w:tcPr>
    </w:tblStylePr>
    <w:tblStylePr w:type="firstCol">
      <w:rPr>
        <w:b/>
        <w:bCs/>
      </w:rPr>
    </w:tblStylePr>
    <w:tblStylePr w:type="lastCol">
      <w:rPr>
        <w:b/>
        <w:bCs/>
      </w:rPr>
    </w:tblStylePr>
    <w:tblStylePr w:type="band1Vert">
      <w:tblPr/>
      <w:tcPr>
        <w:shd w:val="clear" w:color="auto" w:fill="EC898F" w:themeFill="accent4" w:themeFillTint="7F"/>
      </w:tcPr>
    </w:tblStylePr>
    <w:tblStylePr w:type="band1Horz">
      <w:tblPr/>
      <w:tcPr>
        <w:shd w:val="clear" w:color="auto" w:fill="EC898F" w:themeFill="accent4" w:themeFillTint="7F"/>
      </w:tcPr>
    </w:tblStylePr>
  </w:style>
  <w:style w:type="table" w:styleId="MediumGrid1-Accent5">
    <w:name w:val="Medium Grid 1 Accent 5"/>
    <w:basedOn w:val="TableNormal"/>
    <w:uiPriority w:val="67"/>
    <w:semiHidden/>
    <w:unhideWhenUsed/>
    <w:rsid w:val="00F527CC"/>
    <w:pPr>
      <w:spacing w:after="0" w:line="240" w:lineRule="auto"/>
    </w:pPr>
    <w:tblPr>
      <w:tblStyleRowBandSize w:val="1"/>
      <w:tblStyleColBandSize w:val="1"/>
      <w:tbl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single" w:sz="8" w:space="0" w:color="007FFF" w:themeColor="accent5" w:themeTint="BF"/>
        <w:insideV w:val="single" w:sz="8" w:space="0" w:color="007FFF" w:themeColor="accent5" w:themeTint="BF"/>
      </w:tblBorders>
    </w:tblPr>
    <w:tcPr>
      <w:shd w:val="clear" w:color="auto" w:fill="ABD4FF" w:themeFill="accent5" w:themeFillTint="3F"/>
    </w:tcPr>
    <w:tblStylePr w:type="firstRow">
      <w:rPr>
        <w:b/>
        <w:bCs/>
      </w:rPr>
    </w:tblStylePr>
    <w:tblStylePr w:type="lastRow">
      <w:rPr>
        <w:b/>
        <w:bCs/>
      </w:rPr>
      <w:tblPr/>
      <w:tcPr>
        <w:tcBorders>
          <w:top w:val="single" w:sz="18" w:space="0" w:color="007FFF" w:themeColor="accent5" w:themeTint="BF"/>
        </w:tcBorders>
      </w:tcPr>
    </w:tblStylePr>
    <w:tblStylePr w:type="firstCol">
      <w:rPr>
        <w:b/>
        <w:bCs/>
      </w:rPr>
    </w:tblStylePr>
    <w:tblStylePr w:type="lastCol">
      <w:rPr>
        <w:b/>
        <w:bCs/>
      </w:rPr>
    </w:tblStylePr>
    <w:tblStylePr w:type="band1Vert">
      <w:tblPr/>
      <w:tcPr>
        <w:shd w:val="clear" w:color="auto" w:fill="55AAFF" w:themeFill="accent5" w:themeFillTint="7F"/>
      </w:tcPr>
    </w:tblStylePr>
    <w:tblStylePr w:type="band1Horz">
      <w:tblPr/>
      <w:tcPr>
        <w:shd w:val="clear" w:color="auto" w:fill="55AAFF" w:themeFill="accent5" w:themeFillTint="7F"/>
      </w:tcPr>
    </w:tblStylePr>
  </w:style>
  <w:style w:type="table" w:styleId="MediumGrid1-Accent6">
    <w:name w:val="Medium Grid 1 Accent 6"/>
    <w:basedOn w:val="TableNormal"/>
    <w:uiPriority w:val="67"/>
    <w:semiHidden/>
    <w:unhideWhenUsed/>
    <w:rsid w:val="00F527CC"/>
    <w:pPr>
      <w:spacing w:after="0" w:line="240" w:lineRule="auto"/>
    </w:pPr>
    <w:tblPr>
      <w:tblStyleRowBandSize w:val="1"/>
      <w:tblStyleColBandSize w:val="1"/>
      <w:tbl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single" w:sz="8" w:space="0" w:color="FFBE59" w:themeColor="accent6" w:themeTint="BF"/>
        <w:insideV w:val="single" w:sz="8" w:space="0" w:color="FFBE59" w:themeColor="accent6" w:themeTint="BF"/>
      </w:tblBorders>
    </w:tblPr>
    <w:tcPr>
      <w:shd w:val="clear" w:color="auto" w:fill="FFE9C8" w:themeFill="accent6" w:themeFillTint="3F"/>
    </w:tcPr>
    <w:tblStylePr w:type="firstRow">
      <w:rPr>
        <w:b/>
        <w:bCs/>
      </w:rPr>
    </w:tblStylePr>
    <w:tblStylePr w:type="lastRow">
      <w:rPr>
        <w:b/>
        <w:bCs/>
      </w:rPr>
      <w:tblPr/>
      <w:tcPr>
        <w:tcBorders>
          <w:top w:val="single" w:sz="18" w:space="0" w:color="FFBE59" w:themeColor="accent6" w:themeTint="BF"/>
        </w:tcBorders>
      </w:tcPr>
    </w:tblStylePr>
    <w:tblStylePr w:type="firstCol">
      <w:rPr>
        <w:b/>
        <w:bCs/>
      </w:rPr>
    </w:tblStylePr>
    <w:tblStylePr w:type="lastCol">
      <w:rPr>
        <w:b/>
        <w:bCs/>
      </w:rPr>
    </w:tblStylePr>
    <w:tblStylePr w:type="band1Vert">
      <w:tblPr/>
      <w:tcPr>
        <w:shd w:val="clear" w:color="auto" w:fill="FFD490" w:themeFill="accent6" w:themeFillTint="7F"/>
      </w:tcPr>
    </w:tblStylePr>
    <w:tblStylePr w:type="band1Horz">
      <w:tblPr/>
      <w:tcPr>
        <w:shd w:val="clear" w:color="auto" w:fill="FFD490" w:themeFill="accent6" w:themeFillTint="7F"/>
      </w:tcPr>
    </w:tblStylePr>
  </w:style>
  <w:style w:type="table" w:styleId="MediumGrid2">
    <w:name w:val="Medium Grid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cPr>
      <w:shd w:val="clear" w:color="auto" w:fill="CFCFCF" w:themeFill="text1" w:themeFillTint="3F"/>
    </w:tcPr>
    <w:tblStylePr w:type="firstRow">
      <w:rPr>
        <w:b/>
        <w:bCs/>
        <w:color w:val="404040" w:themeColor="text1"/>
      </w:rPr>
      <w:tblPr/>
      <w:tcPr>
        <w:shd w:val="clear" w:color="auto" w:fill="ECECEC" w:themeFill="tex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8D8D8" w:themeFill="text1" w:themeFillTint="33"/>
      </w:tcPr>
    </w:tblStylePr>
    <w:tblStylePr w:type="band1Vert">
      <w:tblPr/>
      <w:tcPr>
        <w:shd w:val="clear" w:color="auto" w:fill="9F9F9F" w:themeFill="text1" w:themeFillTint="7F"/>
      </w:tcPr>
    </w:tblStylePr>
    <w:tblStylePr w:type="band1Horz">
      <w:tblPr/>
      <w:tcPr>
        <w:tcBorders>
          <w:insideH w:val="single" w:sz="6" w:space="0" w:color="404040" w:themeColor="text1"/>
          <w:insideV w:val="single" w:sz="6" w:space="0" w:color="404040" w:themeColor="text1"/>
        </w:tcBorders>
        <w:shd w:val="clear" w:color="auto" w:fill="9F9F9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insideH w:val="single" w:sz="8" w:space="0" w:color="C7C8CA" w:themeColor="accent1"/>
        <w:insideV w:val="single" w:sz="8" w:space="0" w:color="C7C8CA" w:themeColor="accent1"/>
      </w:tblBorders>
    </w:tblPr>
    <w:tcPr>
      <w:shd w:val="clear" w:color="auto" w:fill="F1F1F2" w:themeFill="accent1" w:themeFillTint="3F"/>
    </w:tcPr>
    <w:tblStylePr w:type="firstRow">
      <w:rPr>
        <w:b/>
        <w:bCs/>
        <w:color w:val="404040" w:themeColor="text1"/>
      </w:rPr>
      <w:tblPr/>
      <w:tcPr>
        <w:shd w:val="clear" w:color="auto" w:fill="F9F9F9" w:themeFill="accen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3F3F4" w:themeFill="accent1" w:themeFillTint="33"/>
      </w:tcPr>
    </w:tblStylePr>
    <w:tblStylePr w:type="band1Vert">
      <w:tblPr/>
      <w:tcPr>
        <w:shd w:val="clear" w:color="auto" w:fill="E3E3E4" w:themeFill="accent1" w:themeFillTint="7F"/>
      </w:tcPr>
    </w:tblStylePr>
    <w:tblStylePr w:type="band1Horz">
      <w:tblPr/>
      <w:tcPr>
        <w:tcBorders>
          <w:insideH w:val="single" w:sz="6" w:space="0" w:color="C7C8CA" w:themeColor="accent1"/>
          <w:insideV w:val="single" w:sz="6" w:space="0" w:color="C7C8CA" w:themeColor="accent1"/>
        </w:tcBorders>
        <w:shd w:val="clear" w:color="auto" w:fill="E3E3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insideH w:val="single" w:sz="8" w:space="0" w:color="939598" w:themeColor="accent2"/>
        <w:insideV w:val="single" w:sz="8" w:space="0" w:color="939598" w:themeColor="accent2"/>
      </w:tblBorders>
    </w:tblPr>
    <w:tcPr>
      <w:shd w:val="clear" w:color="auto" w:fill="E4E4E5" w:themeFill="accent2" w:themeFillTint="3F"/>
    </w:tcPr>
    <w:tblStylePr w:type="firstRow">
      <w:rPr>
        <w:b/>
        <w:bCs/>
        <w:color w:val="404040" w:themeColor="text1"/>
      </w:rPr>
      <w:tblPr/>
      <w:tcPr>
        <w:shd w:val="clear" w:color="auto" w:fill="F4F4F4" w:themeFill="accent2"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9E9EA" w:themeFill="accent2" w:themeFillTint="33"/>
      </w:tcPr>
    </w:tblStylePr>
    <w:tblStylePr w:type="band1Vert">
      <w:tblPr/>
      <w:tcPr>
        <w:shd w:val="clear" w:color="auto" w:fill="C9CACB" w:themeFill="accent2" w:themeFillTint="7F"/>
      </w:tcPr>
    </w:tblStylePr>
    <w:tblStylePr w:type="band1Horz">
      <w:tblPr/>
      <w:tcPr>
        <w:tcBorders>
          <w:insideH w:val="single" w:sz="6" w:space="0" w:color="939598" w:themeColor="accent2"/>
          <w:insideV w:val="single" w:sz="6" w:space="0" w:color="939598" w:themeColor="accent2"/>
        </w:tcBorders>
        <w:shd w:val="clear" w:color="auto" w:fill="C9CAC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insideH w:val="single" w:sz="8" w:space="0" w:color="636466" w:themeColor="accent3"/>
        <w:insideV w:val="single" w:sz="8" w:space="0" w:color="636466" w:themeColor="accent3"/>
      </w:tblBorders>
    </w:tblPr>
    <w:tcPr>
      <w:shd w:val="clear" w:color="auto" w:fill="D8D8D9" w:themeFill="accent3" w:themeFillTint="3F"/>
    </w:tcPr>
    <w:tblStylePr w:type="firstRow">
      <w:rPr>
        <w:b/>
        <w:bCs/>
        <w:color w:val="404040" w:themeColor="text1"/>
      </w:rPr>
      <w:tblPr/>
      <w:tcPr>
        <w:shd w:val="clear" w:color="auto" w:fill="EFEFF0" w:themeFill="accent3"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FDFE0" w:themeFill="accent3" w:themeFillTint="33"/>
      </w:tcPr>
    </w:tblStylePr>
    <w:tblStylePr w:type="band1Vert">
      <w:tblPr/>
      <w:tcPr>
        <w:shd w:val="clear" w:color="auto" w:fill="B0B1B3" w:themeFill="accent3" w:themeFillTint="7F"/>
      </w:tcPr>
    </w:tblStylePr>
    <w:tblStylePr w:type="band1Horz">
      <w:tblPr/>
      <w:tcPr>
        <w:tcBorders>
          <w:insideH w:val="single" w:sz="6" w:space="0" w:color="636466" w:themeColor="accent3"/>
          <w:insideV w:val="single" w:sz="6" w:space="0" w:color="636466" w:themeColor="accent3"/>
        </w:tcBorders>
        <w:shd w:val="clear" w:color="auto" w:fill="B0B1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insideH w:val="single" w:sz="8" w:space="0" w:color="CD202C" w:themeColor="accent4"/>
        <w:insideV w:val="single" w:sz="8" w:space="0" w:color="CD202C" w:themeColor="accent4"/>
      </w:tblBorders>
    </w:tblPr>
    <w:tcPr>
      <w:shd w:val="clear" w:color="auto" w:fill="F6C4C7" w:themeFill="accent4" w:themeFillTint="3F"/>
    </w:tcPr>
    <w:tblStylePr w:type="firstRow">
      <w:rPr>
        <w:b/>
        <w:bCs/>
        <w:color w:val="404040" w:themeColor="text1"/>
      </w:rPr>
      <w:tblPr/>
      <w:tcPr>
        <w:shd w:val="clear" w:color="auto" w:fill="FBE7E8" w:themeFill="accent4"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7CFD2" w:themeFill="accent4" w:themeFillTint="33"/>
      </w:tcPr>
    </w:tblStylePr>
    <w:tblStylePr w:type="band1Vert">
      <w:tblPr/>
      <w:tcPr>
        <w:shd w:val="clear" w:color="auto" w:fill="EC898F" w:themeFill="accent4" w:themeFillTint="7F"/>
      </w:tcPr>
    </w:tblStylePr>
    <w:tblStylePr w:type="band1Horz">
      <w:tblPr/>
      <w:tcPr>
        <w:tcBorders>
          <w:insideH w:val="single" w:sz="6" w:space="0" w:color="CD202C" w:themeColor="accent4"/>
          <w:insideV w:val="single" w:sz="6" w:space="0" w:color="CD202C" w:themeColor="accent4"/>
        </w:tcBorders>
        <w:shd w:val="clear" w:color="auto" w:fill="EC898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insideH w:val="single" w:sz="8" w:space="0" w:color="0055AA" w:themeColor="accent5"/>
        <w:insideV w:val="single" w:sz="8" w:space="0" w:color="0055AA" w:themeColor="accent5"/>
      </w:tblBorders>
    </w:tblPr>
    <w:tcPr>
      <w:shd w:val="clear" w:color="auto" w:fill="ABD4FF" w:themeFill="accent5" w:themeFillTint="3F"/>
    </w:tcPr>
    <w:tblStylePr w:type="firstRow">
      <w:rPr>
        <w:b/>
        <w:bCs/>
        <w:color w:val="404040" w:themeColor="text1"/>
      </w:rPr>
      <w:tblPr/>
      <w:tcPr>
        <w:shd w:val="clear" w:color="auto" w:fill="DDEEFF" w:themeFill="accent5"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BBDCFF" w:themeFill="accent5" w:themeFillTint="33"/>
      </w:tcPr>
    </w:tblStylePr>
    <w:tblStylePr w:type="band1Vert">
      <w:tblPr/>
      <w:tcPr>
        <w:shd w:val="clear" w:color="auto" w:fill="55AAFF" w:themeFill="accent5" w:themeFillTint="7F"/>
      </w:tcPr>
    </w:tblStylePr>
    <w:tblStylePr w:type="band1Horz">
      <w:tblPr/>
      <w:tcPr>
        <w:tcBorders>
          <w:insideH w:val="single" w:sz="6" w:space="0" w:color="0055AA" w:themeColor="accent5"/>
          <w:insideV w:val="single" w:sz="6" w:space="0" w:color="0055AA" w:themeColor="accent5"/>
        </w:tcBorders>
        <w:shd w:val="clear" w:color="auto" w:fill="55A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insideH w:val="single" w:sz="8" w:space="0" w:color="FFAA22" w:themeColor="accent6"/>
        <w:insideV w:val="single" w:sz="8" w:space="0" w:color="FFAA22" w:themeColor="accent6"/>
      </w:tblBorders>
    </w:tblPr>
    <w:tcPr>
      <w:shd w:val="clear" w:color="auto" w:fill="FFE9C8" w:themeFill="accent6" w:themeFillTint="3F"/>
    </w:tcPr>
    <w:tblStylePr w:type="firstRow">
      <w:rPr>
        <w:b/>
        <w:bCs/>
        <w:color w:val="404040" w:themeColor="text1"/>
      </w:rPr>
      <w:tblPr/>
      <w:tcPr>
        <w:shd w:val="clear" w:color="auto" w:fill="FFF6E9" w:themeFill="accent6"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FEDD2" w:themeFill="accent6" w:themeFillTint="33"/>
      </w:tcPr>
    </w:tblStylePr>
    <w:tblStylePr w:type="band1Vert">
      <w:tblPr/>
      <w:tcPr>
        <w:shd w:val="clear" w:color="auto" w:fill="FFD490" w:themeFill="accent6" w:themeFillTint="7F"/>
      </w:tcPr>
    </w:tblStylePr>
    <w:tblStylePr w:type="band1Horz">
      <w:tblPr/>
      <w:tcPr>
        <w:tcBorders>
          <w:insideH w:val="single" w:sz="6" w:space="0" w:color="FFAA22" w:themeColor="accent6"/>
          <w:insideV w:val="single" w:sz="6" w:space="0" w:color="FFAA22" w:themeColor="accent6"/>
        </w:tcBorders>
        <w:shd w:val="clear" w:color="auto" w:fill="FFD49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text1" w:themeFillTint="7F"/>
      </w:tcPr>
    </w:tblStylePr>
  </w:style>
  <w:style w:type="table" w:styleId="MediumGrid3-Accent1">
    <w:name w:val="Medium Grid 3 Accent 1"/>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C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C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C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C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3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3E4" w:themeFill="accent1" w:themeFillTint="7F"/>
      </w:tcPr>
    </w:tblStylePr>
  </w:style>
  <w:style w:type="table" w:styleId="MediumGrid3-Accent2">
    <w:name w:val="Medium Grid 3 Accent 2"/>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4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959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959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959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959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A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ACB" w:themeFill="accent2" w:themeFillTint="7F"/>
      </w:tcPr>
    </w:tblStylePr>
  </w:style>
  <w:style w:type="table" w:styleId="MediumGrid3-Accent3">
    <w:name w:val="Medium Grid 3 Accent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8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4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4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1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1B3" w:themeFill="accent3" w:themeFillTint="7F"/>
      </w:tcPr>
    </w:tblStylePr>
  </w:style>
  <w:style w:type="table" w:styleId="MediumGrid3-Accent4">
    <w:name w:val="Medium Grid 3 Accent 4"/>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4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20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20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20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20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98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98F" w:themeFill="accent4" w:themeFillTint="7F"/>
      </w:tcPr>
    </w:tblStylePr>
  </w:style>
  <w:style w:type="table" w:styleId="MediumGrid3-Accent5">
    <w:name w:val="Medium Grid 3 Accent 5"/>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A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A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A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A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AFF" w:themeFill="accent5" w:themeFillTint="7F"/>
      </w:tcPr>
    </w:tblStylePr>
  </w:style>
  <w:style w:type="table" w:styleId="MediumGrid3-Accent6">
    <w:name w:val="Medium Grid 3 Accent 6"/>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A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A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A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A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90" w:themeFill="accent6" w:themeFillTint="7F"/>
      </w:tcPr>
    </w:tblStylePr>
  </w:style>
  <w:style w:type="table" w:styleId="MediumList1">
    <w:name w:val="Medium Lis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404040" w:themeColor="text1"/>
        <w:bottom w:val="single" w:sz="8" w:space="0" w:color="404040" w:themeColor="text1"/>
      </w:tblBorders>
    </w:tblPr>
    <w:tblStylePr w:type="firstRow">
      <w:rPr>
        <w:rFonts w:asciiTheme="majorHAnsi" w:eastAsiaTheme="majorEastAsia" w:hAnsiTheme="majorHAnsi" w:cstheme="majorBidi"/>
      </w:rPr>
      <w:tblPr/>
      <w:tcPr>
        <w:tcBorders>
          <w:top w:val="nil"/>
          <w:bottom w:val="single" w:sz="8" w:space="0" w:color="404040" w:themeColor="text1"/>
        </w:tcBorders>
      </w:tcPr>
    </w:tblStylePr>
    <w:tblStylePr w:type="lastRow">
      <w:rPr>
        <w:b/>
        <w:bCs/>
        <w:color w:val="FFFFFF" w:themeColor="text2"/>
      </w:rPr>
      <w:tblPr/>
      <w:tcPr>
        <w:tcBorders>
          <w:top w:val="single" w:sz="8" w:space="0" w:color="404040" w:themeColor="text1"/>
          <w:bottom w:val="single" w:sz="8" w:space="0" w:color="404040" w:themeColor="text1"/>
        </w:tcBorders>
      </w:tcPr>
    </w:tblStylePr>
    <w:tblStylePr w:type="firstCol">
      <w:rPr>
        <w:b/>
        <w:bCs/>
      </w:rPr>
    </w:tblStylePr>
    <w:tblStylePr w:type="lastCol">
      <w:rPr>
        <w:b/>
        <w:bCs/>
      </w:rPr>
      <w:tblPr/>
      <w:tcPr>
        <w:tcBorders>
          <w:top w:val="single" w:sz="8" w:space="0" w:color="404040" w:themeColor="text1"/>
          <w:bottom w:val="single" w:sz="8" w:space="0" w:color="404040" w:themeColor="text1"/>
        </w:tcBorders>
      </w:tcPr>
    </w:tblStylePr>
    <w:tblStylePr w:type="band1Vert">
      <w:tblPr/>
      <w:tcPr>
        <w:shd w:val="clear" w:color="auto" w:fill="CFCFCF" w:themeFill="text1" w:themeFillTint="3F"/>
      </w:tcPr>
    </w:tblStylePr>
    <w:tblStylePr w:type="band1Horz">
      <w:tblPr/>
      <w:tcPr>
        <w:shd w:val="clear" w:color="auto" w:fill="CFCFCF" w:themeFill="text1" w:themeFillTint="3F"/>
      </w:tcPr>
    </w:tblStylePr>
  </w:style>
  <w:style w:type="table" w:styleId="MediumList1-Accent1">
    <w:name w:val="Medium List 1 Accen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7C8CA" w:themeColor="accent1"/>
        <w:bottom w:val="single" w:sz="8" w:space="0" w:color="C7C8CA" w:themeColor="accent1"/>
      </w:tblBorders>
    </w:tblPr>
    <w:tblStylePr w:type="firstRow">
      <w:rPr>
        <w:rFonts w:asciiTheme="majorHAnsi" w:eastAsiaTheme="majorEastAsia" w:hAnsiTheme="majorHAnsi" w:cstheme="majorBidi"/>
      </w:rPr>
      <w:tblPr/>
      <w:tcPr>
        <w:tcBorders>
          <w:top w:val="nil"/>
          <w:bottom w:val="single" w:sz="8" w:space="0" w:color="C7C8CA" w:themeColor="accent1"/>
        </w:tcBorders>
      </w:tcPr>
    </w:tblStylePr>
    <w:tblStylePr w:type="lastRow">
      <w:rPr>
        <w:b/>
        <w:bCs/>
        <w:color w:val="FFFFFF" w:themeColor="text2"/>
      </w:rPr>
      <w:tblPr/>
      <w:tcPr>
        <w:tcBorders>
          <w:top w:val="single" w:sz="8" w:space="0" w:color="C7C8CA" w:themeColor="accent1"/>
          <w:bottom w:val="single" w:sz="8" w:space="0" w:color="C7C8CA" w:themeColor="accent1"/>
        </w:tcBorders>
      </w:tcPr>
    </w:tblStylePr>
    <w:tblStylePr w:type="firstCol">
      <w:rPr>
        <w:b/>
        <w:bCs/>
      </w:rPr>
    </w:tblStylePr>
    <w:tblStylePr w:type="lastCol">
      <w:rPr>
        <w:b/>
        <w:bCs/>
      </w:rPr>
      <w:tblPr/>
      <w:tcPr>
        <w:tcBorders>
          <w:top w:val="single" w:sz="8" w:space="0" w:color="C7C8CA" w:themeColor="accent1"/>
          <w:bottom w:val="single" w:sz="8" w:space="0" w:color="C7C8CA" w:themeColor="accent1"/>
        </w:tcBorders>
      </w:tcPr>
    </w:tblStylePr>
    <w:tblStylePr w:type="band1Vert">
      <w:tblPr/>
      <w:tcPr>
        <w:shd w:val="clear" w:color="auto" w:fill="F1F1F2" w:themeFill="accent1" w:themeFillTint="3F"/>
      </w:tcPr>
    </w:tblStylePr>
    <w:tblStylePr w:type="band1Horz">
      <w:tblPr/>
      <w:tcPr>
        <w:shd w:val="clear" w:color="auto" w:fill="F1F1F2" w:themeFill="accent1" w:themeFillTint="3F"/>
      </w:tcPr>
    </w:tblStylePr>
  </w:style>
  <w:style w:type="table" w:styleId="MediumList1-Accent2">
    <w:name w:val="Medium List 1 Accent 2"/>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939598" w:themeColor="accent2"/>
        <w:bottom w:val="single" w:sz="8" w:space="0" w:color="939598" w:themeColor="accent2"/>
      </w:tblBorders>
    </w:tblPr>
    <w:tblStylePr w:type="firstRow">
      <w:rPr>
        <w:rFonts w:asciiTheme="majorHAnsi" w:eastAsiaTheme="majorEastAsia" w:hAnsiTheme="majorHAnsi" w:cstheme="majorBidi"/>
      </w:rPr>
      <w:tblPr/>
      <w:tcPr>
        <w:tcBorders>
          <w:top w:val="nil"/>
          <w:bottom w:val="single" w:sz="8" w:space="0" w:color="939598" w:themeColor="accent2"/>
        </w:tcBorders>
      </w:tcPr>
    </w:tblStylePr>
    <w:tblStylePr w:type="lastRow">
      <w:rPr>
        <w:b/>
        <w:bCs/>
        <w:color w:val="FFFFFF" w:themeColor="text2"/>
      </w:rPr>
      <w:tblPr/>
      <w:tcPr>
        <w:tcBorders>
          <w:top w:val="single" w:sz="8" w:space="0" w:color="939598" w:themeColor="accent2"/>
          <w:bottom w:val="single" w:sz="8" w:space="0" w:color="939598" w:themeColor="accent2"/>
        </w:tcBorders>
      </w:tcPr>
    </w:tblStylePr>
    <w:tblStylePr w:type="firstCol">
      <w:rPr>
        <w:b/>
        <w:bCs/>
      </w:rPr>
    </w:tblStylePr>
    <w:tblStylePr w:type="lastCol">
      <w:rPr>
        <w:b/>
        <w:bCs/>
      </w:rPr>
      <w:tblPr/>
      <w:tcPr>
        <w:tcBorders>
          <w:top w:val="single" w:sz="8" w:space="0" w:color="939598" w:themeColor="accent2"/>
          <w:bottom w:val="single" w:sz="8" w:space="0" w:color="939598" w:themeColor="accent2"/>
        </w:tcBorders>
      </w:tcPr>
    </w:tblStylePr>
    <w:tblStylePr w:type="band1Vert">
      <w:tblPr/>
      <w:tcPr>
        <w:shd w:val="clear" w:color="auto" w:fill="E4E4E5" w:themeFill="accent2" w:themeFillTint="3F"/>
      </w:tcPr>
    </w:tblStylePr>
    <w:tblStylePr w:type="band1Horz">
      <w:tblPr/>
      <w:tcPr>
        <w:shd w:val="clear" w:color="auto" w:fill="E4E4E5" w:themeFill="accent2" w:themeFillTint="3F"/>
      </w:tcPr>
    </w:tblStylePr>
  </w:style>
  <w:style w:type="table" w:styleId="MediumList1-Accent3">
    <w:name w:val="Medium List 1 Accent 3"/>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636466" w:themeColor="accent3"/>
        <w:bottom w:val="single" w:sz="8" w:space="0" w:color="636466" w:themeColor="accent3"/>
      </w:tblBorders>
    </w:tblPr>
    <w:tblStylePr w:type="firstRow">
      <w:rPr>
        <w:rFonts w:asciiTheme="majorHAnsi" w:eastAsiaTheme="majorEastAsia" w:hAnsiTheme="majorHAnsi" w:cstheme="majorBidi"/>
      </w:rPr>
      <w:tblPr/>
      <w:tcPr>
        <w:tcBorders>
          <w:top w:val="nil"/>
          <w:bottom w:val="single" w:sz="8" w:space="0" w:color="636466" w:themeColor="accent3"/>
        </w:tcBorders>
      </w:tcPr>
    </w:tblStylePr>
    <w:tblStylePr w:type="lastRow">
      <w:rPr>
        <w:b/>
        <w:bCs/>
        <w:color w:val="FFFFFF" w:themeColor="text2"/>
      </w:rPr>
      <w:tblPr/>
      <w:tcPr>
        <w:tcBorders>
          <w:top w:val="single" w:sz="8" w:space="0" w:color="636466" w:themeColor="accent3"/>
          <w:bottom w:val="single" w:sz="8" w:space="0" w:color="636466" w:themeColor="accent3"/>
        </w:tcBorders>
      </w:tcPr>
    </w:tblStylePr>
    <w:tblStylePr w:type="firstCol">
      <w:rPr>
        <w:b/>
        <w:bCs/>
      </w:rPr>
    </w:tblStylePr>
    <w:tblStylePr w:type="lastCol">
      <w:rPr>
        <w:b/>
        <w:bCs/>
      </w:rPr>
      <w:tblPr/>
      <w:tcPr>
        <w:tcBorders>
          <w:top w:val="single" w:sz="8" w:space="0" w:color="636466" w:themeColor="accent3"/>
          <w:bottom w:val="single" w:sz="8" w:space="0" w:color="636466" w:themeColor="accent3"/>
        </w:tcBorders>
      </w:tcPr>
    </w:tblStylePr>
    <w:tblStylePr w:type="band1Vert">
      <w:tblPr/>
      <w:tcPr>
        <w:shd w:val="clear" w:color="auto" w:fill="D8D8D9" w:themeFill="accent3" w:themeFillTint="3F"/>
      </w:tcPr>
    </w:tblStylePr>
    <w:tblStylePr w:type="band1Horz">
      <w:tblPr/>
      <w:tcPr>
        <w:shd w:val="clear" w:color="auto" w:fill="D8D8D9" w:themeFill="accent3" w:themeFillTint="3F"/>
      </w:tcPr>
    </w:tblStylePr>
  </w:style>
  <w:style w:type="table" w:styleId="MediumList1-Accent4">
    <w:name w:val="Medium List 1 Accent 4"/>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D202C" w:themeColor="accent4"/>
        <w:bottom w:val="single" w:sz="8" w:space="0" w:color="CD202C" w:themeColor="accent4"/>
      </w:tblBorders>
    </w:tblPr>
    <w:tblStylePr w:type="firstRow">
      <w:rPr>
        <w:rFonts w:asciiTheme="majorHAnsi" w:eastAsiaTheme="majorEastAsia" w:hAnsiTheme="majorHAnsi" w:cstheme="majorBidi"/>
      </w:rPr>
      <w:tblPr/>
      <w:tcPr>
        <w:tcBorders>
          <w:top w:val="nil"/>
          <w:bottom w:val="single" w:sz="8" w:space="0" w:color="CD202C" w:themeColor="accent4"/>
        </w:tcBorders>
      </w:tcPr>
    </w:tblStylePr>
    <w:tblStylePr w:type="lastRow">
      <w:rPr>
        <w:b/>
        <w:bCs/>
        <w:color w:val="FFFFFF" w:themeColor="text2"/>
      </w:rPr>
      <w:tblPr/>
      <w:tcPr>
        <w:tcBorders>
          <w:top w:val="single" w:sz="8" w:space="0" w:color="CD202C" w:themeColor="accent4"/>
          <w:bottom w:val="single" w:sz="8" w:space="0" w:color="CD202C" w:themeColor="accent4"/>
        </w:tcBorders>
      </w:tcPr>
    </w:tblStylePr>
    <w:tblStylePr w:type="firstCol">
      <w:rPr>
        <w:b/>
        <w:bCs/>
      </w:rPr>
    </w:tblStylePr>
    <w:tblStylePr w:type="lastCol">
      <w:rPr>
        <w:b/>
        <w:bCs/>
      </w:rPr>
      <w:tblPr/>
      <w:tcPr>
        <w:tcBorders>
          <w:top w:val="single" w:sz="8" w:space="0" w:color="CD202C" w:themeColor="accent4"/>
          <w:bottom w:val="single" w:sz="8" w:space="0" w:color="CD202C" w:themeColor="accent4"/>
        </w:tcBorders>
      </w:tcPr>
    </w:tblStylePr>
    <w:tblStylePr w:type="band1Vert">
      <w:tblPr/>
      <w:tcPr>
        <w:shd w:val="clear" w:color="auto" w:fill="F6C4C7" w:themeFill="accent4" w:themeFillTint="3F"/>
      </w:tcPr>
    </w:tblStylePr>
    <w:tblStylePr w:type="band1Horz">
      <w:tblPr/>
      <w:tcPr>
        <w:shd w:val="clear" w:color="auto" w:fill="F6C4C7" w:themeFill="accent4" w:themeFillTint="3F"/>
      </w:tcPr>
    </w:tblStylePr>
  </w:style>
  <w:style w:type="table" w:styleId="MediumList1-Accent5">
    <w:name w:val="Medium List 1 Accent 5"/>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0055AA" w:themeColor="accent5"/>
        <w:bottom w:val="single" w:sz="8" w:space="0" w:color="0055AA" w:themeColor="accent5"/>
      </w:tblBorders>
    </w:tblPr>
    <w:tblStylePr w:type="firstRow">
      <w:rPr>
        <w:rFonts w:asciiTheme="majorHAnsi" w:eastAsiaTheme="majorEastAsia" w:hAnsiTheme="majorHAnsi" w:cstheme="majorBidi"/>
      </w:rPr>
      <w:tblPr/>
      <w:tcPr>
        <w:tcBorders>
          <w:top w:val="nil"/>
          <w:bottom w:val="single" w:sz="8" w:space="0" w:color="0055AA" w:themeColor="accent5"/>
        </w:tcBorders>
      </w:tcPr>
    </w:tblStylePr>
    <w:tblStylePr w:type="lastRow">
      <w:rPr>
        <w:b/>
        <w:bCs/>
        <w:color w:val="FFFFFF" w:themeColor="text2"/>
      </w:rPr>
      <w:tblPr/>
      <w:tcPr>
        <w:tcBorders>
          <w:top w:val="single" w:sz="8" w:space="0" w:color="0055AA" w:themeColor="accent5"/>
          <w:bottom w:val="single" w:sz="8" w:space="0" w:color="0055AA" w:themeColor="accent5"/>
        </w:tcBorders>
      </w:tcPr>
    </w:tblStylePr>
    <w:tblStylePr w:type="firstCol">
      <w:rPr>
        <w:b/>
        <w:bCs/>
      </w:rPr>
    </w:tblStylePr>
    <w:tblStylePr w:type="lastCol">
      <w:rPr>
        <w:b/>
        <w:bCs/>
      </w:rPr>
      <w:tblPr/>
      <w:tcPr>
        <w:tcBorders>
          <w:top w:val="single" w:sz="8" w:space="0" w:color="0055AA" w:themeColor="accent5"/>
          <w:bottom w:val="single" w:sz="8" w:space="0" w:color="0055AA" w:themeColor="accent5"/>
        </w:tcBorders>
      </w:tcPr>
    </w:tblStylePr>
    <w:tblStylePr w:type="band1Vert">
      <w:tblPr/>
      <w:tcPr>
        <w:shd w:val="clear" w:color="auto" w:fill="ABD4FF" w:themeFill="accent5" w:themeFillTint="3F"/>
      </w:tcPr>
    </w:tblStylePr>
    <w:tblStylePr w:type="band1Horz">
      <w:tblPr/>
      <w:tcPr>
        <w:shd w:val="clear" w:color="auto" w:fill="ABD4FF" w:themeFill="accent5" w:themeFillTint="3F"/>
      </w:tcPr>
    </w:tblStylePr>
  </w:style>
  <w:style w:type="table" w:styleId="MediumList1-Accent6">
    <w:name w:val="Medium List 1 Accent 6"/>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FFAA22" w:themeColor="accent6"/>
        <w:bottom w:val="single" w:sz="8" w:space="0" w:color="FFAA22" w:themeColor="accent6"/>
      </w:tblBorders>
    </w:tblPr>
    <w:tblStylePr w:type="firstRow">
      <w:rPr>
        <w:rFonts w:asciiTheme="majorHAnsi" w:eastAsiaTheme="majorEastAsia" w:hAnsiTheme="majorHAnsi" w:cstheme="majorBidi"/>
      </w:rPr>
      <w:tblPr/>
      <w:tcPr>
        <w:tcBorders>
          <w:top w:val="nil"/>
          <w:bottom w:val="single" w:sz="8" w:space="0" w:color="FFAA22" w:themeColor="accent6"/>
        </w:tcBorders>
      </w:tcPr>
    </w:tblStylePr>
    <w:tblStylePr w:type="lastRow">
      <w:rPr>
        <w:b/>
        <w:bCs/>
        <w:color w:val="FFFFFF" w:themeColor="text2"/>
      </w:rPr>
      <w:tblPr/>
      <w:tcPr>
        <w:tcBorders>
          <w:top w:val="single" w:sz="8" w:space="0" w:color="FFAA22" w:themeColor="accent6"/>
          <w:bottom w:val="single" w:sz="8" w:space="0" w:color="FFAA22" w:themeColor="accent6"/>
        </w:tcBorders>
      </w:tcPr>
    </w:tblStylePr>
    <w:tblStylePr w:type="firstCol">
      <w:rPr>
        <w:b/>
        <w:bCs/>
      </w:rPr>
    </w:tblStylePr>
    <w:tblStylePr w:type="lastCol">
      <w:rPr>
        <w:b/>
        <w:bCs/>
      </w:rPr>
      <w:tblPr/>
      <w:tcPr>
        <w:tcBorders>
          <w:top w:val="single" w:sz="8" w:space="0" w:color="FFAA22" w:themeColor="accent6"/>
          <w:bottom w:val="single" w:sz="8" w:space="0" w:color="FFAA22" w:themeColor="accent6"/>
        </w:tcBorders>
      </w:tcPr>
    </w:tblStylePr>
    <w:tblStylePr w:type="band1Vert">
      <w:tblPr/>
      <w:tcPr>
        <w:shd w:val="clear" w:color="auto" w:fill="FFE9C8" w:themeFill="accent6" w:themeFillTint="3F"/>
      </w:tcPr>
    </w:tblStylePr>
    <w:tblStylePr w:type="band1Horz">
      <w:tblPr/>
      <w:tcPr>
        <w:shd w:val="clear" w:color="auto" w:fill="FFE9C8" w:themeFill="accent6" w:themeFillTint="3F"/>
      </w:tcPr>
    </w:tblStylePr>
  </w:style>
  <w:style w:type="table" w:styleId="MediumList2">
    <w:name w:val="Medium Lis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rPr>
        <w:sz w:val="24"/>
        <w:szCs w:val="24"/>
      </w:rPr>
      <w:tblPr/>
      <w:tcPr>
        <w:tcBorders>
          <w:top w:val="nil"/>
          <w:left w:val="nil"/>
          <w:bottom w:val="single" w:sz="24" w:space="0" w:color="40404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text1"/>
          <w:insideH w:val="nil"/>
          <w:insideV w:val="nil"/>
        </w:tcBorders>
        <w:shd w:val="clear" w:color="auto" w:fill="FFFFFF" w:themeFill="background1"/>
      </w:tcPr>
    </w:tblStylePr>
    <w:tblStylePr w:type="lastCol">
      <w:tblPr/>
      <w:tcPr>
        <w:tcBorders>
          <w:top w:val="nil"/>
          <w:left w:val="single" w:sz="8" w:space="0" w:color="40404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top w:val="nil"/>
          <w:bottom w:val="nil"/>
          <w:insideH w:val="nil"/>
          <w:insideV w:val="nil"/>
        </w:tcBorders>
        <w:shd w:val="clear" w:color="auto" w:fill="CFCFC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tblBorders>
    </w:tblPr>
    <w:tblStylePr w:type="firstRow">
      <w:rPr>
        <w:sz w:val="24"/>
        <w:szCs w:val="24"/>
      </w:rPr>
      <w:tblPr/>
      <w:tcPr>
        <w:tcBorders>
          <w:top w:val="nil"/>
          <w:left w:val="nil"/>
          <w:bottom w:val="single" w:sz="24" w:space="0" w:color="C7C8C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8CA" w:themeColor="accent1"/>
          <w:insideH w:val="nil"/>
          <w:insideV w:val="nil"/>
        </w:tcBorders>
        <w:shd w:val="clear" w:color="auto" w:fill="FFFFFF" w:themeFill="background1"/>
      </w:tcPr>
    </w:tblStylePr>
    <w:tblStylePr w:type="lastCol">
      <w:tblPr/>
      <w:tcPr>
        <w:tcBorders>
          <w:top w:val="nil"/>
          <w:left w:val="single" w:sz="8" w:space="0" w:color="C7C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top w:val="nil"/>
          <w:bottom w:val="nil"/>
          <w:insideH w:val="nil"/>
          <w:insideV w:val="nil"/>
        </w:tcBorders>
        <w:shd w:val="clear" w:color="auto" w:fill="F1F1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tblBorders>
    </w:tblPr>
    <w:tblStylePr w:type="firstRow">
      <w:rPr>
        <w:sz w:val="24"/>
        <w:szCs w:val="24"/>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9598" w:themeColor="accent2"/>
          <w:insideH w:val="nil"/>
          <w:insideV w:val="nil"/>
        </w:tcBorders>
        <w:shd w:val="clear" w:color="auto" w:fill="FFFFFF" w:themeFill="background1"/>
      </w:tcPr>
    </w:tblStylePr>
    <w:tblStylePr w:type="lastCol">
      <w:tblPr/>
      <w:tcPr>
        <w:tcBorders>
          <w:top w:val="nil"/>
          <w:left w:val="single" w:sz="8" w:space="0" w:color="93959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top w:val="nil"/>
          <w:bottom w:val="nil"/>
          <w:insideH w:val="nil"/>
          <w:insideV w:val="nil"/>
        </w:tcBorders>
        <w:shd w:val="clear" w:color="auto" w:fill="E4E4E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tblBorders>
    </w:tblPr>
    <w:tblStylePr w:type="firstRow">
      <w:rPr>
        <w:sz w:val="24"/>
        <w:szCs w:val="24"/>
      </w:rPr>
      <w:tblPr/>
      <w:tcPr>
        <w:tcBorders>
          <w:top w:val="nil"/>
          <w:left w:val="nil"/>
          <w:bottom w:val="single" w:sz="24" w:space="0" w:color="63646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6466" w:themeColor="accent3"/>
          <w:insideH w:val="nil"/>
          <w:insideV w:val="nil"/>
        </w:tcBorders>
        <w:shd w:val="clear" w:color="auto" w:fill="FFFFFF" w:themeFill="background1"/>
      </w:tcPr>
    </w:tblStylePr>
    <w:tblStylePr w:type="lastCol">
      <w:tblPr/>
      <w:tcPr>
        <w:tcBorders>
          <w:top w:val="nil"/>
          <w:left w:val="single" w:sz="8" w:space="0" w:color="6364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8D9" w:themeFill="accent3" w:themeFillTint="3F"/>
      </w:tcPr>
    </w:tblStylePr>
    <w:tblStylePr w:type="band1Horz">
      <w:tblPr/>
      <w:tcPr>
        <w:tcBorders>
          <w:top w:val="nil"/>
          <w:bottom w:val="nil"/>
          <w:insideH w:val="nil"/>
          <w:insideV w:val="nil"/>
        </w:tcBorders>
        <w:shd w:val="clear" w:color="auto" w:fill="D8D8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tblBorders>
    </w:tblPr>
    <w:tblStylePr w:type="firstRow">
      <w:rPr>
        <w:sz w:val="24"/>
        <w:szCs w:val="24"/>
      </w:rPr>
      <w:tblPr/>
      <w:tcPr>
        <w:tcBorders>
          <w:top w:val="nil"/>
          <w:left w:val="nil"/>
          <w:bottom w:val="single" w:sz="24" w:space="0" w:color="CD20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202C" w:themeColor="accent4"/>
          <w:insideH w:val="nil"/>
          <w:insideV w:val="nil"/>
        </w:tcBorders>
        <w:shd w:val="clear" w:color="auto" w:fill="FFFFFF" w:themeFill="background1"/>
      </w:tcPr>
    </w:tblStylePr>
    <w:tblStylePr w:type="lastCol">
      <w:tblPr/>
      <w:tcPr>
        <w:tcBorders>
          <w:top w:val="nil"/>
          <w:left w:val="single" w:sz="8" w:space="0" w:color="CD20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4C7" w:themeFill="accent4" w:themeFillTint="3F"/>
      </w:tcPr>
    </w:tblStylePr>
    <w:tblStylePr w:type="band1Horz">
      <w:tblPr/>
      <w:tcPr>
        <w:tcBorders>
          <w:top w:val="nil"/>
          <w:bottom w:val="nil"/>
          <w:insideH w:val="nil"/>
          <w:insideV w:val="nil"/>
        </w:tcBorders>
        <w:shd w:val="clear" w:color="auto" w:fill="F6C4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tblBorders>
    </w:tblPr>
    <w:tblStylePr w:type="firstRow">
      <w:rPr>
        <w:sz w:val="24"/>
        <w:szCs w:val="24"/>
      </w:rPr>
      <w:tblPr/>
      <w:tcPr>
        <w:tcBorders>
          <w:top w:val="nil"/>
          <w:left w:val="nil"/>
          <w:bottom w:val="single" w:sz="24" w:space="0" w:color="0055A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AA" w:themeColor="accent5"/>
          <w:insideH w:val="nil"/>
          <w:insideV w:val="nil"/>
        </w:tcBorders>
        <w:shd w:val="clear" w:color="auto" w:fill="FFFFFF" w:themeFill="background1"/>
      </w:tcPr>
    </w:tblStylePr>
    <w:tblStylePr w:type="lastCol">
      <w:tblPr/>
      <w:tcPr>
        <w:tcBorders>
          <w:top w:val="nil"/>
          <w:left w:val="single" w:sz="8" w:space="0" w:color="0055A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4FF" w:themeFill="accent5" w:themeFillTint="3F"/>
      </w:tcPr>
    </w:tblStylePr>
    <w:tblStylePr w:type="band1Horz">
      <w:tblPr/>
      <w:tcPr>
        <w:tcBorders>
          <w:top w:val="nil"/>
          <w:bottom w:val="nil"/>
          <w:insideH w:val="nil"/>
          <w:insideV w:val="nil"/>
        </w:tcBorders>
        <w:shd w:val="clear" w:color="auto" w:fill="ABD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tblBorders>
    </w:tblPr>
    <w:tblStylePr w:type="firstRow">
      <w:rPr>
        <w:sz w:val="24"/>
        <w:szCs w:val="24"/>
      </w:rPr>
      <w:tblPr/>
      <w:tcPr>
        <w:tcBorders>
          <w:top w:val="nil"/>
          <w:left w:val="nil"/>
          <w:bottom w:val="single" w:sz="24" w:space="0" w:color="FFAA2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A22" w:themeColor="accent6"/>
          <w:insideH w:val="nil"/>
          <w:insideV w:val="nil"/>
        </w:tcBorders>
        <w:shd w:val="clear" w:color="auto" w:fill="FFFFFF" w:themeFill="background1"/>
      </w:tcPr>
    </w:tblStylePr>
    <w:tblStylePr w:type="lastCol">
      <w:tblPr/>
      <w:tcPr>
        <w:tcBorders>
          <w:top w:val="nil"/>
          <w:left w:val="single" w:sz="8" w:space="0" w:color="FFAA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C8" w:themeFill="accent6" w:themeFillTint="3F"/>
      </w:tcPr>
    </w:tblStylePr>
    <w:tblStylePr w:type="band1Horz">
      <w:tblPr/>
      <w:tcPr>
        <w:tcBorders>
          <w:top w:val="nil"/>
          <w:bottom w:val="nil"/>
          <w:insideH w:val="nil"/>
          <w:insideV w:val="nil"/>
        </w:tcBorders>
        <w:shd w:val="clear" w:color="auto" w:fill="FF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tblBorders>
    </w:tblPr>
    <w:tblStylePr w:type="firstRow">
      <w:pPr>
        <w:spacing w:before="0" w:after="0" w:line="240" w:lineRule="auto"/>
      </w:pPr>
      <w:rPr>
        <w:b/>
        <w:bCs/>
        <w:color w:val="FFFFFF" w:themeColor="background1"/>
      </w:rPr>
      <w:tblPr/>
      <w:tcPr>
        <w:tc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shd w:val="clear" w:color="auto" w:fill="404040" w:themeFill="text1"/>
      </w:tcPr>
    </w:tblStylePr>
    <w:tblStylePr w:type="lastRow">
      <w:pPr>
        <w:spacing w:before="0" w:after="0" w:line="240" w:lineRule="auto"/>
      </w:pPr>
      <w:rPr>
        <w:b/>
        <w:bCs/>
      </w:rPr>
      <w:tblPr/>
      <w:tcPr>
        <w:tcBorders>
          <w:top w:val="double" w:sz="6"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F" w:themeFill="text1" w:themeFillTint="3F"/>
      </w:tcPr>
    </w:tblStylePr>
    <w:tblStylePr w:type="band1Horz">
      <w:tblPr/>
      <w:tcPr>
        <w:tcBorders>
          <w:insideH w:val="nil"/>
          <w:insideV w:val="nil"/>
        </w:tcBorders>
        <w:shd w:val="clear" w:color="auto" w:fill="CFCFC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27CC"/>
    <w:pPr>
      <w:spacing w:after="0" w:line="240" w:lineRule="auto"/>
    </w:pPr>
    <w:tblPr>
      <w:tblStyleRowBandSize w:val="1"/>
      <w:tblStyleColBandSize w:val="1"/>
      <w:tbl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single" w:sz="8" w:space="0" w:color="D5D5D7" w:themeColor="accent1" w:themeTint="BF"/>
      </w:tblBorders>
    </w:tblPr>
    <w:tblStylePr w:type="firstRow">
      <w:pPr>
        <w:spacing w:before="0" w:after="0" w:line="240" w:lineRule="auto"/>
      </w:pPr>
      <w:rPr>
        <w:b/>
        <w:bCs/>
        <w:color w:val="FFFFFF" w:themeColor="background1"/>
      </w:rPr>
      <w:tblPr/>
      <w:tcPr>
        <w:tc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nil"/>
          <w:insideV w:val="nil"/>
        </w:tcBorders>
        <w:shd w:val="clear" w:color="auto" w:fill="C7C8CA" w:themeFill="accent1"/>
      </w:tcPr>
    </w:tblStylePr>
    <w:tblStylePr w:type="lastRow">
      <w:pPr>
        <w:spacing w:before="0" w:after="0" w:line="240" w:lineRule="auto"/>
      </w:pPr>
      <w:rPr>
        <w:b/>
        <w:bCs/>
      </w:rPr>
      <w:tblPr/>
      <w:tcPr>
        <w:tcBorders>
          <w:top w:val="double" w:sz="6"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1F2" w:themeFill="accent1" w:themeFillTint="3F"/>
      </w:tcPr>
    </w:tblStylePr>
    <w:tblStylePr w:type="band1Horz">
      <w:tblPr/>
      <w:tcPr>
        <w:tcBorders>
          <w:insideH w:val="nil"/>
          <w:insideV w:val="nil"/>
        </w:tcBorders>
        <w:shd w:val="clear" w:color="auto" w:fill="F1F1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27CC"/>
    <w:pPr>
      <w:spacing w:after="0" w:line="240" w:lineRule="auto"/>
    </w:pPr>
    <w:tblPr>
      <w:tblStyleRowBandSize w:val="1"/>
      <w:tblStyleColBandSize w:val="1"/>
      <w:tbl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single" w:sz="8" w:space="0" w:color="ADAFB1" w:themeColor="accent2" w:themeTint="BF"/>
      </w:tblBorders>
    </w:tblPr>
    <w:tblStylePr w:type="firstRow">
      <w:pPr>
        <w:spacing w:before="0" w:after="0" w:line="240" w:lineRule="auto"/>
      </w:pPr>
      <w:rPr>
        <w:b/>
        <w:bCs/>
        <w:color w:val="FFFFFF" w:themeColor="background1"/>
      </w:rPr>
      <w:tblPr/>
      <w:tcPr>
        <w:tc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nil"/>
          <w:insideV w:val="nil"/>
        </w:tcBorders>
        <w:shd w:val="clear" w:color="auto" w:fill="939598" w:themeFill="accent2"/>
      </w:tcPr>
    </w:tblStylePr>
    <w:tblStylePr w:type="lastRow">
      <w:pPr>
        <w:spacing w:before="0" w:after="0" w:line="240" w:lineRule="auto"/>
      </w:pPr>
      <w:rPr>
        <w:b/>
        <w:bCs/>
      </w:rPr>
      <w:tblPr/>
      <w:tcPr>
        <w:tcBorders>
          <w:top w:val="double" w:sz="6"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4E5" w:themeFill="accent2" w:themeFillTint="3F"/>
      </w:tcPr>
    </w:tblStylePr>
    <w:tblStylePr w:type="band1Horz">
      <w:tblPr/>
      <w:tcPr>
        <w:tcBorders>
          <w:insideH w:val="nil"/>
          <w:insideV w:val="nil"/>
        </w:tcBorders>
        <w:shd w:val="clear" w:color="auto" w:fill="E4E4E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27CC"/>
    <w:pPr>
      <w:spacing w:after="0" w:line="240" w:lineRule="auto"/>
    </w:pPr>
    <w:tblPr>
      <w:tblStyleRowBandSize w:val="1"/>
      <w:tblStyleColBandSize w:val="1"/>
      <w:tbl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single" w:sz="8" w:space="0" w:color="898A8C" w:themeColor="accent3" w:themeTint="BF"/>
      </w:tblBorders>
    </w:tblPr>
    <w:tblStylePr w:type="firstRow">
      <w:pPr>
        <w:spacing w:before="0" w:after="0" w:line="240" w:lineRule="auto"/>
      </w:pPr>
      <w:rPr>
        <w:b/>
        <w:bCs/>
        <w:color w:val="FFFFFF" w:themeColor="background1"/>
      </w:rPr>
      <w:tblPr/>
      <w:tcPr>
        <w:tc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nil"/>
          <w:insideV w:val="nil"/>
        </w:tcBorders>
        <w:shd w:val="clear" w:color="auto" w:fill="636466" w:themeFill="accent3"/>
      </w:tcPr>
    </w:tblStylePr>
    <w:tblStylePr w:type="lastRow">
      <w:pPr>
        <w:spacing w:before="0" w:after="0" w:line="240" w:lineRule="auto"/>
      </w:pPr>
      <w:rPr>
        <w:b/>
        <w:bCs/>
      </w:rPr>
      <w:tblPr/>
      <w:tcPr>
        <w:tcBorders>
          <w:top w:val="double" w:sz="6"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D8D9" w:themeFill="accent3" w:themeFillTint="3F"/>
      </w:tcPr>
    </w:tblStylePr>
    <w:tblStylePr w:type="band1Horz">
      <w:tblPr/>
      <w:tcPr>
        <w:tcBorders>
          <w:insideH w:val="nil"/>
          <w:insideV w:val="nil"/>
        </w:tcBorders>
        <w:shd w:val="clear" w:color="auto" w:fill="D8D8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27CC"/>
    <w:pPr>
      <w:spacing w:after="0" w:line="240" w:lineRule="auto"/>
    </w:pPr>
    <w:tblPr>
      <w:tblStyleRowBandSize w:val="1"/>
      <w:tblStyleColBandSize w:val="1"/>
      <w:tbl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single" w:sz="8" w:space="0" w:color="E34E57" w:themeColor="accent4" w:themeTint="BF"/>
      </w:tblBorders>
    </w:tblPr>
    <w:tblStylePr w:type="firstRow">
      <w:pPr>
        <w:spacing w:before="0" w:after="0" w:line="240" w:lineRule="auto"/>
      </w:pPr>
      <w:rPr>
        <w:b/>
        <w:bCs/>
        <w:color w:val="FFFFFF" w:themeColor="background1"/>
      </w:rPr>
      <w:tblPr/>
      <w:tcPr>
        <w:tc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nil"/>
          <w:insideV w:val="nil"/>
        </w:tcBorders>
        <w:shd w:val="clear" w:color="auto" w:fill="CD202C" w:themeFill="accent4"/>
      </w:tcPr>
    </w:tblStylePr>
    <w:tblStylePr w:type="lastRow">
      <w:pPr>
        <w:spacing w:before="0" w:after="0" w:line="240" w:lineRule="auto"/>
      </w:pPr>
      <w:rPr>
        <w:b/>
        <w:bCs/>
      </w:rPr>
      <w:tblPr/>
      <w:tcPr>
        <w:tcBorders>
          <w:top w:val="double" w:sz="6"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C4C7" w:themeFill="accent4" w:themeFillTint="3F"/>
      </w:tcPr>
    </w:tblStylePr>
    <w:tblStylePr w:type="band1Horz">
      <w:tblPr/>
      <w:tcPr>
        <w:tcBorders>
          <w:insideH w:val="nil"/>
          <w:insideV w:val="nil"/>
        </w:tcBorders>
        <w:shd w:val="clear" w:color="auto" w:fill="F6C4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27CC"/>
    <w:pPr>
      <w:spacing w:after="0" w:line="240" w:lineRule="auto"/>
    </w:pPr>
    <w:tblPr>
      <w:tblStyleRowBandSize w:val="1"/>
      <w:tblStyleColBandSize w:val="1"/>
      <w:tbl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single" w:sz="8" w:space="0" w:color="007FFF" w:themeColor="accent5" w:themeTint="BF"/>
      </w:tblBorders>
    </w:tblPr>
    <w:tblStylePr w:type="firstRow">
      <w:pPr>
        <w:spacing w:before="0" w:after="0" w:line="240" w:lineRule="auto"/>
      </w:pPr>
      <w:rPr>
        <w:b/>
        <w:bCs/>
        <w:color w:val="FFFFFF" w:themeColor="background1"/>
      </w:rPr>
      <w:tblPr/>
      <w:tcPr>
        <w:tc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nil"/>
          <w:insideV w:val="nil"/>
        </w:tcBorders>
        <w:shd w:val="clear" w:color="auto" w:fill="0055AA" w:themeFill="accent5"/>
      </w:tcPr>
    </w:tblStylePr>
    <w:tblStylePr w:type="lastRow">
      <w:pPr>
        <w:spacing w:before="0" w:after="0" w:line="240" w:lineRule="auto"/>
      </w:pPr>
      <w:rPr>
        <w:b/>
        <w:bCs/>
      </w:rPr>
      <w:tblPr/>
      <w:tcPr>
        <w:tcBorders>
          <w:top w:val="double" w:sz="6"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D4FF" w:themeFill="accent5" w:themeFillTint="3F"/>
      </w:tcPr>
    </w:tblStylePr>
    <w:tblStylePr w:type="band1Horz">
      <w:tblPr/>
      <w:tcPr>
        <w:tcBorders>
          <w:insideH w:val="nil"/>
          <w:insideV w:val="nil"/>
        </w:tcBorders>
        <w:shd w:val="clear" w:color="auto" w:fill="ABD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27CC"/>
    <w:pPr>
      <w:spacing w:after="0" w:line="240" w:lineRule="auto"/>
    </w:pPr>
    <w:tblPr>
      <w:tblStyleRowBandSize w:val="1"/>
      <w:tblStyleColBandSize w:val="1"/>
      <w:tbl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single" w:sz="8" w:space="0" w:color="FFBE59" w:themeColor="accent6" w:themeTint="BF"/>
      </w:tblBorders>
    </w:tblPr>
    <w:tblStylePr w:type="firstRow">
      <w:pPr>
        <w:spacing w:before="0" w:after="0" w:line="240" w:lineRule="auto"/>
      </w:pPr>
      <w:rPr>
        <w:b/>
        <w:bCs/>
        <w:color w:val="FFFFFF" w:themeColor="background1"/>
      </w:rPr>
      <w:tblPr/>
      <w:tcPr>
        <w:tc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nil"/>
          <w:insideV w:val="nil"/>
        </w:tcBorders>
        <w:shd w:val="clear" w:color="auto" w:fill="FFAA22" w:themeFill="accent6"/>
      </w:tcPr>
    </w:tblStylePr>
    <w:tblStylePr w:type="lastRow">
      <w:pPr>
        <w:spacing w:before="0" w:after="0" w:line="240" w:lineRule="auto"/>
      </w:pPr>
      <w:rPr>
        <w:b/>
        <w:bCs/>
      </w:rPr>
      <w:tblPr/>
      <w:tcPr>
        <w:tcBorders>
          <w:top w:val="double" w:sz="6"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C8" w:themeFill="accent6" w:themeFillTint="3F"/>
      </w:tcPr>
    </w:tblStylePr>
    <w:tblStylePr w:type="band1Horz">
      <w:tblPr/>
      <w:tcPr>
        <w:tcBorders>
          <w:insideH w:val="nil"/>
          <w:insideV w:val="nil"/>
        </w:tcBorders>
        <w:shd w:val="clear" w:color="auto" w:fill="FF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4040" w:themeFill="text1"/>
      </w:tcPr>
    </w:tblStylePr>
    <w:tblStylePr w:type="lastCol">
      <w:rPr>
        <w:b/>
        <w:bCs/>
        <w:color w:val="FFFFFF" w:themeColor="background1"/>
      </w:rPr>
      <w:tblPr/>
      <w:tcPr>
        <w:tcBorders>
          <w:left w:val="nil"/>
          <w:right w:val="nil"/>
          <w:insideH w:val="nil"/>
          <w:insideV w:val="nil"/>
        </w:tcBorders>
        <w:shd w:val="clear" w:color="auto" w:fill="40404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C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7C8CA" w:themeFill="accent1"/>
      </w:tcPr>
    </w:tblStylePr>
    <w:tblStylePr w:type="lastCol">
      <w:rPr>
        <w:b/>
        <w:bCs/>
        <w:color w:val="FFFFFF" w:themeColor="background1"/>
      </w:rPr>
      <w:tblPr/>
      <w:tcPr>
        <w:tcBorders>
          <w:left w:val="nil"/>
          <w:right w:val="nil"/>
          <w:insideH w:val="nil"/>
          <w:insideV w:val="nil"/>
        </w:tcBorders>
        <w:shd w:val="clear" w:color="auto" w:fill="C7C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959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9598" w:themeFill="accent2"/>
      </w:tcPr>
    </w:tblStylePr>
    <w:tblStylePr w:type="lastCol">
      <w:rPr>
        <w:b/>
        <w:bCs/>
        <w:color w:val="FFFFFF" w:themeColor="background1"/>
      </w:rPr>
      <w:tblPr/>
      <w:tcPr>
        <w:tcBorders>
          <w:left w:val="nil"/>
          <w:right w:val="nil"/>
          <w:insideH w:val="nil"/>
          <w:insideV w:val="nil"/>
        </w:tcBorders>
        <w:shd w:val="clear" w:color="auto" w:fill="93959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64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6466" w:themeFill="accent3"/>
      </w:tcPr>
    </w:tblStylePr>
    <w:tblStylePr w:type="lastCol">
      <w:rPr>
        <w:b/>
        <w:bCs/>
        <w:color w:val="FFFFFF" w:themeColor="background1"/>
      </w:rPr>
      <w:tblPr/>
      <w:tcPr>
        <w:tcBorders>
          <w:left w:val="nil"/>
          <w:right w:val="nil"/>
          <w:insideH w:val="nil"/>
          <w:insideV w:val="nil"/>
        </w:tcBorders>
        <w:shd w:val="clear" w:color="auto" w:fill="6364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20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202C" w:themeFill="accent4"/>
      </w:tcPr>
    </w:tblStylePr>
    <w:tblStylePr w:type="lastCol">
      <w:rPr>
        <w:b/>
        <w:bCs/>
        <w:color w:val="FFFFFF" w:themeColor="background1"/>
      </w:rPr>
      <w:tblPr/>
      <w:tcPr>
        <w:tcBorders>
          <w:left w:val="nil"/>
          <w:right w:val="nil"/>
          <w:insideH w:val="nil"/>
          <w:insideV w:val="nil"/>
        </w:tcBorders>
        <w:shd w:val="clear" w:color="auto" w:fill="CD20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A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AA" w:themeFill="accent5"/>
      </w:tcPr>
    </w:tblStylePr>
    <w:tblStylePr w:type="lastCol">
      <w:rPr>
        <w:b/>
        <w:bCs/>
        <w:color w:val="FFFFFF" w:themeColor="background1"/>
      </w:rPr>
      <w:tblPr/>
      <w:tcPr>
        <w:tcBorders>
          <w:left w:val="nil"/>
          <w:right w:val="nil"/>
          <w:insideH w:val="nil"/>
          <w:insideV w:val="nil"/>
        </w:tcBorders>
        <w:shd w:val="clear" w:color="auto" w:fill="0055A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A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A22" w:themeFill="accent6"/>
      </w:tcPr>
    </w:tblStylePr>
    <w:tblStylePr w:type="lastCol">
      <w:rPr>
        <w:b/>
        <w:bCs/>
        <w:color w:val="FFFFFF" w:themeColor="background1"/>
      </w:rPr>
      <w:tblPr/>
      <w:tcPr>
        <w:tcBorders>
          <w:left w:val="nil"/>
          <w:right w:val="nil"/>
          <w:insideH w:val="nil"/>
          <w:insideV w:val="nil"/>
        </w:tcBorders>
        <w:shd w:val="clear" w:color="auto" w:fill="FFAA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527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F527CC"/>
    <w:rPr>
      <w:rFonts w:eastAsiaTheme="majorEastAsia" w:cs="Arial"/>
      <w:sz w:val="24"/>
      <w:szCs w:val="24"/>
      <w:shd w:val="pct20" w:color="auto" w:fill="auto"/>
      <w:lang w:val="en-US"/>
    </w:rPr>
  </w:style>
  <w:style w:type="paragraph" w:styleId="NormalWeb">
    <w:name w:val="Normal (Web)"/>
    <w:basedOn w:val="Normal"/>
    <w:uiPriority w:val="99"/>
    <w:semiHidden/>
    <w:unhideWhenUsed/>
    <w:rsid w:val="00F527CC"/>
    <w:rPr>
      <w:rFonts w:ascii="Times New Roman" w:hAnsi="Times New Roman" w:cs="Times New Roman"/>
      <w:sz w:val="24"/>
      <w:szCs w:val="24"/>
    </w:rPr>
  </w:style>
  <w:style w:type="paragraph" w:styleId="NormalIndent">
    <w:name w:val="Normal Indent"/>
    <w:basedOn w:val="Normal"/>
    <w:uiPriority w:val="99"/>
    <w:semiHidden/>
    <w:unhideWhenUsed/>
    <w:rsid w:val="00F527CC"/>
    <w:pPr>
      <w:ind w:left="720"/>
    </w:pPr>
  </w:style>
  <w:style w:type="paragraph" w:styleId="NoteHeading">
    <w:name w:val="Note Heading"/>
    <w:basedOn w:val="Normal"/>
    <w:next w:val="Normal"/>
    <w:link w:val="NoteHeadingChar"/>
    <w:uiPriority w:val="99"/>
    <w:semiHidden/>
    <w:unhideWhenUsed/>
    <w:rsid w:val="00F527CC"/>
    <w:pPr>
      <w:spacing w:after="0" w:line="240" w:lineRule="auto"/>
    </w:pPr>
  </w:style>
  <w:style w:type="character" w:customStyle="1" w:styleId="NoteHeadingChar">
    <w:name w:val="Note Heading Char"/>
    <w:basedOn w:val="DefaultParagraphFont"/>
    <w:link w:val="NoteHeading"/>
    <w:uiPriority w:val="99"/>
    <w:semiHidden/>
    <w:rsid w:val="00F527CC"/>
    <w:rPr>
      <w:lang w:val="en-US"/>
    </w:rPr>
  </w:style>
  <w:style w:type="character" w:styleId="PageNumber">
    <w:name w:val="page number"/>
    <w:basedOn w:val="DefaultParagraphFont"/>
    <w:uiPriority w:val="99"/>
    <w:semiHidden/>
    <w:unhideWhenUsed/>
    <w:rsid w:val="00F527CC"/>
    <w:rPr>
      <w:lang w:val="en-US"/>
    </w:rPr>
  </w:style>
  <w:style w:type="table" w:styleId="PlainTable1">
    <w:name w:val="Plain Table 1"/>
    <w:basedOn w:val="TableNormal"/>
    <w:uiPriority w:val="41"/>
    <w:rsid w:val="00F527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27CC"/>
    <w:pPr>
      <w:spacing w:after="0" w:line="240" w:lineRule="auto"/>
    </w:pPr>
    <w:tblPr>
      <w:tblStyleRowBandSize w:val="1"/>
      <w:tblStyleColBandSize w:val="1"/>
      <w:tblBorders>
        <w:top w:val="single" w:sz="4" w:space="0" w:color="9F9F9F" w:themeColor="text1" w:themeTint="80"/>
        <w:bottom w:val="single" w:sz="4" w:space="0" w:color="9F9F9F" w:themeColor="text1" w:themeTint="80"/>
      </w:tblBorders>
    </w:tblPr>
    <w:tblStylePr w:type="firstRow">
      <w:rPr>
        <w:b/>
        <w:bCs/>
      </w:rPr>
      <w:tblPr/>
      <w:tcPr>
        <w:tcBorders>
          <w:bottom w:val="single" w:sz="4" w:space="0" w:color="9F9F9F" w:themeColor="text1" w:themeTint="80"/>
        </w:tcBorders>
      </w:tcPr>
    </w:tblStylePr>
    <w:tblStylePr w:type="lastRow">
      <w:rPr>
        <w:b/>
        <w:bCs/>
      </w:rPr>
      <w:tblPr/>
      <w:tcPr>
        <w:tcBorders>
          <w:top w:val="single" w:sz="4" w:space="0" w:color="9F9F9F" w:themeColor="text1" w:themeTint="80"/>
        </w:tcBorders>
      </w:tcPr>
    </w:tblStylePr>
    <w:tblStylePr w:type="firstCol">
      <w:rPr>
        <w:b/>
        <w:bCs/>
      </w:rPr>
    </w:tblStylePr>
    <w:tblStylePr w:type="lastCol">
      <w:rPr>
        <w:b/>
        <w:bCs/>
      </w:rPr>
    </w:tblStylePr>
    <w:tblStylePr w:type="band1Vert">
      <w:tblPr/>
      <w:tcPr>
        <w:tcBorders>
          <w:left w:val="single" w:sz="4" w:space="0" w:color="9F9F9F" w:themeColor="text1" w:themeTint="80"/>
          <w:right w:val="single" w:sz="4" w:space="0" w:color="9F9F9F" w:themeColor="text1" w:themeTint="80"/>
        </w:tcBorders>
      </w:tcPr>
    </w:tblStylePr>
    <w:tblStylePr w:type="band2Vert">
      <w:tblPr/>
      <w:tcPr>
        <w:tcBorders>
          <w:left w:val="single" w:sz="4" w:space="0" w:color="9F9F9F" w:themeColor="text1" w:themeTint="80"/>
          <w:right w:val="single" w:sz="4" w:space="0" w:color="9F9F9F" w:themeColor="text1" w:themeTint="80"/>
        </w:tcBorders>
      </w:tcPr>
    </w:tblStylePr>
    <w:tblStylePr w:type="band1Horz">
      <w:tblPr/>
      <w:tcPr>
        <w:tcBorders>
          <w:top w:val="single" w:sz="4" w:space="0" w:color="9F9F9F" w:themeColor="text1" w:themeTint="80"/>
          <w:bottom w:val="single" w:sz="4" w:space="0" w:color="9F9F9F" w:themeColor="text1" w:themeTint="80"/>
        </w:tcBorders>
      </w:tcPr>
    </w:tblStylePr>
  </w:style>
  <w:style w:type="table" w:styleId="PlainTable3">
    <w:name w:val="Plain Table 3"/>
    <w:basedOn w:val="TableNormal"/>
    <w:uiPriority w:val="43"/>
    <w:rsid w:val="00F527CC"/>
    <w:pPr>
      <w:spacing w:after="0" w:line="240" w:lineRule="auto"/>
    </w:pPr>
    <w:tblPr>
      <w:tblStyleRowBandSize w:val="1"/>
      <w:tblStyleColBandSize w:val="1"/>
    </w:tblPr>
    <w:tblStylePr w:type="firstRow">
      <w:rPr>
        <w:b/>
        <w:bCs/>
        <w:caps/>
      </w:rPr>
      <w:tblPr/>
      <w:tcPr>
        <w:tcBorders>
          <w:bottom w:val="single" w:sz="4" w:space="0" w:color="9F9F9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F9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27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27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F9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F9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F9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F9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527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27CC"/>
    <w:rPr>
      <w:rFonts w:ascii="Consolas" w:hAnsi="Consolas"/>
      <w:sz w:val="21"/>
      <w:szCs w:val="21"/>
      <w:lang w:val="en-US"/>
    </w:rPr>
  </w:style>
  <w:style w:type="paragraph" w:styleId="Salutation">
    <w:name w:val="Salutation"/>
    <w:basedOn w:val="Normal"/>
    <w:next w:val="Normal"/>
    <w:link w:val="SalutationChar"/>
    <w:uiPriority w:val="99"/>
    <w:semiHidden/>
    <w:unhideWhenUsed/>
    <w:rsid w:val="00F527CC"/>
  </w:style>
  <w:style w:type="character" w:customStyle="1" w:styleId="SalutationChar">
    <w:name w:val="Salutation Char"/>
    <w:basedOn w:val="DefaultParagraphFont"/>
    <w:link w:val="Salutation"/>
    <w:uiPriority w:val="99"/>
    <w:semiHidden/>
    <w:rsid w:val="00F527CC"/>
    <w:rPr>
      <w:lang w:val="en-US"/>
    </w:rPr>
  </w:style>
  <w:style w:type="paragraph" w:styleId="Signature">
    <w:name w:val="Signature"/>
    <w:basedOn w:val="Normal"/>
    <w:link w:val="SignatureChar"/>
    <w:uiPriority w:val="99"/>
    <w:semiHidden/>
    <w:unhideWhenUsed/>
    <w:rsid w:val="00F527CC"/>
    <w:pPr>
      <w:spacing w:after="0" w:line="240" w:lineRule="auto"/>
      <w:ind w:left="4252"/>
    </w:pPr>
  </w:style>
  <w:style w:type="character" w:customStyle="1" w:styleId="SignatureChar">
    <w:name w:val="Signature Char"/>
    <w:basedOn w:val="DefaultParagraphFont"/>
    <w:link w:val="Signature"/>
    <w:uiPriority w:val="99"/>
    <w:semiHidden/>
    <w:rsid w:val="00F527CC"/>
    <w:rPr>
      <w:lang w:val="en-US"/>
    </w:rPr>
  </w:style>
  <w:style w:type="character" w:styleId="Strong">
    <w:name w:val="Strong"/>
    <w:basedOn w:val="DefaultParagraphFont"/>
    <w:uiPriority w:val="22"/>
    <w:qFormat/>
    <w:rsid w:val="00F527CC"/>
    <w:rPr>
      <w:b/>
      <w:bCs/>
      <w:lang w:val="en-US"/>
    </w:rPr>
  </w:style>
  <w:style w:type="character" w:styleId="SubtleEmphasis">
    <w:name w:val="Subtle Emphasis"/>
    <w:basedOn w:val="DefaultParagraphFont"/>
    <w:uiPriority w:val="19"/>
    <w:qFormat/>
    <w:rsid w:val="00F527CC"/>
    <w:rPr>
      <w:i/>
      <w:iCs/>
      <w:color w:val="6F6F6F" w:themeColor="text1" w:themeTint="BF"/>
      <w:lang w:val="en-US"/>
    </w:rPr>
  </w:style>
  <w:style w:type="character" w:styleId="SubtleReference">
    <w:name w:val="Subtle Reference"/>
    <w:basedOn w:val="DefaultParagraphFont"/>
    <w:uiPriority w:val="31"/>
    <w:qFormat/>
    <w:rsid w:val="00F527CC"/>
    <w:rPr>
      <w:smallCaps/>
      <w:color w:val="838383" w:themeColor="text1" w:themeTint="A5"/>
      <w:lang w:val="en-US"/>
    </w:rPr>
  </w:style>
  <w:style w:type="table" w:styleId="Table3Deffects1">
    <w:name w:val="Table 3D effects 1"/>
    <w:basedOn w:val="TableNormal"/>
    <w:uiPriority w:val="99"/>
    <w:semiHidden/>
    <w:unhideWhenUsed/>
    <w:rsid w:val="00F527CC"/>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527CC"/>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527CC"/>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527CC"/>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527CC"/>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527CC"/>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527CC"/>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527CC"/>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527CC"/>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527CC"/>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527CC"/>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527CC"/>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527CC"/>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527CC"/>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527CC"/>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527CC"/>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527CC"/>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527CC"/>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527CC"/>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527CC"/>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527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527CC"/>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527CC"/>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527CC"/>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527CC"/>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527CC"/>
    <w:pPr>
      <w:spacing w:after="0"/>
      <w:ind w:left="220" w:hanging="220"/>
    </w:pPr>
  </w:style>
  <w:style w:type="paragraph" w:styleId="TableofFigures">
    <w:name w:val="table of figures"/>
    <w:basedOn w:val="Normal"/>
    <w:next w:val="Normal"/>
    <w:uiPriority w:val="99"/>
    <w:semiHidden/>
    <w:unhideWhenUsed/>
    <w:rsid w:val="00F527CC"/>
    <w:pPr>
      <w:spacing w:after="0"/>
    </w:pPr>
  </w:style>
  <w:style w:type="table" w:styleId="TableProfessional">
    <w:name w:val="Table Professional"/>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527CC"/>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527CC"/>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527CC"/>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527CC"/>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527CC"/>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527CC"/>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527CC"/>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527CC"/>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527CC"/>
    <w:pPr>
      <w:spacing w:before="120"/>
    </w:pPr>
    <w:rPr>
      <w:rFonts w:eastAsiaTheme="majorEastAsia" w:cs="Arial"/>
      <w:b/>
      <w:bCs/>
      <w:sz w:val="24"/>
      <w:szCs w:val="24"/>
    </w:rPr>
  </w:style>
  <w:style w:type="paragraph" w:styleId="TOC5">
    <w:name w:val="toc 5"/>
    <w:basedOn w:val="Normal"/>
    <w:next w:val="Normal"/>
    <w:autoRedefine/>
    <w:uiPriority w:val="39"/>
    <w:semiHidden/>
    <w:unhideWhenUsed/>
    <w:rsid w:val="00F527CC"/>
    <w:pPr>
      <w:spacing w:after="100"/>
      <w:ind w:left="880"/>
    </w:pPr>
  </w:style>
  <w:style w:type="paragraph" w:styleId="TOC6">
    <w:name w:val="toc 6"/>
    <w:basedOn w:val="Normal"/>
    <w:next w:val="Normal"/>
    <w:autoRedefine/>
    <w:uiPriority w:val="39"/>
    <w:semiHidden/>
    <w:unhideWhenUsed/>
    <w:rsid w:val="00F527CC"/>
    <w:pPr>
      <w:spacing w:after="100"/>
      <w:ind w:left="1100"/>
    </w:pPr>
  </w:style>
  <w:style w:type="paragraph" w:styleId="TOC7">
    <w:name w:val="toc 7"/>
    <w:basedOn w:val="Normal"/>
    <w:next w:val="Normal"/>
    <w:autoRedefine/>
    <w:uiPriority w:val="39"/>
    <w:semiHidden/>
    <w:unhideWhenUsed/>
    <w:rsid w:val="00F527CC"/>
    <w:pPr>
      <w:spacing w:after="100"/>
      <w:ind w:left="1320"/>
    </w:pPr>
  </w:style>
  <w:style w:type="paragraph" w:styleId="TOC8">
    <w:name w:val="toc 8"/>
    <w:basedOn w:val="Normal"/>
    <w:next w:val="Normal"/>
    <w:autoRedefine/>
    <w:uiPriority w:val="39"/>
    <w:semiHidden/>
    <w:unhideWhenUsed/>
    <w:rsid w:val="00F527CC"/>
    <w:pPr>
      <w:spacing w:after="100"/>
      <w:ind w:left="1540"/>
    </w:pPr>
  </w:style>
  <w:style w:type="paragraph" w:styleId="TOC9">
    <w:name w:val="toc 9"/>
    <w:basedOn w:val="Normal"/>
    <w:next w:val="Normal"/>
    <w:autoRedefine/>
    <w:uiPriority w:val="39"/>
    <w:semiHidden/>
    <w:unhideWhenUsed/>
    <w:rsid w:val="00F527CC"/>
    <w:pPr>
      <w:spacing w:after="100"/>
      <w:ind w:left="1760"/>
    </w:pPr>
  </w:style>
  <w:style w:type="paragraph" w:styleId="TOCHeading">
    <w:name w:val="TOC Heading"/>
    <w:basedOn w:val="Heading1"/>
    <w:next w:val="Normal"/>
    <w:uiPriority w:val="39"/>
    <w:semiHidden/>
    <w:unhideWhenUsed/>
    <w:qFormat/>
    <w:rsid w:val="00F527CC"/>
    <w:pPr>
      <w:numPr>
        <w:numId w:val="0"/>
      </w:numPr>
      <w:spacing w:before="240" w:line="240" w:lineRule="atLeast"/>
      <w:outlineLvl w:val="9"/>
    </w:pPr>
    <w:rPr>
      <w:bCs w:val="0"/>
      <w:noProof w:val="0"/>
      <w:color w:val="939599" w:themeColor="accent1" w:themeShade="BF"/>
      <w:sz w:val="32"/>
      <w:szCs w:val="32"/>
    </w:rPr>
  </w:style>
  <w:style w:type="character" w:customStyle="1" w:styleId="Hashtag1">
    <w:name w:val="Hashtag1"/>
    <w:basedOn w:val="DefaultParagraphFont"/>
    <w:uiPriority w:val="99"/>
    <w:semiHidden/>
    <w:unhideWhenUsed/>
    <w:rsid w:val="009F52F1"/>
    <w:rPr>
      <w:color w:val="2B579A"/>
      <w:shd w:val="clear" w:color="auto" w:fill="E6E6E6"/>
    </w:rPr>
  </w:style>
  <w:style w:type="character" w:customStyle="1" w:styleId="Mention1">
    <w:name w:val="Mention1"/>
    <w:basedOn w:val="DefaultParagraphFont"/>
    <w:uiPriority w:val="99"/>
    <w:semiHidden/>
    <w:unhideWhenUsed/>
    <w:rsid w:val="009F52F1"/>
    <w:rPr>
      <w:color w:val="2B579A"/>
      <w:shd w:val="clear" w:color="auto" w:fill="E6E6E6"/>
    </w:rPr>
  </w:style>
  <w:style w:type="character" w:customStyle="1" w:styleId="SmartHyperlink1">
    <w:name w:val="Smart Hyperlink1"/>
    <w:basedOn w:val="DefaultParagraphFont"/>
    <w:uiPriority w:val="99"/>
    <w:semiHidden/>
    <w:unhideWhenUsed/>
    <w:rsid w:val="009F52F1"/>
    <w:rPr>
      <w:u w:val="dotted"/>
    </w:rPr>
  </w:style>
  <w:style w:type="character" w:customStyle="1" w:styleId="UnresolvedMention1">
    <w:name w:val="Unresolved Mention1"/>
    <w:basedOn w:val="DefaultParagraphFont"/>
    <w:uiPriority w:val="99"/>
    <w:semiHidden/>
    <w:unhideWhenUsed/>
    <w:rsid w:val="009F52F1"/>
    <w:rPr>
      <w:color w:val="808080"/>
      <w:shd w:val="clear" w:color="auto" w:fill="E6E6E6"/>
    </w:rPr>
  </w:style>
  <w:style w:type="table" w:customStyle="1" w:styleId="TableGrid20">
    <w:name w:val="Table Grid2"/>
    <w:basedOn w:val="TableNormal"/>
    <w:next w:val="TableGrid"/>
    <w:uiPriority w:val="59"/>
    <w:rsid w:val="009F52F1"/>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Header 2 Char,Head1.1 Char,References Char,Paragraphe de liste1 Char,List Paragraph1 Char,Liste couleur - Accent 11 Char,Liste couleur - Accent 111 Char,Paragraphe de liste3 Char,List Paragraph2 Char,Bullets Char"/>
    <w:basedOn w:val="DefaultParagraphFont"/>
    <w:link w:val="ListParagraph"/>
    <w:uiPriority w:val="34"/>
    <w:locked/>
    <w:rsid w:val="009A6DE4"/>
    <w:rPr>
      <w:lang w:val="en-US"/>
    </w:rPr>
  </w:style>
  <w:style w:type="table" w:customStyle="1" w:styleId="TableGrid30">
    <w:name w:val="Table Grid3"/>
    <w:basedOn w:val="TableNormal"/>
    <w:next w:val="TableGrid"/>
    <w:uiPriority w:val="39"/>
    <w:rsid w:val="00485066"/>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3F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footnote text Char2"/>
    <w:basedOn w:val="DefaultParagraphFont"/>
    <w:uiPriority w:val="99"/>
    <w:semiHidden/>
    <w:locked/>
    <w:rsid w:val="004807FB"/>
    <w:rPr>
      <w:rFonts w:ascii="Arial" w:eastAsia="SimSun" w:hAnsi="Arial" w:cs="Times New Roman"/>
      <w:sz w:val="20"/>
      <w:szCs w:val="20"/>
      <w:lang w:val="en-US" w:eastAsia="zh-CN"/>
    </w:rPr>
  </w:style>
  <w:style w:type="character" w:customStyle="1" w:styleId="normaltextrun">
    <w:name w:val="normaltextrun"/>
    <w:basedOn w:val="DefaultParagraphFont"/>
    <w:rsid w:val="00D23F5A"/>
  </w:style>
  <w:style w:type="table" w:customStyle="1" w:styleId="TableGrid31">
    <w:name w:val="Table Grid31"/>
    <w:basedOn w:val="TableNormal"/>
    <w:next w:val="TableGrid"/>
    <w:uiPriority w:val="39"/>
    <w:rsid w:val="00253E50"/>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A0E17"/>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961D7"/>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9532">
      <w:bodyDiv w:val="1"/>
      <w:marLeft w:val="0"/>
      <w:marRight w:val="0"/>
      <w:marTop w:val="0"/>
      <w:marBottom w:val="0"/>
      <w:divBdr>
        <w:top w:val="none" w:sz="0" w:space="0" w:color="auto"/>
        <w:left w:val="none" w:sz="0" w:space="0" w:color="auto"/>
        <w:bottom w:val="none" w:sz="0" w:space="0" w:color="auto"/>
        <w:right w:val="none" w:sz="0" w:space="0" w:color="auto"/>
      </w:divBdr>
    </w:div>
    <w:div w:id="212474366">
      <w:bodyDiv w:val="1"/>
      <w:marLeft w:val="0"/>
      <w:marRight w:val="0"/>
      <w:marTop w:val="0"/>
      <w:marBottom w:val="0"/>
      <w:divBdr>
        <w:top w:val="none" w:sz="0" w:space="0" w:color="auto"/>
        <w:left w:val="none" w:sz="0" w:space="0" w:color="auto"/>
        <w:bottom w:val="none" w:sz="0" w:space="0" w:color="auto"/>
        <w:right w:val="none" w:sz="0" w:space="0" w:color="auto"/>
      </w:divBdr>
    </w:div>
    <w:div w:id="228196792">
      <w:bodyDiv w:val="1"/>
      <w:marLeft w:val="0"/>
      <w:marRight w:val="0"/>
      <w:marTop w:val="0"/>
      <w:marBottom w:val="0"/>
      <w:divBdr>
        <w:top w:val="none" w:sz="0" w:space="0" w:color="auto"/>
        <w:left w:val="none" w:sz="0" w:space="0" w:color="auto"/>
        <w:bottom w:val="none" w:sz="0" w:space="0" w:color="auto"/>
        <w:right w:val="none" w:sz="0" w:space="0" w:color="auto"/>
      </w:divBdr>
    </w:div>
    <w:div w:id="362747769">
      <w:bodyDiv w:val="1"/>
      <w:marLeft w:val="0"/>
      <w:marRight w:val="0"/>
      <w:marTop w:val="0"/>
      <w:marBottom w:val="0"/>
      <w:divBdr>
        <w:top w:val="none" w:sz="0" w:space="0" w:color="auto"/>
        <w:left w:val="none" w:sz="0" w:space="0" w:color="auto"/>
        <w:bottom w:val="none" w:sz="0" w:space="0" w:color="auto"/>
        <w:right w:val="none" w:sz="0" w:space="0" w:color="auto"/>
      </w:divBdr>
    </w:div>
    <w:div w:id="1171530505">
      <w:bodyDiv w:val="1"/>
      <w:marLeft w:val="0"/>
      <w:marRight w:val="0"/>
      <w:marTop w:val="0"/>
      <w:marBottom w:val="0"/>
      <w:divBdr>
        <w:top w:val="none" w:sz="0" w:space="0" w:color="auto"/>
        <w:left w:val="none" w:sz="0" w:space="0" w:color="auto"/>
        <w:bottom w:val="none" w:sz="0" w:space="0" w:color="auto"/>
        <w:right w:val="none" w:sz="0" w:space="0" w:color="auto"/>
      </w:divBdr>
    </w:div>
    <w:div w:id="1343513573">
      <w:bodyDiv w:val="1"/>
      <w:marLeft w:val="0"/>
      <w:marRight w:val="0"/>
      <w:marTop w:val="0"/>
      <w:marBottom w:val="0"/>
      <w:divBdr>
        <w:top w:val="none" w:sz="0" w:space="0" w:color="auto"/>
        <w:left w:val="none" w:sz="0" w:space="0" w:color="auto"/>
        <w:bottom w:val="none" w:sz="0" w:space="0" w:color="auto"/>
        <w:right w:val="none" w:sz="0" w:space="0" w:color="auto"/>
      </w:divBdr>
      <w:divsChild>
        <w:div w:id="274485861">
          <w:marLeft w:val="0"/>
          <w:marRight w:val="0"/>
          <w:marTop w:val="0"/>
          <w:marBottom w:val="0"/>
          <w:divBdr>
            <w:top w:val="none" w:sz="0" w:space="0" w:color="auto"/>
            <w:left w:val="none" w:sz="0" w:space="0" w:color="auto"/>
            <w:bottom w:val="none" w:sz="0" w:space="0" w:color="auto"/>
            <w:right w:val="none" w:sz="0" w:space="0" w:color="auto"/>
          </w:divBdr>
        </w:div>
        <w:div w:id="39794475">
          <w:marLeft w:val="0"/>
          <w:marRight w:val="0"/>
          <w:marTop w:val="0"/>
          <w:marBottom w:val="0"/>
          <w:divBdr>
            <w:top w:val="none" w:sz="0" w:space="0" w:color="auto"/>
            <w:left w:val="none" w:sz="0" w:space="0" w:color="auto"/>
            <w:bottom w:val="none" w:sz="0" w:space="0" w:color="auto"/>
            <w:right w:val="none" w:sz="0" w:space="0" w:color="auto"/>
          </w:divBdr>
        </w:div>
        <w:div w:id="154148957">
          <w:marLeft w:val="0"/>
          <w:marRight w:val="0"/>
          <w:marTop w:val="0"/>
          <w:marBottom w:val="0"/>
          <w:divBdr>
            <w:top w:val="none" w:sz="0" w:space="0" w:color="auto"/>
            <w:left w:val="none" w:sz="0" w:space="0" w:color="auto"/>
            <w:bottom w:val="none" w:sz="0" w:space="0" w:color="auto"/>
            <w:right w:val="none" w:sz="0" w:space="0" w:color="auto"/>
          </w:divBdr>
        </w:div>
        <w:div w:id="700857618">
          <w:marLeft w:val="0"/>
          <w:marRight w:val="0"/>
          <w:marTop w:val="0"/>
          <w:marBottom w:val="0"/>
          <w:divBdr>
            <w:top w:val="none" w:sz="0" w:space="0" w:color="auto"/>
            <w:left w:val="none" w:sz="0" w:space="0" w:color="auto"/>
            <w:bottom w:val="none" w:sz="0" w:space="0" w:color="auto"/>
            <w:right w:val="none" w:sz="0" w:space="0" w:color="auto"/>
          </w:divBdr>
        </w:div>
        <w:div w:id="1870298240">
          <w:marLeft w:val="0"/>
          <w:marRight w:val="0"/>
          <w:marTop w:val="0"/>
          <w:marBottom w:val="0"/>
          <w:divBdr>
            <w:top w:val="none" w:sz="0" w:space="0" w:color="auto"/>
            <w:left w:val="none" w:sz="0" w:space="0" w:color="auto"/>
            <w:bottom w:val="none" w:sz="0" w:space="0" w:color="auto"/>
            <w:right w:val="none" w:sz="0" w:space="0" w:color="auto"/>
          </w:divBdr>
        </w:div>
        <w:div w:id="1914776846">
          <w:marLeft w:val="0"/>
          <w:marRight w:val="0"/>
          <w:marTop w:val="0"/>
          <w:marBottom w:val="0"/>
          <w:divBdr>
            <w:top w:val="none" w:sz="0" w:space="0" w:color="auto"/>
            <w:left w:val="none" w:sz="0" w:space="0" w:color="auto"/>
            <w:bottom w:val="none" w:sz="0" w:space="0" w:color="auto"/>
            <w:right w:val="none" w:sz="0" w:space="0" w:color="auto"/>
          </w:divBdr>
        </w:div>
        <w:div w:id="92478647">
          <w:marLeft w:val="0"/>
          <w:marRight w:val="0"/>
          <w:marTop w:val="0"/>
          <w:marBottom w:val="0"/>
          <w:divBdr>
            <w:top w:val="none" w:sz="0" w:space="0" w:color="auto"/>
            <w:left w:val="none" w:sz="0" w:space="0" w:color="auto"/>
            <w:bottom w:val="none" w:sz="0" w:space="0" w:color="auto"/>
            <w:right w:val="none" w:sz="0" w:space="0" w:color="auto"/>
          </w:divBdr>
        </w:div>
        <w:div w:id="914432164">
          <w:marLeft w:val="0"/>
          <w:marRight w:val="0"/>
          <w:marTop w:val="0"/>
          <w:marBottom w:val="0"/>
          <w:divBdr>
            <w:top w:val="none" w:sz="0" w:space="0" w:color="auto"/>
            <w:left w:val="none" w:sz="0" w:space="0" w:color="auto"/>
            <w:bottom w:val="none" w:sz="0" w:space="0" w:color="auto"/>
            <w:right w:val="none" w:sz="0" w:space="0" w:color="auto"/>
          </w:divBdr>
        </w:div>
      </w:divsChild>
    </w:div>
    <w:div w:id="1700008899">
      <w:bodyDiv w:val="1"/>
      <w:marLeft w:val="0"/>
      <w:marRight w:val="0"/>
      <w:marTop w:val="0"/>
      <w:marBottom w:val="0"/>
      <w:divBdr>
        <w:top w:val="none" w:sz="0" w:space="0" w:color="auto"/>
        <w:left w:val="none" w:sz="0" w:space="0" w:color="auto"/>
        <w:bottom w:val="none" w:sz="0" w:space="0" w:color="auto"/>
        <w:right w:val="none" w:sz="0" w:space="0" w:color="auto"/>
      </w:divBdr>
    </w:div>
    <w:div w:id="1752045835">
      <w:bodyDiv w:val="1"/>
      <w:marLeft w:val="0"/>
      <w:marRight w:val="0"/>
      <w:marTop w:val="0"/>
      <w:marBottom w:val="0"/>
      <w:divBdr>
        <w:top w:val="none" w:sz="0" w:space="0" w:color="auto"/>
        <w:left w:val="none" w:sz="0" w:space="0" w:color="auto"/>
        <w:bottom w:val="none" w:sz="0" w:space="0" w:color="auto"/>
        <w:right w:val="none" w:sz="0" w:space="0" w:color="auto"/>
      </w:divBdr>
    </w:div>
    <w:div w:id="208090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hart" Target="charts/chart2.xml"/><Relationship Id="rId26"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hart" Target="charts/chart1.xml"/><Relationship Id="rId25" Type="http://schemas.openxmlformats.org/officeDocument/2006/relationships/chart" Target="charts/chart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20.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3.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heglobalfund.org/en/funding-model/applying/resources/" TargetMode="External"/><Relationship Id="rId28" Type="http://schemas.openxmlformats.org/officeDocument/2006/relationships/chart" Target="charts/chart7.xm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chart" Target="charts/chart6.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uthi2\AppData\Roaming\Microsoft\Templates\GF%20Report%20Template%201%20Column.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2020_%20HIV%20GF\Draft%20proposal\Annexure\Funding%20Landscape_HIV.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0">
                <a:latin typeface="Arial" panose="020B0604020202020204" pitchFamily="34" charset="0"/>
                <a:cs typeface="Arial" panose="020B0604020202020204" pitchFamily="34" charset="0"/>
              </a:rPr>
              <a:t>Figure1</a:t>
            </a:r>
          </a:p>
          <a:p>
            <a:pPr>
              <a:defRPr/>
            </a:pPr>
            <a:r>
              <a:rPr lang="en-US" sz="1100">
                <a:latin typeface="Arial" panose="020B0604020202020204" pitchFamily="34" charset="0"/>
                <a:cs typeface="Arial" panose="020B0604020202020204" pitchFamily="34" charset="0"/>
              </a:rPr>
              <a:t>HIV Situation 1989-2019</a:t>
            </a:r>
          </a:p>
        </c:rich>
      </c:tx>
      <c:overlay val="0"/>
    </c:title>
    <c:autoTitleDeleted val="0"/>
    <c:plotArea>
      <c:layout>
        <c:manualLayout>
          <c:layoutTarget val="inner"/>
          <c:xMode val="edge"/>
          <c:yMode val="edge"/>
          <c:x val="2.6666666666666668E-2"/>
          <c:y val="2.7013399640834364E-3"/>
          <c:w val="0.89352543817895069"/>
          <c:h val="0.82299712535933012"/>
        </c:manualLayout>
      </c:layout>
      <c:lineChart>
        <c:grouping val="standard"/>
        <c:varyColors val="0"/>
        <c:ser>
          <c:idx val="0"/>
          <c:order val="0"/>
          <c:tx>
            <c:strRef>
              <c:f>'Total New Death Data'!$A$2</c:f>
              <c:strCache>
                <c:ptCount val="1"/>
                <c:pt idx="0">
                  <c:v>New HIV </c:v>
                </c:pt>
              </c:strCache>
            </c:strRef>
          </c:tx>
          <c:marker>
            <c:symbol val="none"/>
          </c:marker>
          <c:dLbls>
            <c:spPr>
              <a:noFill/>
              <a:ln>
                <a:noFill/>
              </a:ln>
              <a:effectLst/>
            </c:spPr>
            <c:txPr>
              <a:bodyPr wrap="square" lIns="38100" tIns="19050" rIns="38100" bIns="19050" anchor="ctr">
                <a:spAutoFit/>
              </a:bodyPr>
              <a:lstStyle/>
              <a:p>
                <a:pPr>
                  <a:defRPr sz="700" b="1"/>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'Total New Death Data'!$B$1:$AF$1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'Total New Death Data'!$B$2:$AF$2</c:f>
              <c:numCache>
                <c:formatCode>General</c:formatCode>
                <c:ptCount val="20"/>
                <c:pt idx="0">
                  <c:v>31</c:v>
                </c:pt>
                <c:pt idx="1">
                  <c:v>31</c:v>
                </c:pt>
                <c:pt idx="2">
                  <c:v>60</c:v>
                </c:pt>
                <c:pt idx="3">
                  <c:v>115</c:v>
                </c:pt>
                <c:pt idx="4">
                  <c:v>102</c:v>
                </c:pt>
                <c:pt idx="5">
                  <c:v>193</c:v>
                </c:pt>
                <c:pt idx="6">
                  <c:v>216</c:v>
                </c:pt>
                <c:pt idx="7">
                  <c:v>333</c:v>
                </c:pt>
                <c:pt idx="8">
                  <c:v>288</c:v>
                </c:pt>
                <c:pt idx="9">
                  <c:v>250</c:v>
                </c:pt>
                <c:pt idx="10">
                  <c:v>343</c:v>
                </c:pt>
                <c:pt idx="11">
                  <c:v>445</c:v>
                </c:pt>
                <c:pt idx="12">
                  <c:v>338</c:v>
                </c:pt>
                <c:pt idx="13">
                  <c:v>370</c:v>
                </c:pt>
                <c:pt idx="14">
                  <c:v>433</c:v>
                </c:pt>
                <c:pt idx="15">
                  <c:v>469</c:v>
                </c:pt>
                <c:pt idx="16">
                  <c:v>578</c:v>
                </c:pt>
                <c:pt idx="17">
                  <c:v>865</c:v>
                </c:pt>
                <c:pt idx="18">
                  <c:v>869</c:v>
                </c:pt>
                <c:pt idx="19">
                  <c:v>919</c:v>
                </c:pt>
              </c:numCache>
            </c:numRef>
          </c:val>
          <c:smooth val="0"/>
          <c:extLst>
            <c:ext xmlns:c16="http://schemas.microsoft.com/office/drawing/2014/chart" uri="{C3380CC4-5D6E-409C-BE32-E72D297353CC}">
              <c16:uniqueId val="{00000000-274F-42B6-9F79-D76E04D5AFF3}"/>
            </c:ext>
          </c:extLst>
        </c:ser>
        <c:ser>
          <c:idx val="1"/>
          <c:order val="1"/>
          <c:tx>
            <c:strRef>
              <c:f>'Total New Death Data'!$A$3</c:f>
              <c:strCache>
                <c:ptCount val="1"/>
                <c:pt idx="0">
                  <c:v>New Deaths </c:v>
                </c:pt>
              </c:strCache>
            </c:strRef>
          </c:tx>
          <c:marker>
            <c:symbol val="none"/>
          </c:marker>
          <c:dLbls>
            <c:spPr>
              <a:noFill/>
              <a:ln>
                <a:noFill/>
              </a:ln>
              <a:effectLst/>
            </c:spPr>
            <c:txPr>
              <a:bodyPr wrap="square" lIns="38100" tIns="19050" rIns="38100" bIns="19050" anchor="ctr">
                <a:spAutoFit/>
              </a:bodyPr>
              <a:lstStyle/>
              <a:p>
                <a:pPr>
                  <a:defRPr sz="7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'Total New Death Data'!$B$1:$AF$1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'Total New Death Data'!$B$3:$AF$3</c:f>
              <c:numCache>
                <c:formatCode>General</c:formatCode>
                <c:ptCount val="20"/>
                <c:pt idx="0">
                  <c:v>1</c:v>
                </c:pt>
                <c:pt idx="1">
                  <c:v>3</c:v>
                </c:pt>
                <c:pt idx="2">
                  <c:v>16</c:v>
                </c:pt>
                <c:pt idx="3">
                  <c:v>10</c:v>
                </c:pt>
                <c:pt idx="4">
                  <c:v>14</c:v>
                </c:pt>
                <c:pt idx="5">
                  <c:v>30</c:v>
                </c:pt>
                <c:pt idx="6">
                  <c:v>35</c:v>
                </c:pt>
                <c:pt idx="7">
                  <c:v>14</c:v>
                </c:pt>
                <c:pt idx="8">
                  <c:v>42</c:v>
                </c:pt>
                <c:pt idx="9">
                  <c:v>39</c:v>
                </c:pt>
                <c:pt idx="10">
                  <c:v>37</c:v>
                </c:pt>
                <c:pt idx="11">
                  <c:v>84</c:v>
                </c:pt>
                <c:pt idx="12">
                  <c:v>65</c:v>
                </c:pt>
                <c:pt idx="13">
                  <c:v>82</c:v>
                </c:pt>
                <c:pt idx="14">
                  <c:v>91</c:v>
                </c:pt>
                <c:pt idx="15">
                  <c:v>95</c:v>
                </c:pt>
                <c:pt idx="16">
                  <c:v>141</c:v>
                </c:pt>
                <c:pt idx="17">
                  <c:v>125</c:v>
                </c:pt>
                <c:pt idx="18">
                  <c:v>148</c:v>
                </c:pt>
                <c:pt idx="19">
                  <c:v>170</c:v>
                </c:pt>
              </c:numCache>
            </c:numRef>
          </c:val>
          <c:smooth val="0"/>
          <c:extLst>
            <c:ext xmlns:c16="http://schemas.microsoft.com/office/drawing/2014/chart" uri="{C3380CC4-5D6E-409C-BE32-E72D297353CC}">
              <c16:uniqueId val="{00000001-274F-42B6-9F79-D76E04D5AFF3}"/>
            </c:ext>
          </c:extLst>
        </c:ser>
        <c:dLbls>
          <c:showLegendKey val="0"/>
          <c:showVal val="0"/>
          <c:showCatName val="0"/>
          <c:showSerName val="0"/>
          <c:showPercent val="0"/>
          <c:showBubbleSize val="0"/>
        </c:dLbls>
        <c:dropLines/>
        <c:smooth val="0"/>
        <c:axId val="118683520"/>
        <c:axId val="118685056"/>
      </c:lineChart>
      <c:catAx>
        <c:axId val="118683520"/>
        <c:scaling>
          <c:orientation val="minMax"/>
        </c:scaling>
        <c:delete val="0"/>
        <c:axPos val="b"/>
        <c:numFmt formatCode="General" sourceLinked="1"/>
        <c:majorTickMark val="none"/>
        <c:minorTickMark val="none"/>
        <c:tickLblPos val="nextTo"/>
        <c:crossAx val="118685056"/>
        <c:crosses val="autoZero"/>
        <c:auto val="1"/>
        <c:lblAlgn val="ctr"/>
        <c:lblOffset val="100"/>
        <c:noMultiLvlLbl val="0"/>
      </c:catAx>
      <c:valAx>
        <c:axId val="118685056"/>
        <c:scaling>
          <c:orientation val="minMax"/>
        </c:scaling>
        <c:delete val="1"/>
        <c:axPos val="l"/>
        <c:numFmt formatCode="General" sourceLinked="1"/>
        <c:majorTickMark val="out"/>
        <c:minorTickMark val="none"/>
        <c:tickLblPos val="nextTo"/>
        <c:crossAx val="118683520"/>
        <c:crosses val="autoZero"/>
        <c:crossBetween val="between"/>
      </c:valAx>
      <c:spPr>
        <a:noFill/>
        <a:ln w="25400">
          <a:noFill/>
        </a:ln>
      </c:spPr>
    </c:plotArea>
    <c:plotVisOnly val="1"/>
    <c:dispBlanksAs val="gap"/>
    <c:showDLblsOverMax val="0"/>
  </c:chart>
  <c:spPr>
    <a:scene3d>
      <a:camera prst="orthographicFront"/>
      <a:lightRig rig="threePt" dir="t"/>
    </a:scene3d>
    <a:sp3d>
      <a:bevelT/>
    </a:sp3d>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100">
                <a:latin typeface="+mj-lt"/>
              </a:defRPr>
            </a:pPr>
            <a:r>
              <a:rPr lang="en-US" sz="1100">
                <a:latin typeface="+mj-lt"/>
              </a:rPr>
              <a:t>Figure 2 if programme discontinued after 2020</a:t>
            </a:r>
          </a:p>
        </c:rich>
      </c:tx>
      <c:overlay val="0"/>
    </c:title>
    <c:autoTitleDeleted val="0"/>
    <c:plotArea>
      <c:layout>
        <c:manualLayout>
          <c:layoutTarget val="inner"/>
          <c:xMode val="edge"/>
          <c:yMode val="edge"/>
          <c:x val="0.10437671428696274"/>
          <c:y val="4.1655424471258501E-2"/>
          <c:w val="0.88417060338384812"/>
          <c:h val="0.6511718915312632"/>
        </c:manualLayout>
      </c:layout>
      <c:lineChart>
        <c:grouping val="standard"/>
        <c:varyColors val="0"/>
        <c:ser>
          <c:idx val="0"/>
          <c:order val="0"/>
          <c:tx>
            <c:strRef>
              <c:f>'Results (G)'!$F$8</c:f>
              <c:strCache>
                <c:ptCount val="1"/>
                <c:pt idx="0">
                  <c:v>Clients</c:v>
                </c:pt>
              </c:strCache>
            </c:strRef>
          </c:tx>
          <c:marker>
            <c:symbol val="none"/>
          </c:marker>
          <c:cat>
            <c:numRef>
              <c:f>'Results (G)'!$G$6:$CD$6</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'Results (G)'!$G$8:$CD$8</c:f>
              <c:numCache>
                <c:formatCode>0.0000</c:formatCode>
                <c:ptCount val="31"/>
                <c:pt idx="0">
                  <c:v>8.0594263678857424E-3</c:v>
                </c:pt>
                <c:pt idx="1">
                  <c:v>1.0418956297815527E-2</c:v>
                </c:pt>
                <c:pt idx="2">
                  <c:v>1.3602812764810642E-2</c:v>
                </c:pt>
                <c:pt idx="3">
                  <c:v>1.7367311851686475E-2</c:v>
                </c:pt>
                <c:pt idx="4">
                  <c:v>2.1100083206003182E-2</c:v>
                </c:pt>
                <c:pt idx="5">
                  <c:v>2.562709666435823E-2</c:v>
                </c:pt>
                <c:pt idx="6">
                  <c:v>2.8936085778875593E-2</c:v>
                </c:pt>
                <c:pt idx="7">
                  <c:v>3.0885580158181932E-2</c:v>
                </c:pt>
                <c:pt idx="8">
                  <c:v>3.2123338514041359E-2</c:v>
                </c:pt>
                <c:pt idx="9">
                  <c:v>3.2506508866411231E-2</c:v>
                </c:pt>
                <c:pt idx="10">
                  <c:v>3.2527454763770489E-2</c:v>
                </c:pt>
                <c:pt idx="11">
                  <c:v>3.2189847257065758E-2</c:v>
                </c:pt>
                <c:pt idx="12">
                  <c:v>3.1850035613938614E-2</c:v>
                </c:pt>
                <c:pt idx="13">
                  <c:v>3.1493665621567003E-2</c:v>
                </c:pt>
                <c:pt idx="14">
                  <c:v>3.1095017151395579E-2</c:v>
                </c:pt>
                <c:pt idx="15">
                  <c:v>3.0678864949100802E-2</c:v>
                </c:pt>
                <c:pt idx="16">
                  <c:v>3.0258271224555652E-2</c:v>
                </c:pt>
                <c:pt idx="17">
                  <c:v>3.0092566097383557E-2</c:v>
                </c:pt>
                <c:pt idx="18">
                  <c:v>3.0268932342353051E-2</c:v>
                </c:pt>
                <c:pt idx="19">
                  <c:v>3.0645126231435976E-2</c:v>
                </c:pt>
                <c:pt idx="20">
                  <c:v>3.1297733359249645E-2</c:v>
                </c:pt>
                <c:pt idx="21">
                  <c:v>3.2621261939448934E-2</c:v>
                </c:pt>
                <c:pt idx="22">
                  <c:v>4.4523555570854793E-2</c:v>
                </c:pt>
                <c:pt idx="23">
                  <c:v>6.0688781756902323E-2</c:v>
                </c:pt>
                <c:pt idx="24">
                  <c:v>8.1592596765460226E-2</c:v>
                </c:pt>
                <c:pt idx="25">
                  <c:v>0.10780865068546333</c:v>
                </c:pt>
                <c:pt idx="26">
                  <c:v>0.14021362105024779</c:v>
                </c:pt>
                <c:pt idx="27">
                  <c:v>0.17985794349498099</c:v>
                </c:pt>
                <c:pt idx="28">
                  <c:v>0.22817258913397967</c:v>
                </c:pt>
                <c:pt idx="29">
                  <c:v>0.28692303360601035</c:v>
                </c:pt>
                <c:pt idx="30">
                  <c:v>0.35823743144539405</c:v>
                </c:pt>
              </c:numCache>
            </c:numRef>
          </c:val>
          <c:smooth val="0"/>
          <c:extLst>
            <c:ext xmlns:c16="http://schemas.microsoft.com/office/drawing/2014/chart" uri="{C3380CC4-5D6E-409C-BE32-E72D297353CC}">
              <c16:uniqueId val="{00000000-4BCD-4954-8E13-F405DADF35CB}"/>
            </c:ext>
          </c:extLst>
        </c:ser>
        <c:ser>
          <c:idx val="1"/>
          <c:order val="1"/>
          <c:tx>
            <c:strRef>
              <c:f>'Results (G)'!$F$9</c:f>
              <c:strCache>
                <c:ptCount val="1"/>
                <c:pt idx="0">
                  <c:v>Male IDU</c:v>
                </c:pt>
              </c:strCache>
            </c:strRef>
          </c:tx>
          <c:marker>
            <c:symbol val="none"/>
          </c:marker>
          <c:cat>
            <c:numRef>
              <c:f>'Results (G)'!$G$6:$CD$6</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'Results (G)'!$G$9:$CD$9</c:f>
              <c:numCache>
                <c:formatCode>0.0000</c:formatCode>
                <c:ptCount val="31"/>
                <c:pt idx="0">
                  <c:v>0.24983935319336842</c:v>
                </c:pt>
                <c:pt idx="1">
                  <c:v>0.56129227574388785</c:v>
                </c:pt>
                <c:pt idx="2">
                  <c:v>0.92781265103438271</c:v>
                </c:pt>
                <c:pt idx="3">
                  <c:v>1.3488389784541279</c:v>
                </c:pt>
                <c:pt idx="4">
                  <c:v>1.7650300439525839</c:v>
                </c:pt>
                <c:pt idx="5">
                  <c:v>1.9281401122049595</c:v>
                </c:pt>
                <c:pt idx="6">
                  <c:v>1.9790438316621841</c:v>
                </c:pt>
                <c:pt idx="7">
                  <c:v>2.0680666509404402</c:v>
                </c:pt>
                <c:pt idx="8">
                  <c:v>2.1076278440641212</c:v>
                </c:pt>
                <c:pt idx="9">
                  <c:v>2.2747019130047748</c:v>
                </c:pt>
                <c:pt idx="10">
                  <c:v>2.427503698471889</c:v>
                </c:pt>
                <c:pt idx="11">
                  <c:v>2.5474753788626963</c:v>
                </c:pt>
                <c:pt idx="12">
                  <c:v>2.9657327184888631</c:v>
                </c:pt>
                <c:pt idx="13">
                  <c:v>3.5091028514552445</c:v>
                </c:pt>
                <c:pt idx="14">
                  <c:v>4.2484592730712363</c:v>
                </c:pt>
                <c:pt idx="15">
                  <c:v>5.1223175800543546</c:v>
                </c:pt>
                <c:pt idx="16">
                  <c:v>5.7234530513965325</c:v>
                </c:pt>
                <c:pt idx="17">
                  <c:v>6.2898759183289705</c:v>
                </c:pt>
                <c:pt idx="18">
                  <c:v>6.875624220677647</c:v>
                </c:pt>
                <c:pt idx="19">
                  <c:v>8.0902522229918699</c:v>
                </c:pt>
                <c:pt idx="20">
                  <c:v>9.073721671475683</c:v>
                </c:pt>
                <c:pt idx="21">
                  <c:v>9.7561922757964705</c:v>
                </c:pt>
                <c:pt idx="22">
                  <c:v>13.193023399768149</c:v>
                </c:pt>
                <c:pt idx="23">
                  <c:v>14.470414924433321</c:v>
                </c:pt>
                <c:pt idx="24">
                  <c:v>15.178411192532886</c:v>
                </c:pt>
                <c:pt idx="25">
                  <c:v>15.733513464268148</c:v>
                </c:pt>
                <c:pt idx="26">
                  <c:v>16.218258010873591</c:v>
                </c:pt>
                <c:pt idx="27">
                  <c:v>16.566914031167681</c:v>
                </c:pt>
                <c:pt idx="28">
                  <c:v>16.867707135245229</c:v>
                </c:pt>
                <c:pt idx="29">
                  <c:v>17.139021005856335</c:v>
                </c:pt>
                <c:pt idx="30">
                  <c:v>17.389674890345866</c:v>
                </c:pt>
              </c:numCache>
            </c:numRef>
          </c:val>
          <c:smooth val="0"/>
          <c:extLst>
            <c:ext xmlns:c16="http://schemas.microsoft.com/office/drawing/2014/chart" uri="{C3380CC4-5D6E-409C-BE32-E72D297353CC}">
              <c16:uniqueId val="{00000001-4BCD-4954-8E13-F405DADF35CB}"/>
            </c:ext>
          </c:extLst>
        </c:ser>
        <c:ser>
          <c:idx val="2"/>
          <c:order val="2"/>
          <c:tx>
            <c:strRef>
              <c:f>'Results (G)'!$F$10</c:f>
              <c:strCache>
                <c:ptCount val="1"/>
                <c:pt idx="0">
                  <c:v>MSW</c:v>
                </c:pt>
              </c:strCache>
            </c:strRef>
          </c:tx>
          <c:marker>
            <c:symbol val="none"/>
          </c:marker>
          <c:cat>
            <c:numRef>
              <c:f>'Results (G)'!$G$6:$CD$6</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'Results (G)'!$G$10:$CD$10</c:f>
              <c:numCache>
                <c:formatCode>0.0000</c:formatCode>
                <c:ptCount val="31"/>
                <c:pt idx="0">
                  <c:v>1.5481735409365593E-2</c:v>
                </c:pt>
                <c:pt idx="1">
                  <c:v>2.0193937061794644E-2</c:v>
                </c:pt>
                <c:pt idx="2">
                  <c:v>2.7789309866484719E-2</c:v>
                </c:pt>
                <c:pt idx="3">
                  <c:v>3.7503495913044783E-2</c:v>
                </c:pt>
                <c:pt idx="4">
                  <c:v>4.9073480109023578E-2</c:v>
                </c:pt>
                <c:pt idx="5">
                  <c:v>6.3873497007784732E-2</c:v>
                </c:pt>
                <c:pt idx="6">
                  <c:v>8.2470490429983653E-2</c:v>
                </c:pt>
                <c:pt idx="7">
                  <c:v>0.10551251113813043</c:v>
                </c:pt>
                <c:pt idx="8">
                  <c:v>0.13214574850936145</c:v>
                </c:pt>
                <c:pt idx="9">
                  <c:v>0.16073217260742093</c:v>
                </c:pt>
                <c:pt idx="10">
                  <c:v>0.1892789698045208</c:v>
                </c:pt>
                <c:pt idx="11">
                  <c:v>0.21571297978724033</c:v>
                </c:pt>
                <c:pt idx="12">
                  <c:v>0.24417665995359381</c:v>
                </c:pt>
                <c:pt idx="13">
                  <c:v>0.27394669679445677</c:v>
                </c:pt>
                <c:pt idx="14">
                  <c:v>0.3034644009422543</c:v>
                </c:pt>
                <c:pt idx="15">
                  <c:v>0.33219115226483681</c:v>
                </c:pt>
                <c:pt idx="16">
                  <c:v>0.35807976173029726</c:v>
                </c:pt>
                <c:pt idx="17">
                  <c:v>0.38544970156135938</c:v>
                </c:pt>
                <c:pt idx="18">
                  <c:v>0.41447921634010482</c:v>
                </c:pt>
                <c:pt idx="19">
                  <c:v>0.4452333089945677</c:v>
                </c:pt>
                <c:pt idx="20">
                  <c:v>0.47790252898445523</c:v>
                </c:pt>
                <c:pt idx="21">
                  <c:v>0.51350163478567601</c:v>
                </c:pt>
                <c:pt idx="22">
                  <c:v>0.60971570125038765</c:v>
                </c:pt>
                <c:pt idx="23">
                  <c:v>0.72575422733602479</c:v>
                </c:pt>
                <c:pt idx="24">
                  <c:v>0.86636232167815852</c:v>
                </c:pt>
                <c:pt idx="25">
                  <c:v>1.0366512881610528</c:v>
                </c:pt>
                <c:pt idx="26">
                  <c:v>1.2423156128010389</c:v>
                </c:pt>
                <c:pt idx="27">
                  <c:v>1.4897246333278671</c:v>
                </c:pt>
                <c:pt idx="28">
                  <c:v>1.7859093630801877</c:v>
                </c:pt>
                <c:pt idx="29">
                  <c:v>2.1384890807164698</c:v>
                </c:pt>
                <c:pt idx="30">
                  <c:v>2.5554806840456803</c:v>
                </c:pt>
              </c:numCache>
            </c:numRef>
          </c:val>
          <c:smooth val="0"/>
          <c:extLst>
            <c:ext xmlns:c16="http://schemas.microsoft.com/office/drawing/2014/chart" uri="{C3380CC4-5D6E-409C-BE32-E72D297353CC}">
              <c16:uniqueId val="{00000002-4BCD-4954-8E13-F405DADF35CB}"/>
            </c:ext>
          </c:extLst>
        </c:ser>
        <c:ser>
          <c:idx val="3"/>
          <c:order val="3"/>
          <c:tx>
            <c:strRef>
              <c:f>'Results (G)'!$F$13</c:f>
              <c:strCache>
                <c:ptCount val="1"/>
                <c:pt idx="0">
                  <c:v>MSM</c:v>
                </c:pt>
              </c:strCache>
            </c:strRef>
          </c:tx>
          <c:marker>
            <c:symbol val="none"/>
          </c:marker>
          <c:cat>
            <c:numRef>
              <c:f>'Results (G)'!$G$6:$CD$6</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'Results (G)'!$G$13:$CD$13</c:f>
              <c:numCache>
                <c:formatCode>0.0000</c:formatCode>
                <c:ptCount val="31"/>
                <c:pt idx="0">
                  <c:v>9.1685256806412711E-3</c:v>
                </c:pt>
                <c:pt idx="1">
                  <c:v>1.2578943136466058E-2</c:v>
                </c:pt>
                <c:pt idx="2">
                  <c:v>1.6148138036176381E-2</c:v>
                </c:pt>
                <c:pt idx="3">
                  <c:v>2.0927569931597535E-2</c:v>
                </c:pt>
                <c:pt idx="4">
                  <c:v>2.6719861329682633E-2</c:v>
                </c:pt>
                <c:pt idx="5">
                  <c:v>3.4120334706147448E-2</c:v>
                </c:pt>
                <c:pt idx="6">
                  <c:v>4.3217989190202304E-2</c:v>
                </c:pt>
                <c:pt idx="7">
                  <c:v>5.4290852486143293E-2</c:v>
                </c:pt>
                <c:pt idx="8">
                  <c:v>6.7156738146801981E-2</c:v>
                </c:pt>
                <c:pt idx="9">
                  <c:v>8.1123212311293241E-2</c:v>
                </c:pt>
                <c:pt idx="10">
                  <c:v>9.5434133093759504E-2</c:v>
                </c:pt>
                <c:pt idx="11">
                  <c:v>0.10929502226448369</c:v>
                </c:pt>
                <c:pt idx="12">
                  <c:v>0.12381906826539241</c:v>
                </c:pt>
                <c:pt idx="13">
                  <c:v>0.13880308476270209</c:v>
                </c:pt>
                <c:pt idx="14">
                  <c:v>0.1536868281044359</c:v>
                </c:pt>
                <c:pt idx="15">
                  <c:v>0.16847549089137948</c:v>
                </c:pt>
                <c:pt idx="16">
                  <c:v>0.18244837672019937</c:v>
                </c:pt>
                <c:pt idx="17">
                  <c:v>0.19727521706806272</c:v>
                </c:pt>
                <c:pt idx="18">
                  <c:v>0.21348966948379638</c:v>
                </c:pt>
                <c:pt idx="19">
                  <c:v>0.23087604010429194</c:v>
                </c:pt>
                <c:pt idx="20">
                  <c:v>0.24942164302217645</c:v>
                </c:pt>
                <c:pt idx="21">
                  <c:v>0.26957658043916388</c:v>
                </c:pt>
                <c:pt idx="22">
                  <c:v>0.31686251086869288</c:v>
                </c:pt>
                <c:pt idx="23">
                  <c:v>0.37586861013934952</c:v>
                </c:pt>
                <c:pt idx="24">
                  <c:v>0.44874583599933893</c:v>
                </c:pt>
                <c:pt idx="25">
                  <c:v>0.5377567962343397</c:v>
                </c:pt>
                <c:pt idx="26">
                  <c:v>0.64551900278714225</c:v>
                </c:pt>
                <c:pt idx="27">
                  <c:v>0.77508124855858207</c:v>
                </c:pt>
                <c:pt idx="28">
                  <c:v>0.92987099530020001</c:v>
                </c:pt>
                <c:pt idx="29">
                  <c:v>1.1137455358424619</c:v>
                </c:pt>
                <c:pt idx="30">
                  <c:v>1.3309501718165861</c:v>
                </c:pt>
              </c:numCache>
            </c:numRef>
          </c:val>
          <c:smooth val="0"/>
          <c:extLst>
            <c:ext xmlns:c16="http://schemas.microsoft.com/office/drawing/2014/chart" uri="{C3380CC4-5D6E-409C-BE32-E72D297353CC}">
              <c16:uniqueId val="{00000003-4BCD-4954-8E13-F405DADF35CB}"/>
            </c:ext>
          </c:extLst>
        </c:ser>
        <c:ser>
          <c:idx val="4"/>
          <c:order val="4"/>
          <c:tx>
            <c:strRef>
              <c:f>'Results (G)'!$F$14</c:f>
              <c:strCache>
                <c:ptCount val="1"/>
                <c:pt idx="0">
                  <c:v>TG SW</c:v>
                </c:pt>
              </c:strCache>
            </c:strRef>
          </c:tx>
          <c:marker>
            <c:symbol val="none"/>
          </c:marker>
          <c:cat>
            <c:numRef>
              <c:f>'Results (G)'!$G$6:$CD$6</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'Results (G)'!$G$14:$CD$14</c:f>
              <c:numCache>
                <c:formatCode>0.0000</c:formatCode>
                <c:ptCount val="31"/>
                <c:pt idx="0">
                  <c:v>3.1531791227561785E-2</c:v>
                </c:pt>
                <c:pt idx="1">
                  <c:v>4.6441590066532271E-2</c:v>
                </c:pt>
                <c:pt idx="2">
                  <c:v>7.0516440551025183E-2</c:v>
                </c:pt>
                <c:pt idx="3">
                  <c:v>0.10701965558277628</c:v>
                </c:pt>
                <c:pt idx="4">
                  <c:v>0.15142170514115291</c:v>
                </c:pt>
                <c:pt idx="5">
                  <c:v>0.20657168028434961</c:v>
                </c:pt>
                <c:pt idx="6">
                  <c:v>0.26850445390675592</c:v>
                </c:pt>
                <c:pt idx="7">
                  <c:v>0.33509532329035741</c:v>
                </c:pt>
                <c:pt idx="8">
                  <c:v>0.40414116213454432</c:v>
                </c:pt>
                <c:pt idx="9">
                  <c:v>0.4729594104693301</c:v>
                </c:pt>
                <c:pt idx="10">
                  <c:v>0.54036641412372244</c:v>
                </c:pt>
                <c:pt idx="11">
                  <c:v>0.60472515822706463</c:v>
                </c:pt>
                <c:pt idx="12">
                  <c:v>0.67188713342556772</c:v>
                </c:pt>
                <c:pt idx="13">
                  <c:v>0.74487146827652984</c:v>
                </c:pt>
                <c:pt idx="14">
                  <c:v>0.82339475839251963</c:v>
                </c:pt>
                <c:pt idx="15">
                  <c:v>0.91162007811595291</c:v>
                </c:pt>
                <c:pt idx="16">
                  <c:v>1.0069030407492838</c:v>
                </c:pt>
                <c:pt idx="17">
                  <c:v>1.110045095250646</c:v>
                </c:pt>
                <c:pt idx="18">
                  <c:v>1.2285232854456793</c:v>
                </c:pt>
                <c:pt idx="19">
                  <c:v>1.3590813673667241</c:v>
                </c:pt>
                <c:pt idx="20">
                  <c:v>1.4959600927551731</c:v>
                </c:pt>
                <c:pt idx="21">
                  <c:v>1.6449386036573659</c:v>
                </c:pt>
                <c:pt idx="22">
                  <c:v>2.0039042388080412</c:v>
                </c:pt>
                <c:pt idx="23">
                  <c:v>2.4403137774012618</c:v>
                </c:pt>
                <c:pt idx="24">
                  <c:v>2.921105723094112</c:v>
                </c:pt>
                <c:pt idx="25">
                  <c:v>3.4445117680904858</c:v>
                </c:pt>
                <c:pt idx="26">
                  <c:v>4.020504920206788</c:v>
                </c:pt>
                <c:pt idx="27">
                  <c:v>4.6451378025745864</c:v>
                </c:pt>
                <c:pt idx="28">
                  <c:v>5.3235939735856848</c:v>
                </c:pt>
                <c:pt idx="29">
                  <c:v>6.0629335906940796</c:v>
                </c:pt>
                <c:pt idx="30">
                  <c:v>6.8711531404464443</c:v>
                </c:pt>
              </c:numCache>
            </c:numRef>
          </c:val>
          <c:smooth val="0"/>
          <c:extLst>
            <c:ext xmlns:c16="http://schemas.microsoft.com/office/drawing/2014/chart" uri="{C3380CC4-5D6E-409C-BE32-E72D297353CC}">
              <c16:uniqueId val="{00000004-4BCD-4954-8E13-F405DADF35CB}"/>
            </c:ext>
          </c:extLst>
        </c:ser>
        <c:ser>
          <c:idx val="5"/>
          <c:order val="5"/>
          <c:tx>
            <c:strRef>
              <c:f>'Results (G)'!$F$25</c:f>
              <c:strCache>
                <c:ptCount val="1"/>
                <c:pt idx="0">
                  <c:v>FSW</c:v>
                </c:pt>
              </c:strCache>
            </c:strRef>
          </c:tx>
          <c:marker>
            <c:symbol val="none"/>
          </c:marker>
          <c:cat>
            <c:numRef>
              <c:f>'Results (G)'!$G$6:$CD$6</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'Results (G)'!$G$25:$CD$25</c:f>
              <c:numCache>
                <c:formatCode>0.0000</c:formatCode>
                <c:ptCount val="31"/>
                <c:pt idx="0">
                  <c:v>4.7419809900733377E-2</c:v>
                </c:pt>
                <c:pt idx="1">
                  <c:v>6.335881859770652E-2</c:v>
                </c:pt>
                <c:pt idx="2">
                  <c:v>8.5800702173491172E-2</c:v>
                </c:pt>
                <c:pt idx="3">
                  <c:v>0.11403202396835964</c:v>
                </c:pt>
                <c:pt idx="4">
                  <c:v>0.14284218237274593</c:v>
                </c:pt>
                <c:pt idx="5">
                  <c:v>0.17283138776640625</c:v>
                </c:pt>
                <c:pt idx="6">
                  <c:v>0.19516672914283464</c:v>
                </c:pt>
                <c:pt idx="7">
                  <c:v>0.21100035287785987</c:v>
                </c:pt>
                <c:pt idx="8">
                  <c:v>0.22178121846944776</c:v>
                </c:pt>
                <c:pt idx="9">
                  <c:v>0.2276651597627844</c:v>
                </c:pt>
                <c:pt idx="10">
                  <c:v>0.23034514321923541</c:v>
                </c:pt>
                <c:pt idx="11">
                  <c:v>0.23057280961797555</c:v>
                </c:pt>
                <c:pt idx="12">
                  <c:v>0.23092964329578833</c:v>
                </c:pt>
                <c:pt idx="13">
                  <c:v>0.23204020261403391</c:v>
                </c:pt>
                <c:pt idx="14">
                  <c:v>0.23371400323641822</c:v>
                </c:pt>
                <c:pt idx="15">
                  <c:v>0.23704548414052487</c:v>
                </c:pt>
                <c:pt idx="16">
                  <c:v>0.24206092413011029</c:v>
                </c:pt>
                <c:pt idx="17">
                  <c:v>0.24918651308230291</c:v>
                </c:pt>
                <c:pt idx="18">
                  <c:v>0.25810480419730292</c:v>
                </c:pt>
                <c:pt idx="19">
                  <c:v>0.27055103709992656</c:v>
                </c:pt>
                <c:pt idx="20">
                  <c:v>0.28554180709328797</c:v>
                </c:pt>
                <c:pt idx="21">
                  <c:v>0.30384041228570002</c:v>
                </c:pt>
                <c:pt idx="22">
                  <c:v>0.41996342980361534</c:v>
                </c:pt>
                <c:pt idx="23">
                  <c:v>0.56590166608546666</c:v>
                </c:pt>
                <c:pt idx="24">
                  <c:v>0.73652062457668011</c:v>
                </c:pt>
                <c:pt idx="25">
                  <c:v>0.93611102155989556</c:v>
                </c:pt>
                <c:pt idx="26">
                  <c:v>1.1710912019887281</c:v>
                </c:pt>
                <c:pt idx="27">
                  <c:v>1.4483953127421196</c:v>
                </c:pt>
                <c:pt idx="28">
                  <c:v>1.7762013855601555</c:v>
                </c:pt>
                <c:pt idx="29">
                  <c:v>2.1643057309449349</c:v>
                </c:pt>
                <c:pt idx="30">
                  <c:v>2.6240456560326075</c:v>
                </c:pt>
              </c:numCache>
            </c:numRef>
          </c:val>
          <c:smooth val="0"/>
          <c:extLst>
            <c:ext xmlns:c16="http://schemas.microsoft.com/office/drawing/2014/chart" uri="{C3380CC4-5D6E-409C-BE32-E72D297353CC}">
              <c16:uniqueId val="{00000005-4BCD-4954-8E13-F405DADF35CB}"/>
            </c:ext>
          </c:extLst>
        </c:ser>
        <c:ser>
          <c:idx val="6"/>
          <c:order val="6"/>
          <c:tx>
            <c:strRef>
              <c:f>'Results (G)'!$F$26</c:f>
              <c:strCache>
                <c:ptCount val="1"/>
                <c:pt idx="0">
                  <c:v>Female IDU</c:v>
                </c:pt>
              </c:strCache>
            </c:strRef>
          </c:tx>
          <c:marker>
            <c:symbol val="none"/>
          </c:marker>
          <c:cat>
            <c:numRef>
              <c:f>'Results (G)'!$G$6:$CD$6</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'Results (G)'!$G$26:$CD$26</c:f>
              <c:numCache>
                <c:formatCode>0.0000</c:formatCode>
                <c:ptCount val="31"/>
                <c:pt idx="0">
                  <c:v>8.1790302641195065E-2</c:v>
                </c:pt>
                <c:pt idx="1">
                  <c:v>0.20209541980399937</c:v>
                </c:pt>
                <c:pt idx="2">
                  <c:v>0.4058742643691633</c:v>
                </c:pt>
                <c:pt idx="3">
                  <c:v>0.65422656533643919</c:v>
                </c:pt>
                <c:pt idx="4">
                  <c:v>0.84605075647767425</c:v>
                </c:pt>
                <c:pt idx="5">
                  <c:v>0.90254859914447261</c:v>
                </c:pt>
                <c:pt idx="6">
                  <c:v>0.8999925853930455</c:v>
                </c:pt>
                <c:pt idx="7">
                  <c:v>0.87388476483340505</c:v>
                </c:pt>
                <c:pt idx="8">
                  <c:v>0.87359214522188133</c:v>
                </c:pt>
                <c:pt idx="9">
                  <c:v>0.92744485132762067</c:v>
                </c:pt>
                <c:pt idx="10">
                  <c:v>0.99219618310447888</c:v>
                </c:pt>
                <c:pt idx="11">
                  <c:v>1.0659811043825047</c:v>
                </c:pt>
                <c:pt idx="12">
                  <c:v>1.3229803073684099</c:v>
                </c:pt>
                <c:pt idx="13">
                  <c:v>1.6487349837681113</c:v>
                </c:pt>
                <c:pt idx="14">
                  <c:v>2.0101043727818642</c:v>
                </c:pt>
                <c:pt idx="15">
                  <c:v>2.4084382371376218</c:v>
                </c:pt>
                <c:pt idx="16">
                  <c:v>2.8313120467922404</c:v>
                </c:pt>
                <c:pt idx="17">
                  <c:v>3.2569134118002077</c:v>
                </c:pt>
                <c:pt idx="18">
                  <c:v>3.4828358783987308</c:v>
                </c:pt>
                <c:pt idx="19">
                  <c:v>4.6433201124652097</c:v>
                </c:pt>
                <c:pt idx="20">
                  <c:v>5.0390742650379066</c:v>
                </c:pt>
                <c:pt idx="21">
                  <c:v>5.3361669591011536</c:v>
                </c:pt>
                <c:pt idx="22">
                  <c:v>6.0284834295378689</c:v>
                </c:pt>
                <c:pt idx="23">
                  <c:v>6.5529086031954655</c:v>
                </c:pt>
                <c:pt idx="24">
                  <c:v>6.9763593345629289</c:v>
                </c:pt>
                <c:pt idx="25">
                  <c:v>7.3696386152374798</c:v>
                </c:pt>
                <c:pt idx="26">
                  <c:v>7.7421098200548171</c:v>
                </c:pt>
                <c:pt idx="27">
                  <c:v>8.091213584168969</c:v>
                </c:pt>
                <c:pt idx="28">
                  <c:v>8.4117654102822517</c:v>
                </c:pt>
                <c:pt idx="29">
                  <c:v>8.7044544073653007</c:v>
                </c:pt>
                <c:pt idx="30">
                  <c:v>8.9709115063762148</c:v>
                </c:pt>
              </c:numCache>
            </c:numRef>
          </c:val>
          <c:smooth val="0"/>
          <c:extLst>
            <c:ext xmlns:c16="http://schemas.microsoft.com/office/drawing/2014/chart" uri="{C3380CC4-5D6E-409C-BE32-E72D297353CC}">
              <c16:uniqueId val="{00000006-4BCD-4954-8E13-F405DADF35CB}"/>
            </c:ext>
          </c:extLst>
        </c:ser>
        <c:ser>
          <c:idx val="7"/>
          <c:order val="7"/>
          <c:tx>
            <c:strRef>
              <c:f>'Results (G)'!$F$28</c:f>
              <c:strCache>
                <c:ptCount val="1"/>
                <c:pt idx="0">
                  <c:v>Low-risk males</c:v>
                </c:pt>
              </c:strCache>
            </c:strRef>
          </c:tx>
          <c:marker>
            <c:symbol val="none"/>
          </c:marker>
          <c:cat>
            <c:numRef>
              <c:f>'Results (G)'!$G$6:$CD$6</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'Results (G)'!$G$28:$CD$28</c:f>
              <c:numCache>
                <c:formatCode>0.0000</c:formatCode>
                <c:ptCount val="31"/>
                <c:pt idx="0">
                  <c:v>4.9382941755530922E-4</c:v>
                </c:pt>
                <c:pt idx="1">
                  <c:v>6.4514219601763748E-4</c:v>
                </c:pt>
                <c:pt idx="2">
                  <c:v>8.4519921076817801E-4</c:v>
                </c:pt>
                <c:pt idx="3">
                  <c:v>1.1053297682770699E-3</c:v>
                </c:pt>
                <c:pt idx="4">
                  <c:v>1.4201419328494539E-3</c:v>
                </c:pt>
                <c:pt idx="5">
                  <c:v>1.816836958800158E-3</c:v>
                </c:pt>
                <c:pt idx="6">
                  <c:v>2.2676460618744013E-3</c:v>
                </c:pt>
                <c:pt idx="7">
                  <c:v>2.7197737681792255E-3</c:v>
                </c:pt>
                <c:pt idx="8">
                  <c:v>3.1770970864846552E-3</c:v>
                </c:pt>
                <c:pt idx="9">
                  <c:v>3.6320995593314229E-3</c:v>
                </c:pt>
                <c:pt idx="10">
                  <c:v>4.0590628065697593E-3</c:v>
                </c:pt>
                <c:pt idx="11">
                  <c:v>4.4384171757700938E-3</c:v>
                </c:pt>
                <c:pt idx="12">
                  <c:v>4.7884018643485505E-3</c:v>
                </c:pt>
                <c:pt idx="13">
                  <c:v>5.101942099652544E-3</c:v>
                </c:pt>
                <c:pt idx="14">
                  <c:v>5.3682950502416914E-3</c:v>
                </c:pt>
                <c:pt idx="15">
                  <c:v>5.5965891622587922E-3</c:v>
                </c:pt>
                <c:pt idx="16">
                  <c:v>5.7944677976298643E-3</c:v>
                </c:pt>
                <c:pt idx="17">
                  <c:v>6.0060103068067527E-3</c:v>
                </c:pt>
                <c:pt idx="18">
                  <c:v>6.2716535523708143E-3</c:v>
                </c:pt>
                <c:pt idx="19">
                  <c:v>6.5609975484657345E-3</c:v>
                </c:pt>
                <c:pt idx="20">
                  <c:v>6.8543436942372377E-3</c:v>
                </c:pt>
                <c:pt idx="21">
                  <c:v>7.21218068355869E-3</c:v>
                </c:pt>
                <c:pt idx="22">
                  <c:v>7.6994296299983701E-3</c:v>
                </c:pt>
                <c:pt idx="23">
                  <c:v>8.462209909849432E-3</c:v>
                </c:pt>
                <c:pt idx="24">
                  <c:v>9.569530390213056E-3</c:v>
                </c:pt>
                <c:pt idx="25">
                  <c:v>1.1107659560430841E-2</c:v>
                </c:pt>
                <c:pt idx="26">
                  <c:v>1.3199683564477479E-2</c:v>
                </c:pt>
                <c:pt idx="27">
                  <c:v>1.5914822479660581E-2</c:v>
                </c:pt>
                <c:pt idx="28">
                  <c:v>1.9374406841867243E-2</c:v>
                </c:pt>
                <c:pt idx="29">
                  <c:v>2.3722536466603807E-2</c:v>
                </c:pt>
                <c:pt idx="30">
                  <c:v>2.9131811422675707E-2</c:v>
                </c:pt>
              </c:numCache>
            </c:numRef>
          </c:val>
          <c:smooth val="0"/>
          <c:extLst>
            <c:ext xmlns:c16="http://schemas.microsoft.com/office/drawing/2014/chart" uri="{C3380CC4-5D6E-409C-BE32-E72D297353CC}">
              <c16:uniqueId val="{00000007-4BCD-4954-8E13-F405DADF35CB}"/>
            </c:ext>
          </c:extLst>
        </c:ser>
        <c:ser>
          <c:idx val="8"/>
          <c:order val="8"/>
          <c:tx>
            <c:strRef>
              <c:f>'Results (G)'!$F$29</c:f>
              <c:strCache>
                <c:ptCount val="1"/>
                <c:pt idx="0">
                  <c:v>Low-risk females</c:v>
                </c:pt>
              </c:strCache>
            </c:strRef>
          </c:tx>
          <c:marker>
            <c:symbol val="none"/>
          </c:marker>
          <c:cat>
            <c:numRef>
              <c:f>'Results (G)'!$G$6:$CD$6</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'Results (G)'!$G$29:$CD$29</c:f>
              <c:numCache>
                <c:formatCode>0.0000</c:formatCode>
                <c:ptCount val="31"/>
                <c:pt idx="0">
                  <c:v>5.4075534194438868E-4</c:v>
                </c:pt>
                <c:pt idx="1">
                  <c:v>7.1966721535562592E-4</c:v>
                </c:pt>
                <c:pt idx="2">
                  <c:v>9.6206325850395238E-4</c:v>
                </c:pt>
                <c:pt idx="3">
                  <c:v>1.2789046323079618E-3</c:v>
                </c:pt>
                <c:pt idx="4">
                  <c:v>1.6742251952364137E-3</c:v>
                </c:pt>
                <c:pt idx="5">
                  <c:v>2.1405138617873491E-3</c:v>
                </c:pt>
                <c:pt idx="6">
                  <c:v>2.6562058629019422E-3</c:v>
                </c:pt>
                <c:pt idx="7">
                  <c:v>3.1877185682967634E-3</c:v>
                </c:pt>
                <c:pt idx="8">
                  <c:v>3.7099637261073419E-3</c:v>
                </c:pt>
                <c:pt idx="9">
                  <c:v>4.2232283426150638E-3</c:v>
                </c:pt>
                <c:pt idx="10">
                  <c:v>4.7028600983810348E-3</c:v>
                </c:pt>
                <c:pt idx="11">
                  <c:v>5.1339601150340074E-3</c:v>
                </c:pt>
                <c:pt idx="12">
                  <c:v>5.5332154993359833E-3</c:v>
                </c:pt>
                <c:pt idx="13">
                  <c:v>5.9006583015729771E-3</c:v>
                </c:pt>
                <c:pt idx="14">
                  <c:v>6.2355265745171534E-3</c:v>
                </c:pt>
                <c:pt idx="15">
                  <c:v>6.5509361463208585E-3</c:v>
                </c:pt>
                <c:pt idx="16">
                  <c:v>6.8599622608415392E-3</c:v>
                </c:pt>
                <c:pt idx="17">
                  <c:v>7.1731362883996775E-3</c:v>
                </c:pt>
                <c:pt idx="18">
                  <c:v>7.4914733622202237E-3</c:v>
                </c:pt>
                <c:pt idx="19">
                  <c:v>7.8396201771812023E-3</c:v>
                </c:pt>
                <c:pt idx="20">
                  <c:v>8.2080289008651091E-3</c:v>
                </c:pt>
                <c:pt idx="21">
                  <c:v>8.5938671108632975E-3</c:v>
                </c:pt>
                <c:pt idx="22">
                  <c:v>9.1687889361767548E-3</c:v>
                </c:pt>
                <c:pt idx="23">
                  <c:v>1.0055137790885101E-2</c:v>
                </c:pt>
                <c:pt idx="24">
                  <c:v>1.1259657903950879E-2</c:v>
                </c:pt>
                <c:pt idx="25">
                  <c:v>1.2846631944362329E-2</c:v>
                </c:pt>
                <c:pt idx="26">
                  <c:v>1.4901740023769625E-2</c:v>
                </c:pt>
                <c:pt idx="27">
                  <c:v>1.7512276054950586E-2</c:v>
                </c:pt>
                <c:pt idx="28">
                  <c:v>2.0786835701566201E-2</c:v>
                </c:pt>
                <c:pt idx="29">
                  <c:v>2.4856030086438531E-2</c:v>
                </c:pt>
                <c:pt idx="30">
                  <c:v>2.98762272240604E-2</c:v>
                </c:pt>
              </c:numCache>
            </c:numRef>
          </c:val>
          <c:smooth val="0"/>
          <c:extLst>
            <c:ext xmlns:c16="http://schemas.microsoft.com/office/drawing/2014/chart" uri="{C3380CC4-5D6E-409C-BE32-E72D297353CC}">
              <c16:uniqueId val="{00000008-4BCD-4954-8E13-F405DADF35CB}"/>
            </c:ext>
          </c:extLst>
        </c:ser>
        <c:dLbls>
          <c:showLegendKey val="0"/>
          <c:showVal val="0"/>
          <c:showCatName val="0"/>
          <c:showSerName val="0"/>
          <c:showPercent val="0"/>
          <c:showBubbleSize val="0"/>
        </c:dLbls>
        <c:smooth val="0"/>
        <c:axId val="160997760"/>
        <c:axId val="160999296"/>
      </c:lineChart>
      <c:dateAx>
        <c:axId val="160997760"/>
        <c:scaling>
          <c:orientation val="minMax"/>
        </c:scaling>
        <c:delete val="0"/>
        <c:axPos val="b"/>
        <c:numFmt formatCode="General" sourceLinked="0"/>
        <c:majorTickMark val="out"/>
        <c:minorTickMark val="none"/>
        <c:tickLblPos val="nextTo"/>
        <c:crossAx val="160999296"/>
        <c:crosses val="autoZero"/>
        <c:auto val="0"/>
        <c:lblOffset val="100"/>
        <c:baseTimeUnit val="days"/>
      </c:dateAx>
      <c:valAx>
        <c:axId val="160999296"/>
        <c:scaling>
          <c:orientation val="minMax"/>
        </c:scaling>
        <c:delete val="0"/>
        <c:axPos val="l"/>
        <c:title>
          <c:tx>
            <c:rich>
              <a:bodyPr rot="-5400000" vert="horz"/>
              <a:lstStyle/>
              <a:p>
                <a:pPr>
                  <a:defRPr/>
                </a:pPr>
                <a:r>
                  <a:rPr lang="en-US"/>
                  <a:t>HIV Prevalence (%)</a:t>
                </a:r>
              </a:p>
            </c:rich>
          </c:tx>
          <c:overlay val="0"/>
        </c:title>
        <c:numFmt formatCode="0" sourceLinked="0"/>
        <c:majorTickMark val="out"/>
        <c:minorTickMark val="none"/>
        <c:tickLblPos val="nextTo"/>
        <c:crossAx val="160997760"/>
        <c:crosses val="autoZero"/>
        <c:crossBetween val="between"/>
      </c:valAx>
    </c:plotArea>
    <c:legend>
      <c:legendPos val="t"/>
      <c:layout>
        <c:manualLayout>
          <c:xMode val="edge"/>
          <c:yMode val="edge"/>
          <c:x val="0.10074763235240757"/>
          <c:y val="0.13632183908045978"/>
          <c:w val="0.89925234467378978"/>
          <c:h val="0.20019603848731507"/>
        </c:manualLayout>
      </c:layout>
      <c:overlay val="0"/>
      <c:txPr>
        <a:bodyPr/>
        <a:lstStyle/>
        <a:p>
          <a:pPr>
            <a:defRPr sz="900" spc="0" baseline="0"/>
          </a:pPr>
          <a:endParaRPr lang="en-US"/>
        </a:p>
      </c:txPr>
    </c:legend>
    <c:plotVisOnly val="1"/>
    <c:dispBlanksAs val="gap"/>
    <c:showDLblsOverMax val="0"/>
  </c:chart>
  <c:spPr>
    <a:ln>
      <a:solidFill>
        <a:schemeClr val="accent3">
          <a:lumMod val="50000"/>
        </a:schemeClr>
      </a:solidFill>
    </a:ln>
  </c:spPr>
  <c:txPr>
    <a:bodyPr/>
    <a:lstStyle/>
    <a:p>
      <a:pPr>
        <a:defRPr sz="10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r>
              <a:rPr lang="en-US" sz="1050" b="1" cap="none">
                <a:solidFill>
                  <a:sysClr val="windowText" lastClr="000000"/>
                </a:solidFill>
                <a:latin typeface="Arial" panose="020B0604020202020204" pitchFamily="34" charset="0"/>
                <a:cs typeface="Arial" panose="020B0604020202020204" pitchFamily="34" charset="0"/>
              </a:rPr>
              <a:t>Figure 7</a:t>
            </a:r>
          </a:p>
          <a:p>
            <a:pPr>
              <a:defRPr>
                <a:solidFill>
                  <a:sysClr val="windowText" lastClr="000000"/>
                </a:solidFill>
              </a:defRPr>
            </a:pPr>
            <a:r>
              <a:rPr lang="en-US" sz="1050" b="1" cap="none">
                <a:solidFill>
                  <a:sysClr val="windowText" lastClr="000000"/>
                </a:solidFill>
                <a:latin typeface="Arial" panose="020B0604020202020204" pitchFamily="34" charset="0"/>
                <a:cs typeface="Arial" panose="020B0604020202020204" pitchFamily="34" charset="0"/>
              </a:rPr>
              <a:t>Goverment spending  for HIV 2017-2019</a:t>
            </a:r>
          </a:p>
        </c:rich>
      </c:tx>
      <c:layout>
        <c:manualLayout>
          <c:xMode val="edge"/>
          <c:yMode val="edge"/>
          <c:x val="0.11724865661142203"/>
          <c:y val="4.7235607270998976E-3"/>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6127920686995137E-2"/>
          <c:y val="0.23459681782605729"/>
          <c:w val="0.75595238095238093"/>
          <c:h val="0.65735372137855685"/>
        </c:manualLayout>
      </c:layout>
      <c:barChart>
        <c:barDir val="col"/>
        <c:grouping val="clustered"/>
        <c:varyColors val="0"/>
        <c:ser>
          <c:idx val="0"/>
          <c:order val="0"/>
          <c:tx>
            <c:strRef>
              <c:f>Sheet3!$J$35</c:f>
              <c:strCache>
                <c:ptCount val="1"/>
                <c:pt idx="0">
                  <c:v>Committed 2017-2019</c:v>
                </c:pt>
              </c:strCache>
            </c:strRef>
          </c:tx>
          <c:spPr>
            <a:solidFill>
              <a:schemeClr val="accent1"/>
            </a:solidFill>
            <a:ln>
              <a:noFill/>
            </a:ln>
            <a:effectLst/>
          </c:spPr>
          <c:invertIfNegative val="0"/>
          <c:dLbls>
            <c:delete val="1"/>
          </c:dLbls>
          <c:val>
            <c:numRef>
              <c:f>Sheet3!$J$36</c:f>
              <c:numCache>
                <c:formatCode>General</c:formatCode>
                <c:ptCount val="1"/>
                <c:pt idx="0">
                  <c:v>8904440</c:v>
                </c:pt>
              </c:numCache>
            </c:numRef>
          </c:val>
          <c:extLst>
            <c:ext xmlns:c16="http://schemas.microsoft.com/office/drawing/2014/chart" uri="{C3380CC4-5D6E-409C-BE32-E72D297353CC}">
              <c16:uniqueId val="{00000000-BFD3-4F4F-B17C-C20830E5BD86}"/>
            </c:ext>
          </c:extLst>
        </c:ser>
        <c:ser>
          <c:idx val="1"/>
          <c:order val="1"/>
          <c:tx>
            <c:strRef>
              <c:f>Sheet3!$K$35</c:f>
              <c:strCache>
                <c:ptCount val="1"/>
                <c:pt idx="0">
                  <c:v>Realized 2017-2019</c:v>
                </c:pt>
              </c:strCache>
            </c:strRef>
          </c:tx>
          <c:spPr>
            <a:solidFill>
              <a:schemeClr val="accent2"/>
            </a:solidFill>
            <a:ln>
              <a:noFill/>
            </a:ln>
            <a:effectLst/>
          </c:spPr>
          <c:invertIfNegative val="0"/>
          <c:dLbls>
            <c:delete val="1"/>
          </c:dLbls>
          <c:val>
            <c:numRef>
              <c:f>Sheet3!$K$36</c:f>
              <c:numCache>
                <c:formatCode>General</c:formatCode>
                <c:ptCount val="1"/>
                <c:pt idx="0">
                  <c:v>7294229</c:v>
                </c:pt>
              </c:numCache>
            </c:numRef>
          </c:val>
          <c:extLst>
            <c:ext xmlns:c16="http://schemas.microsoft.com/office/drawing/2014/chart" uri="{C3380CC4-5D6E-409C-BE32-E72D297353CC}">
              <c16:uniqueId val="{00000001-BFD3-4F4F-B17C-C20830E5BD86}"/>
            </c:ext>
          </c:extLst>
        </c:ser>
        <c:dLbls>
          <c:showLegendKey val="0"/>
          <c:showVal val="1"/>
          <c:showCatName val="0"/>
          <c:showSerName val="0"/>
          <c:showPercent val="0"/>
          <c:showBubbleSize val="0"/>
        </c:dLbls>
        <c:gapWidth val="444"/>
        <c:axId val="675843072"/>
        <c:axId val="802775264"/>
      </c:barChart>
      <c:catAx>
        <c:axId val="675843072"/>
        <c:scaling>
          <c:orientation val="minMax"/>
        </c:scaling>
        <c:delete val="1"/>
        <c:axPos val="b"/>
        <c:numFmt formatCode="General" sourceLinked="1"/>
        <c:majorTickMark val="none"/>
        <c:minorTickMark val="none"/>
        <c:tickLblPos val="nextTo"/>
        <c:crossAx val="802775264"/>
        <c:crosses val="autoZero"/>
        <c:auto val="1"/>
        <c:lblAlgn val="ctr"/>
        <c:lblOffset val="100"/>
        <c:noMultiLvlLbl val="0"/>
      </c:catAx>
      <c:valAx>
        <c:axId val="802775264"/>
        <c:scaling>
          <c:orientation val="minMax"/>
        </c:scaling>
        <c:delete val="1"/>
        <c:axPos val="l"/>
        <c:numFmt formatCode="General" sourceLinked="1"/>
        <c:majorTickMark val="none"/>
        <c:minorTickMark val="none"/>
        <c:tickLblPos val="nextTo"/>
        <c:crossAx val="675843072"/>
        <c:crosses val="autoZero"/>
        <c:crossBetween val="between"/>
      </c:valAx>
      <c:spPr>
        <a:noFill/>
        <a:ln>
          <a:noFill/>
        </a:ln>
        <a:effectLst/>
      </c:spPr>
    </c:plotArea>
    <c:legend>
      <c:legendPos val="b"/>
      <c:layout>
        <c:manualLayout>
          <c:xMode val="edge"/>
          <c:yMode val="edge"/>
          <c:x val="5.0000087860028429E-2"/>
          <c:y val="0.92077973242003852"/>
          <c:w val="0.89999979669466179"/>
          <c:h val="7.92200927610175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rPr>
              <a:t>Figure 6</a:t>
            </a:r>
          </a:p>
          <a:p>
            <a:pPr>
              <a:defRPr sz="1100">
                <a:solidFill>
                  <a:sysClr val="windowText" lastClr="000000"/>
                </a:solidFill>
              </a:defRPr>
            </a:pPr>
            <a:r>
              <a:rPr lang="en-US" sz="1100">
                <a:solidFill>
                  <a:sysClr val="windowText" lastClr="000000"/>
                </a:solidFill>
              </a:rPr>
              <a:t>Government realization of cofinancing committment </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9397-4FAC-8E35-9258BB17019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9397-4FAC-8E35-9258BB170190}"/>
              </c:ext>
            </c:extLst>
          </c:dPt>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Sheet3!$K$35:$L$35</c:f>
              <c:strCache>
                <c:ptCount val="2"/>
                <c:pt idx="0">
                  <c:v>Realized 2017-2019</c:v>
                </c:pt>
                <c:pt idx="1">
                  <c:v>Unspent 2017-2019</c:v>
                </c:pt>
              </c:strCache>
            </c:strRef>
          </c:cat>
          <c:val>
            <c:numRef>
              <c:f>Sheet3!$K$36:$L$36</c:f>
              <c:numCache>
                <c:formatCode>General</c:formatCode>
                <c:ptCount val="2"/>
                <c:pt idx="0">
                  <c:v>7294229</c:v>
                </c:pt>
                <c:pt idx="1">
                  <c:v>1610211</c:v>
                </c:pt>
              </c:numCache>
            </c:numRef>
          </c:val>
          <c:extLst>
            <c:ext xmlns:c16="http://schemas.microsoft.com/office/drawing/2014/chart" uri="{C3380CC4-5D6E-409C-BE32-E72D297353CC}">
              <c16:uniqueId val="{00000004-9397-4FAC-8E35-9258BB17019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n-US" sz="1100" b="1">
                <a:latin typeface="Arial" panose="020B0604020202020204" pitchFamily="34" charset="0"/>
                <a:cs typeface="Arial" panose="020B0604020202020204" pitchFamily="34" charset="0"/>
              </a:rPr>
              <a:t>Figure</a:t>
            </a:r>
            <a:r>
              <a:rPr lang="en-US" sz="1100" b="1" baseline="0">
                <a:latin typeface="Arial" panose="020B0604020202020204" pitchFamily="34" charset="0"/>
                <a:cs typeface="Arial" panose="020B0604020202020204" pitchFamily="34" charset="0"/>
              </a:rPr>
              <a:t> 8-Anticipated Domestic Funding from 2019-2023</a:t>
            </a:r>
            <a:endParaRPr lang="en-US" sz="11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Sheet2!$A$10</c:f>
              <c:strCache>
                <c:ptCount val="1"/>
                <c:pt idx="0">
                  <c:v>2019</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Sheet2!$A$11</c:f>
              <c:numCache>
                <c:formatCode>#,##0</c:formatCode>
                <c:ptCount val="1"/>
                <c:pt idx="0">
                  <c:v>2748323.6702798083</c:v>
                </c:pt>
              </c:numCache>
            </c:numRef>
          </c:val>
          <c:extLst>
            <c:ext xmlns:c16="http://schemas.microsoft.com/office/drawing/2014/chart" uri="{C3380CC4-5D6E-409C-BE32-E72D297353CC}">
              <c16:uniqueId val="{00000000-B290-4F35-8C64-7683888AA080}"/>
            </c:ext>
          </c:extLst>
        </c:ser>
        <c:ser>
          <c:idx val="1"/>
          <c:order val="1"/>
          <c:tx>
            <c:strRef>
              <c:f>Sheet2!$B$10</c:f>
              <c:strCache>
                <c:ptCount val="1"/>
                <c:pt idx="0">
                  <c:v>2020</c:v>
                </c:pt>
              </c:strCache>
            </c:strRef>
          </c:tx>
          <c:spPr>
            <a:no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Sheet2!$B$11</c:f>
              <c:numCache>
                <c:formatCode>#,##0</c:formatCode>
                <c:ptCount val="1"/>
                <c:pt idx="0">
                  <c:v>4504663.4736576751</c:v>
                </c:pt>
              </c:numCache>
            </c:numRef>
          </c:val>
          <c:extLst>
            <c:ext xmlns:c16="http://schemas.microsoft.com/office/drawing/2014/chart" uri="{C3380CC4-5D6E-409C-BE32-E72D297353CC}">
              <c16:uniqueId val="{00000001-B290-4F35-8C64-7683888AA080}"/>
            </c:ext>
          </c:extLst>
        </c:ser>
        <c:ser>
          <c:idx val="2"/>
          <c:order val="2"/>
          <c:tx>
            <c:strRef>
              <c:f>Sheet2!$C$10</c:f>
              <c:strCache>
                <c:ptCount val="1"/>
                <c:pt idx="0">
                  <c:v>2021</c:v>
                </c:pt>
              </c:strCache>
            </c:strRef>
          </c:tx>
          <c:spPr>
            <a:noFill/>
            <a:ln w="25400" cap="flat" cmpd="sng" algn="ctr">
              <a:solidFill>
                <a:schemeClr val="accent3"/>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Sheet2!$C$11</c:f>
              <c:numCache>
                <c:formatCode>#,##0</c:formatCode>
                <c:ptCount val="1"/>
                <c:pt idx="0">
                  <c:v>3248991.6813713135</c:v>
                </c:pt>
              </c:numCache>
            </c:numRef>
          </c:val>
          <c:extLst>
            <c:ext xmlns:c16="http://schemas.microsoft.com/office/drawing/2014/chart" uri="{C3380CC4-5D6E-409C-BE32-E72D297353CC}">
              <c16:uniqueId val="{00000002-B290-4F35-8C64-7683888AA080}"/>
            </c:ext>
          </c:extLst>
        </c:ser>
        <c:ser>
          <c:idx val="3"/>
          <c:order val="3"/>
          <c:tx>
            <c:strRef>
              <c:f>Sheet2!$D$10</c:f>
              <c:strCache>
                <c:ptCount val="1"/>
                <c:pt idx="0">
                  <c:v>2022</c:v>
                </c:pt>
              </c:strCache>
            </c:strRef>
          </c:tx>
          <c:spPr>
            <a:noFill/>
            <a:ln w="25400" cap="flat" cmpd="sng" algn="ctr">
              <a:solidFill>
                <a:schemeClr val="accent4"/>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Sheet2!$D$11</c:f>
              <c:numCache>
                <c:formatCode>#,##0</c:formatCode>
                <c:ptCount val="1"/>
                <c:pt idx="0">
                  <c:v>3411441.2654398791</c:v>
                </c:pt>
              </c:numCache>
            </c:numRef>
          </c:val>
          <c:extLst>
            <c:ext xmlns:c16="http://schemas.microsoft.com/office/drawing/2014/chart" uri="{C3380CC4-5D6E-409C-BE32-E72D297353CC}">
              <c16:uniqueId val="{00000003-B290-4F35-8C64-7683888AA080}"/>
            </c:ext>
          </c:extLst>
        </c:ser>
        <c:ser>
          <c:idx val="4"/>
          <c:order val="4"/>
          <c:tx>
            <c:strRef>
              <c:f>Sheet2!$E$10</c:f>
              <c:strCache>
                <c:ptCount val="1"/>
                <c:pt idx="0">
                  <c:v>2023</c:v>
                </c:pt>
              </c:strCache>
            </c:strRef>
          </c:tx>
          <c:spPr>
            <a:noFill/>
            <a:ln w="25400" cap="flat" cmpd="sng" algn="ctr">
              <a:solidFill>
                <a:schemeClr val="accent5"/>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ln>
              <a:effectLst/>
            </c:spPr>
            <c:trendlineType val="linear"/>
            <c:dispRSqr val="0"/>
            <c:dispEq val="0"/>
          </c:trendline>
          <c:val>
            <c:numRef>
              <c:f>Sheet2!$E$11</c:f>
              <c:numCache>
                <c:formatCode>#,##0</c:formatCode>
                <c:ptCount val="1"/>
                <c:pt idx="0">
                  <c:v>3582013.3287118734</c:v>
                </c:pt>
              </c:numCache>
            </c:numRef>
          </c:val>
          <c:extLst>
            <c:ext xmlns:c16="http://schemas.microsoft.com/office/drawing/2014/chart" uri="{C3380CC4-5D6E-409C-BE32-E72D297353CC}">
              <c16:uniqueId val="{00000005-B290-4F35-8C64-7683888AA080}"/>
            </c:ext>
          </c:extLst>
        </c:ser>
        <c:dLbls>
          <c:dLblPos val="outEnd"/>
          <c:showLegendKey val="0"/>
          <c:showVal val="1"/>
          <c:showCatName val="0"/>
          <c:showSerName val="0"/>
          <c:showPercent val="0"/>
          <c:showBubbleSize val="0"/>
        </c:dLbls>
        <c:gapWidth val="164"/>
        <c:overlap val="-35"/>
        <c:axId val="1611963055"/>
        <c:axId val="1598364463"/>
      </c:barChart>
      <c:catAx>
        <c:axId val="1611963055"/>
        <c:scaling>
          <c:orientation val="minMax"/>
        </c:scaling>
        <c:delete val="1"/>
        <c:axPos val="b"/>
        <c:numFmt formatCode="General" sourceLinked="1"/>
        <c:majorTickMark val="none"/>
        <c:minorTickMark val="none"/>
        <c:tickLblPos val="nextTo"/>
        <c:crossAx val="1598364463"/>
        <c:crosses val="autoZero"/>
        <c:auto val="1"/>
        <c:lblAlgn val="ctr"/>
        <c:lblOffset val="100"/>
        <c:noMultiLvlLbl val="0"/>
      </c:catAx>
      <c:valAx>
        <c:axId val="1598364463"/>
        <c:scaling>
          <c:orientation val="minMax"/>
        </c:scaling>
        <c:delete val="1"/>
        <c:axPos val="l"/>
        <c:numFmt formatCode="#,##0" sourceLinked="1"/>
        <c:majorTickMark val="none"/>
        <c:minorTickMark val="none"/>
        <c:tickLblPos val="nextTo"/>
        <c:crossAx val="1611963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t>Figure-10 </a:t>
            </a:r>
          </a:p>
          <a:p>
            <a:pPr>
              <a:defRPr sz="900" b="1"/>
            </a:pPr>
            <a:r>
              <a:rPr lang="en-US" sz="900" b="1"/>
              <a:t>Resource Gaps Including FR 2021-2023</a:t>
            </a:r>
          </a:p>
        </c:rich>
      </c:tx>
      <c:layout>
        <c:manualLayout>
          <c:xMode val="edge"/>
          <c:yMode val="edge"/>
          <c:x val="0.13194984149708558"/>
          <c:y val="3.2249395323837679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4642857142857144E-2"/>
          <c:y val="0.26946824770842526"/>
          <c:w val="0.9107142857142857"/>
          <c:h val="0.46383478380991849"/>
        </c:manualLayout>
      </c:layout>
      <c:barChart>
        <c:barDir val="col"/>
        <c:grouping val="clustered"/>
        <c:varyColors val="0"/>
        <c:ser>
          <c:idx val="0"/>
          <c:order val="0"/>
          <c:tx>
            <c:strRef>
              <c:f>Sheet1!$K$5</c:f>
              <c:strCache>
                <c:ptCount val="1"/>
                <c:pt idx="0">
                  <c:v>Anticipated Resources with funding request</c:v>
                </c:pt>
              </c:strCache>
            </c:strRef>
          </c:tx>
          <c:spPr>
            <a:solidFill>
              <a:schemeClr val="accent6"/>
            </a:solidFill>
            <a:ln>
              <a:noFill/>
            </a:ln>
            <a:effectLst/>
          </c:spPr>
          <c:invertIfNegative val="0"/>
          <c:val>
            <c:numRef>
              <c:f>Sheet1!$L$5:$N$5</c:f>
              <c:numCache>
                <c:formatCode>General</c:formatCode>
                <c:ptCount val="3"/>
                <c:pt idx="0">
                  <c:v>12188857.529999999</c:v>
                </c:pt>
                <c:pt idx="1">
                  <c:v>12173507.66</c:v>
                </c:pt>
                <c:pt idx="2">
                  <c:v>11737958.43</c:v>
                </c:pt>
              </c:numCache>
            </c:numRef>
          </c:val>
          <c:extLst>
            <c:ext xmlns:c16="http://schemas.microsoft.com/office/drawing/2014/chart" uri="{C3380CC4-5D6E-409C-BE32-E72D297353CC}">
              <c16:uniqueId val="{00000000-003A-489D-AF46-E326471782ED}"/>
            </c:ext>
          </c:extLst>
        </c:ser>
        <c:ser>
          <c:idx val="1"/>
          <c:order val="1"/>
          <c:tx>
            <c:strRef>
              <c:f>Sheet1!$K$6</c:f>
              <c:strCache>
                <c:ptCount val="1"/>
                <c:pt idx="0">
                  <c:v>Total Remaining Funding Gap (annual amounts) 39951427.58</c:v>
                </c:pt>
              </c:strCache>
            </c:strRef>
          </c:tx>
          <c:spPr>
            <a:solidFill>
              <a:schemeClr val="accent5"/>
            </a:solidFill>
            <a:ln>
              <a:noFill/>
            </a:ln>
            <a:effectLst/>
          </c:spPr>
          <c:invertIfNegative val="0"/>
          <c:val>
            <c:numRef>
              <c:f>Sheet1!$L$6:$N$6</c:f>
              <c:numCache>
                <c:formatCode>General</c:formatCode>
                <c:ptCount val="3"/>
                <c:pt idx="0">
                  <c:v>41430668.119999997</c:v>
                </c:pt>
                <c:pt idx="1">
                  <c:v>45034869.710000001</c:v>
                </c:pt>
                <c:pt idx="2">
                  <c:v>49354264.409999996</c:v>
                </c:pt>
              </c:numCache>
            </c:numRef>
          </c:val>
          <c:extLst>
            <c:ext xmlns:c16="http://schemas.microsoft.com/office/drawing/2014/chart" uri="{C3380CC4-5D6E-409C-BE32-E72D297353CC}">
              <c16:uniqueId val="{00000001-003A-489D-AF46-E326471782ED}"/>
            </c:ext>
          </c:extLst>
        </c:ser>
        <c:dLbls>
          <c:showLegendKey val="0"/>
          <c:showVal val="0"/>
          <c:showCatName val="0"/>
          <c:showSerName val="0"/>
          <c:showPercent val="0"/>
          <c:showBubbleSize val="0"/>
        </c:dLbls>
        <c:gapWidth val="219"/>
        <c:overlap val="-27"/>
        <c:axId val="223518672"/>
        <c:axId val="223518344"/>
      </c:barChart>
      <c:catAx>
        <c:axId val="223518672"/>
        <c:scaling>
          <c:orientation val="minMax"/>
        </c:scaling>
        <c:delete val="1"/>
        <c:axPos val="b"/>
        <c:majorTickMark val="none"/>
        <c:minorTickMark val="none"/>
        <c:tickLblPos val="nextTo"/>
        <c:crossAx val="223518344"/>
        <c:crosses val="autoZero"/>
        <c:auto val="1"/>
        <c:lblAlgn val="ctr"/>
        <c:lblOffset val="100"/>
        <c:noMultiLvlLbl val="0"/>
      </c:catAx>
      <c:valAx>
        <c:axId val="223518344"/>
        <c:scaling>
          <c:orientation val="minMax"/>
        </c:scaling>
        <c:delete val="1"/>
        <c:axPos val="l"/>
        <c:numFmt formatCode="General" sourceLinked="1"/>
        <c:majorTickMark val="none"/>
        <c:minorTickMark val="none"/>
        <c:tickLblPos val="nextTo"/>
        <c:crossAx val="22351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a:latin typeface="Arial" panose="020B0604020202020204" pitchFamily="34" charset="0"/>
                <a:cs typeface="Arial" panose="020B0604020202020204" pitchFamily="34" charset="0"/>
              </a:rPr>
              <a:t>Figure 9</a:t>
            </a:r>
          </a:p>
          <a:p>
            <a:pPr>
              <a:defRPr sz="800" b="1">
                <a:latin typeface="Arial" panose="020B0604020202020204" pitchFamily="34" charset="0"/>
                <a:cs typeface="Arial" panose="020B0604020202020204" pitchFamily="34" charset="0"/>
              </a:defRPr>
            </a:pPr>
            <a:r>
              <a:rPr lang="en-US" sz="800" b="1">
                <a:latin typeface="Arial" panose="020B0604020202020204" pitchFamily="34" charset="0"/>
                <a:cs typeface="Arial" panose="020B0604020202020204" pitchFamily="34" charset="0"/>
              </a:rPr>
              <a:t>Resource Gap 2020-2023 with GOB funding </a:t>
            </a:r>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Sheet3!$A$2:$D$2</c:f>
              <c:strCache>
                <c:ptCount val="4"/>
                <c:pt idx="0">
                  <c:v> Total anticipated resources (annual amounts) </c:v>
                </c:pt>
              </c:strCache>
            </c:strRef>
          </c:tx>
          <c:spPr>
            <a:solidFill>
              <a:schemeClr val="accent1"/>
            </a:solidFill>
            <a:ln>
              <a:noFill/>
            </a:ln>
            <a:effectLst/>
            <a:sp3d/>
          </c:spPr>
          <c:invertIfNegative val="0"/>
          <c:cat>
            <c:numRef>
              <c:f>Sheet3!$E$1:$H$1</c:f>
              <c:numCache>
                <c:formatCode>General</c:formatCode>
                <c:ptCount val="4"/>
                <c:pt idx="0">
                  <c:v>2020</c:v>
                </c:pt>
                <c:pt idx="1">
                  <c:v>2021</c:v>
                </c:pt>
                <c:pt idx="2">
                  <c:v>2022</c:v>
                </c:pt>
                <c:pt idx="3">
                  <c:v>2023</c:v>
                </c:pt>
              </c:numCache>
            </c:numRef>
          </c:cat>
          <c:val>
            <c:numRef>
              <c:f>Sheet3!$E$2:$H$2</c:f>
              <c:numCache>
                <c:formatCode>General</c:formatCode>
                <c:ptCount val="4"/>
                <c:pt idx="0">
                  <c:v>12101486.385867616</c:v>
                </c:pt>
                <c:pt idx="1">
                  <c:v>4344858.4953433331</c:v>
                </c:pt>
                <c:pt idx="2">
                  <c:v>4294822.8205328966</c:v>
                </c:pt>
                <c:pt idx="3">
                  <c:v>4450394.8838048913</c:v>
                </c:pt>
              </c:numCache>
            </c:numRef>
          </c:val>
          <c:extLst>
            <c:ext xmlns:c16="http://schemas.microsoft.com/office/drawing/2014/chart" uri="{C3380CC4-5D6E-409C-BE32-E72D297353CC}">
              <c16:uniqueId val="{00000000-6087-465A-8C84-F6EA0ED12A3D}"/>
            </c:ext>
          </c:extLst>
        </c:ser>
        <c:ser>
          <c:idx val="1"/>
          <c:order val="1"/>
          <c:tx>
            <c:strRef>
              <c:f>Sheet3!$A$9:$D$9</c:f>
              <c:strCache>
                <c:ptCount val="4"/>
                <c:pt idx="0">
                  <c:v> Annual anticipated funding gap </c:v>
                </c:pt>
              </c:strCache>
            </c:strRef>
          </c:tx>
          <c:spPr>
            <a:solidFill>
              <a:schemeClr val="accent2"/>
            </a:solidFill>
            <a:ln>
              <a:noFill/>
            </a:ln>
            <a:effectLst/>
            <a:sp3d/>
          </c:spPr>
          <c:invertIfNegative val="0"/>
          <c:cat>
            <c:numRef>
              <c:f>Sheet3!$E$1:$H$1</c:f>
              <c:numCache>
                <c:formatCode>General</c:formatCode>
                <c:ptCount val="4"/>
                <c:pt idx="0">
                  <c:v>2020</c:v>
                </c:pt>
                <c:pt idx="1">
                  <c:v>2021</c:v>
                </c:pt>
                <c:pt idx="2">
                  <c:v>2022</c:v>
                </c:pt>
                <c:pt idx="3">
                  <c:v>2023</c:v>
                </c:pt>
              </c:numCache>
            </c:numRef>
          </c:cat>
          <c:val>
            <c:numRef>
              <c:f>Sheet3!$E$9:$H$9</c:f>
              <c:numCache>
                <c:formatCode>General</c:formatCode>
                <c:ptCount val="4"/>
                <c:pt idx="0">
                  <c:v>39951427.5807513</c:v>
                </c:pt>
                <c:pt idx="1">
                  <c:v>49274667.153604381</c:v>
                </c:pt>
                <c:pt idx="2">
                  <c:v>52913554.546866871</c:v>
                </c:pt>
                <c:pt idx="3">
                  <c:v>56641827.9567101</c:v>
                </c:pt>
              </c:numCache>
            </c:numRef>
          </c:val>
          <c:extLst>
            <c:ext xmlns:c16="http://schemas.microsoft.com/office/drawing/2014/chart" uri="{C3380CC4-5D6E-409C-BE32-E72D297353CC}">
              <c16:uniqueId val="{00000001-6087-465A-8C84-F6EA0ED12A3D}"/>
            </c:ext>
          </c:extLst>
        </c:ser>
        <c:dLbls>
          <c:showLegendKey val="0"/>
          <c:showVal val="0"/>
          <c:showCatName val="0"/>
          <c:showSerName val="0"/>
          <c:showPercent val="0"/>
          <c:showBubbleSize val="0"/>
        </c:dLbls>
        <c:gapWidth val="150"/>
        <c:shape val="box"/>
        <c:axId val="1603774928"/>
        <c:axId val="1918399824"/>
        <c:axId val="0"/>
      </c:bar3DChart>
      <c:catAx>
        <c:axId val="1603774928"/>
        <c:scaling>
          <c:orientation val="minMax"/>
        </c:scaling>
        <c:delete val="1"/>
        <c:axPos val="b"/>
        <c:numFmt formatCode="General" sourceLinked="1"/>
        <c:majorTickMark val="none"/>
        <c:minorTickMark val="none"/>
        <c:tickLblPos val="nextTo"/>
        <c:crossAx val="1918399824"/>
        <c:crosses val="autoZero"/>
        <c:auto val="1"/>
        <c:lblAlgn val="ctr"/>
        <c:lblOffset val="100"/>
        <c:noMultiLvlLbl val="0"/>
      </c:catAx>
      <c:valAx>
        <c:axId val="1918399824"/>
        <c:scaling>
          <c:orientation val="minMax"/>
        </c:scaling>
        <c:delete val="1"/>
        <c:axPos val="l"/>
        <c:numFmt formatCode="General" sourceLinked="1"/>
        <c:majorTickMark val="none"/>
        <c:minorTickMark val="none"/>
        <c:tickLblPos val="nextTo"/>
        <c:crossAx val="160377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4E481C97614ACFA5029A0F885399E6"/>
        <w:category>
          <w:name w:val="General"/>
          <w:gallery w:val="placeholder"/>
        </w:category>
        <w:types>
          <w:type w:val="bbPlcHdr"/>
        </w:types>
        <w:behaviors>
          <w:behavior w:val="content"/>
        </w:behaviors>
        <w:guid w:val="{29350663-B7A3-4A3D-8360-75C526B11A10}"/>
      </w:docPartPr>
      <w:docPartBody>
        <w:p w:rsidR="00046D04" w:rsidRDefault="00046D04" w:rsidP="00046D04">
          <w:pPr>
            <w:pStyle w:val="184E481C97614ACFA5029A0F885399E61"/>
          </w:pPr>
          <w:r w:rsidRPr="00E15857">
            <w:rPr>
              <w:rStyle w:val="PlaceholderText"/>
              <w:color w:val="44546A" w:themeColor="text2"/>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CDDD274-BB6A-4B6D-8BC8-6E2A65E9D4A0}"/>
      </w:docPartPr>
      <w:docPartBody>
        <w:p w:rsidR="00404AF6" w:rsidRDefault="00073973">
          <w:r w:rsidRPr="00BB53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A1"/>
    <w:rsid w:val="00046D04"/>
    <w:rsid w:val="00073973"/>
    <w:rsid w:val="000D4B67"/>
    <w:rsid w:val="00124A47"/>
    <w:rsid w:val="00145BE0"/>
    <w:rsid w:val="00156C44"/>
    <w:rsid w:val="00176ED7"/>
    <w:rsid w:val="001A1136"/>
    <w:rsid w:val="001C702E"/>
    <w:rsid w:val="00234B8B"/>
    <w:rsid w:val="00282FEF"/>
    <w:rsid w:val="002F0B52"/>
    <w:rsid w:val="00316A00"/>
    <w:rsid w:val="0033438A"/>
    <w:rsid w:val="00344512"/>
    <w:rsid w:val="003A0392"/>
    <w:rsid w:val="00404AF6"/>
    <w:rsid w:val="0043665D"/>
    <w:rsid w:val="004A20E8"/>
    <w:rsid w:val="00507549"/>
    <w:rsid w:val="00520052"/>
    <w:rsid w:val="00523F6C"/>
    <w:rsid w:val="005E07A1"/>
    <w:rsid w:val="005F2A52"/>
    <w:rsid w:val="006A4236"/>
    <w:rsid w:val="006C59C6"/>
    <w:rsid w:val="006C7FBE"/>
    <w:rsid w:val="006D39FB"/>
    <w:rsid w:val="00705984"/>
    <w:rsid w:val="0071250F"/>
    <w:rsid w:val="00730CFF"/>
    <w:rsid w:val="007C0D3F"/>
    <w:rsid w:val="0082456E"/>
    <w:rsid w:val="0083184D"/>
    <w:rsid w:val="00853CD4"/>
    <w:rsid w:val="008A6F9F"/>
    <w:rsid w:val="008E51C2"/>
    <w:rsid w:val="008F7CFE"/>
    <w:rsid w:val="0095631A"/>
    <w:rsid w:val="00996458"/>
    <w:rsid w:val="00A74E51"/>
    <w:rsid w:val="00A7566B"/>
    <w:rsid w:val="00A8117D"/>
    <w:rsid w:val="00AE43EB"/>
    <w:rsid w:val="00AF664B"/>
    <w:rsid w:val="00AF741A"/>
    <w:rsid w:val="00B24CA6"/>
    <w:rsid w:val="00B71762"/>
    <w:rsid w:val="00B80191"/>
    <w:rsid w:val="00C42128"/>
    <w:rsid w:val="00D13119"/>
    <w:rsid w:val="00D71390"/>
    <w:rsid w:val="00D90ABF"/>
    <w:rsid w:val="00DD6672"/>
    <w:rsid w:val="00E16430"/>
    <w:rsid w:val="00E95F64"/>
    <w:rsid w:val="00EA7ABA"/>
    <w:rsid w:val="00F02102"/>
    <w:rsid w:val="00F83435"/>
    <w:rsid w:val="00FA7847"/>
    <w:rsid w:val="00FB4D9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17D"/>
    <w:rPr>
      <w:color w:val="808080"/>
      <w:lang w:val="en-US"/>
    </w:rPr>
  </w:style>
  <w:style w:type="paragraph" w:customStyle="1" w:styleId="2B681AD5737D4922994A94D8D6341007">
    <w:name w:val="2B681AD5737D4922994A94D8D6341007"/>
    <w:rsid w:val="005E07A1"/>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2B681AD5737D4922994A94D8D63410071">
    <w:name w:val="2B681AD5737D4922994A94D8D63410071"/>
    <w:rsid w:val="005E07A1"/>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8A7379AE5F554A339AA886A39CCF9844">
    <w:name w:val="8A7379AE5F554A339AA886A39CCF9844"/>
    <w:rsid w:val="005E07A1"/>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2B681AD5737D4922994A94D8D63410072">
    <w:name w:val="2B681AD5737D4922994A94D8D63410072"/>
    <w:rsid w:val="005E07A1"/>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8A7379AE5F554A339AA886A39CCF98441">
    <w:name w:val="8A7379AE5F554A339AA886A39CCF98441"/>
    <w:rsid w:val="005E07A1"/>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62F8757CF14F446A83DD14D59AC84366">
    <w:name w:val="62F8757CF14F446A83DD14D59AC84366"/>
    <w:rsid w:val="005E07A1"/>
    <w:pPr>
      <w:spacing w:line="260" w:lineRule="atLeast"/>
      <w:jc w:val="center"/>
    </w:pPr>
    <w:rPr>
      <w:rFonts w:eastAsiaTheme="minorHAnsi"/>
      <w:b/>
      <w:caps/>
    </w:rPr>
  </w:style>
  <w:style w:type="paragraph" w:customStyle="1" w:styleId="5A8E58D5F9D847789071BDAE26BA0293">
    <w:name w:val="5A8E58D5F9D847789071BDAE26BA0293"/>
    <w:rsid w:val="005E07A1"/>
    <w:pPr>
      <w:spacing w:line="260" w:lineRule="atLeast"/>
      <w:jc w:val="center"/>
    </w:pPr>
    <w:rPr>
      <w:rFonts w:eastAsiaTheme="minorHAnsi"/>
      <w:b/>
      <w:caps/>
    </w:rPr>
  </w:style>
  <w:style w:type="paragraph" w:customStyle="1" w:styleId="2B681AD5737D4922994A94D8D63410073">
    <w:name w:val="2B681AD5737D4922994A94D8D63410073"/>
    <w:rsid w:val="00E95F64"/>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62F8757CF14F446A83DD14D59AC843661">
    <w:name w:val="62F8757CF14F446A83DD14D59AC843661"/>
    <w:rsid w:val="00E95F64"/>
    <w:pPr>
      <w:spacing w:line="260" w:lineRule="atLeast"/>
      <w:jc w:val="center"/>
    </w:pPr>
    <w:rPr>
      <w:rFonts w:eastAsiaTheme="minorHAnsi"/>
      <w:b/>
      <w:caps/>
    </w:rPr>
  </w:style>
  <w:style w:type="paragraph" w:customStyle="1" w:styleId="980E0BC09A6A44C5B61507D7633E751A">
    <w:name w:val="980E0BC09A6A44C5B61507D7633E751A"/>
    <w:rsid w:val="002F0B52"/>
    <w:pPr>
      <w:spacing w:after="0" w:line="260" w:lineRule="atLeast"/>
    </w:pPr>
    <w:rPr>
      <w:rFonts w:eastAsiaTheme="minorHAnsi"/>
      <w:lang w:eastAsia="en-US"/>
    </w:rPr>
  </w:style>
  <w:style w:type="paragraph" w:customStyle="1" w:styleId="2B681AD5737D4922994A94D8D63410074">
    <w:name w:val="2B681AD5737D4922994A94D8D63410074"/>
    <w:rsid w:val="002F0B52"/>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62F8757CF14F446A83DD14D59AC843662">
    <w:name w:val="62F8757CF14F446A83DD14D59AC843662"/>
    <w:rsid w:val="002F0B52"/>
    <w:pPr>
      <w:spacing w:line="260" w:lineRule="atLeast"/>
      <w:jc w:val="center"/>
    </w:pPr>
    <w:rPr>
      <w:rFonts w:eastAsiaTheme="minorHAnsi"/>
      <w:b/>
      <w:caps/>
    </w:rPr>
  </w:style>
  <w:style w:type="paragraph" w:customStyle="1" w:styleId="980E0BC09A6A44C5B61507D7633E751A1">
    <w:name w:val="980E0BC09A6A44C5B61507D7633E751A1"/>
    <w:rsid w:val="0082456E"/>
    <w:pPr>
      <w:spacing w:after="0" w:line="260" w:lineRule="atLeast"/>
    </w:pPr>
    <w:rPr>
      <w:rFonts w:eastAsiaTheme="minorHAnsi"/>
      <w:lang w:eastAsia="en-US"/>
    </w:rPr>
  </w:style>
  <w:style w:type="paragraph" w:customStyle="1" w:styleId="2B681AD5737D4922994A94D8D63410075">
    <w:name w:val="2B681AD5737D4922994A94D8D63410075"/>
    <w:rsid w:val="0082456E"/>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
    <w:name w:val="C9DD0238A61240D0AC199EA3542086C9"/>
    <w:rsid w:val="0082456E"/>
    <w:pPr>
      <w:spacing w:line="260" w:lineRule="atLeast"/>
      <w:jc w:val="center"/>
    </w:pPr>
    <w:rPr>
      <w:rFonts w:eastAsiaTheme="minorHAnsi"/>
      <w:b/>
      <w:caps/>
    </w:rPr>
  </w:style>
  <w:style w:type="paragraph" w:customStyle="1" w:styleId="EE96421251444573B6897316BD48B66F">
    <w:name w:val="EE96421251444573B6897316BD48B66F"/>
    <w:rsid w:val="0082456E"/>
    <w:pPr>
      <w:spacing w:line="260" w:lineRule="atLeast"/>
      <w:jc w:val="center"/>
    </w:pPr>
    <w:rPr>
      <w:rFonts w:eastAsiaTheme="minorHAnsi"/>
      <w:b/>
      <w:caps/>
    </w:rPr>
  </w:style>
  <w:style w:type="paragraph" w:customStyle="1" w:styleId="A39ACD97DB174FFCABCA97DB23D742F5">
    <w:name w:val="A39ACD97DB174FFCABCA97DB23D742F5"/>
    <w:rsid w:val="0082456E"/>
    <w:pPr>
      <w:spacing w:line="260" w:lineRule="atLeast"/>
      <w:jc w:val="center"/>
    </w:pPr>
    <w:rPr>
      <w:rFonts w:eastAsiaTheme="minorHAnsi"/>
      <w:b/>
      <w:caps/>
    </w:rPr>
  </w:style>
  <w:style w:type="paragraph" w:customStyle="1" w:styleId="980E0BC09A6A44C5B61507D7633E751A2">
    <w:name w:val="980E0BC09A6A44C5B61507D7633E751A2"/>
    <w:rsid w:val="0082456E"/>
    <w:pPr>
      <w:spacing w:after="0" w:line="260" w:lineRule="atLeast"/>
    </w:pPr>
    <w:rPr>
      <w:rFonts w:eastAsiaTheme="minorHAnsi"/>
      <w:lang w:eastAsia="en-US"/>
    </w:rPr>
  </w:style>
  <w:style w:type="paragraph" w:customStyle="1" w:styleId="2B681AD5737D4922994A94D8D63410076">
    <w:name w:val="2B681AD5737D4922994A94D8D63410076"/>
    <w:rsid w:val="0082456E"/>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1">
    <w:name w:val="C9DD0238A61240D0AC199EA3542086C91"/>
    <w:rsid w:val="0082456E"/>
    <w:pPr>
      <w:spacing w:line="260" w:lineRule="atLeast"/>
      <w:jc w:val="center"/>
    </w:pPr>
    <w:rPr>
      <w:rFonts w:eastAsiaTheme="minorHAnsi"/>
      <w:b/>
      <w:caps/>
    </w:rPr>
  </w:style>
  <w:style w:type="paragraph" w:customStyle="1" w:styleId="EE96421251444573B6897316BD48B66F1">
    <w:name w:val="EE96421251444573B6897316BD48B66F1"/>
    <w:rsid w:val="0082456E"/>
    <w:pPr>
      <w:spacing w:line="260" w:lineRule="atLeast"/>
      <w:jc w:val="center"/>
    </w:pPr>
    <w:rPr>
      <w:rFonts w:eastAsiaTheme="minorHAnsi"/>
      <w:b/>
      <w:caps/>
    </w:rPr>
  </w:style>
  <w:style w:type="paragraph" w:customStyle="1" w:styleId="A39ACD97DB174FFCABCA97DB23D742F51">
    <w:name w:val="A39ACD97DB174FFCABCA97DB23D742F51"/>
    <w:rsid w:val="0082456E"/>
    <w:pPr>
      <w:spacing w:line="260" w:lineRule="atLeast"/>
      <w:jc w:val="center"/>
    </w:pPr>
    <w:rPr>
      <w:rFonts w:eastAsiaTheme="minorHAnsi"/>
      <w:b/>
      <w:caps/>
    </w:rPr>
  </w:style>
  <w:style w:type="paragraph" w:customStyle="1" w:styleId="F8523E93FFA144408B56CB9B5A004C8A">
    <w:name w:val="F8523E93FFA144408B56CB9B5A004C8A"/>
    <w:rsid w:val="0082456E"/>
    <w:pPr>
      <w:tabs>
        <w:tab w:val="right" w:pos="9638"/>
      </w:tabs>
      <w:spacing w:after="0" w:line="240" w:lineRule="auto"/>
    </w:pPr>
    <w:rPr>
      <w:rFonts w:eastAsiaTheme="minorHAnsi"/>
      <w:sz w:val="16"/>
      <w:szCs w:val="16"/>
      <w:lang w:eastAsia="en-US"/>
    </w:rPr>
  </w:style>
  <w:style w:type="paragraph" w:customStyle="1" w:styleId="970C171108EB48EF965018773F7A3DF4">
    <w:name w:val="970C171108EB48EF965018773F7A3DF4"/>
    <w:rsid w:val="0082456E"/>
    <w:pPr>
      <w:tabs>
        <w:tab w:val="right" w:pos="9638"/>
      </w:tabs>
      <w:spacing w:after="0" w:line="240" w:lineRule="auto"/>
    </w:pPr>
    <w:rPr>
      <w:rFonts w:eastAsiaTheme="minorHAnsi"/>
      <w:sz w:val="16"/>
      <w:szCs w:val="16"/>
      <w:lang w:eastAsia="en-US"/>
    </w:rPr>
  </w:style>
  <w:style w:type="paragraph" w:customStyle="1" w:styleId="92BE380C6300430FA99802F71E4D3A47">
    <w:name w:val="92BE380C6300430FA99802F71E4D3A47"/>
    <w:rsid w:val="0082456E"/>
    <w:pPr>
      <w:tabs>
        <w:tab w:val="right" w:pos="9638"/>
      </w:tabs>
      <w:spacing w:after="0" w:line="240" w:lineRule="auto"/>
    </w:pPr>
    <w:rPr>
      <w:rFonts w:eastAsiaTheme="minorHAnsi"/>
      <w:sz w:val="16"/>
      <w:szCs w:val="16"/>
      <w:lang w:eastAsia="en-US"/>
    </w:rPr>
  </w:style>
  <w:style w:type="paragraph" w:customStyle="1" w:styleId="980E0BC09A6A44C5B61507D7633E751A3">
    <w:name w:val="980E0BC09A6A44C5B61507D7633E751A3"/>
    <w:rsid w:val="00FB4D9B"/>
    <w:pPr>
      <w:spacing w:after="0" w:line="260" w:lineRule="atLeast"/>
    </w:pPr>
    <w:rPr>
      <w:rFonts w:eastAsiaTheme="minorHAnsi"/>
      <w:lang w:eastAsia="en-US"/>
    </w:rPr>
  </w:style>
  <w:style w:type="paragraph" w:customStyle="1" w:styleId="2B681AD5737D4922994A94D8D63410077">
    <w:name w:val="2B681AD5737D4922994A94D8D63410077"/>
    <w:rsid w:val="00FB4D9B"/>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2">
    <w:name w:val="C9DD0238A61240D0AC199EA3542086C92"/>
    <w:rsid w:val="00FB4D9B"/>
    <w:pPr>
      <w:spacing w:line="260" w:lineRule="atLeast"/>
      <w:jc w:val="center"/>
    </w:pPr>
    <w:rPr>
      <w:rFonts w:eastAsiaTheme="minorHAnsi"/>
      <w:b/>
      <w:caps/>
    </w:rPr>
  </w:style>
  <w:style w:type="paragraph" w:customStyle="1" w:styleId="EE96421251444573B6897316BD48B66F2">
    <w:name w:val="EE96421251444573B6897316BD48B66F2"/>
    <w:rsid w:val="00FB4D9B"/>
    <w:pPr>
      <w:spacing w:line="260" w:lineRule="atLeast"/>
      <w:jc w:val="center"/>
    </w:pPr>
    <w:rPr>
      <w:rFonts w:eastAsiaTheme="minorHAnsi"/>
      <w:b/>
      <w:caps/>
    </w:rPr>
  </w:style>
  <w:style w:type="paragraph" w:customStyle="1" w:styleId="A39ACD97DB174FFCABCA97DB23D742F52">
    <w:name w:val="A39ACD97DB174FFCABCA97DB23D742F52"/>
    <w:rsid w:val="00FB4D9B"/>
    <w:pPr>
      <w:spacing w:line="260" w:lineRule="atLeast"/>
      <w:jc w:val="center"/>
    </w:pPr>
    <w:rPr>
      <w:rFonts w:eastAsiaTheme="minorHAnsi"/>
      <w:b/>
      <w:caps/>
    </w:rPr>
  </w:style>
  <w:style w:type="paragraph" w:customStyle="1" w:styleId="F8523E93FFA144408B56CB9B5A004C8A1">
    <w:name w:val="F8523E93FFA144408B56CB9B5A004C8A1"/>
    <w:rsid w:val="00FB4D9B"/>
    <w:pPr>
      <w:tabs>
        <w:tab w:val="right" w:pos="9638"/>
      </w:tabs>
      <w:spacing w:after="0" w:line="240" w:lineRule="auto"/>
    </w:pPr>
    <w:rPr>
      <w:rFonts w:eastAsiaTheme="minorHAnsi"/>
      <w:sz w:val="16"/>
      <w:szCs w:val="16"/>
      <w:lang w:eastAsia="en-US"/>
    </w:rPr>
  </w:style>
  <w:style w:type="paragraph" w:customStyle="1" w:styleId="970C171108EB48EF965018773F7A3DF41">
    <w:name w:val="970C171108EB48EF965018773F7A3DF41"/>
    <w:rsid w:val="00FB4D9B"/>
    <w:pPr>
      <w:tabs>
        <w:tab w:val="right" w:pos="9638"/>
      </w:tabs>
      <w:spacing w:after="0" w:line="240" w:lineRule="auto"/>
    </w:pPr>
    <w:rPr>
      <w:rFonts w:eastAsiaTheme="minorHAnsi"/>
      <w:sz w:val="16"/>
      <w:szCs w:val="16"/>
      <w:lang w:eastAsia="en-US"/>
    </w:rPr>
  </w:style>
  <w:style w:type="paragraph" w:customStyle="1" w:styleId="92BE380C6300430FA99802F71E4D3A471">
    <w:name w:val="92BE380C6300430FA99802F71E4D3A471"/>
    <w:rsid w:val="00FB4D9B"/>
    <w:pPr>
      <w:tabs>
        <w:tab w:val="right" w:pos="9638"/>
      </w:tabs>
      <w:spacing w:after="0" w:line="240" w:lineRule="auto"/>
    </w:pPr>
    <w:rPr>
      <w:rFonts w:eastAsiaTheme="minorHAnsi"/>
      <w:sz w:val="16"/>
      <w:szCs w:val="16"/>
      <w:lang w:eastAsia="en-US"/>
    </w:rPr>
  </w:style>
  <w:style w:type="paragraph" w:customStyle="1" w:styleId="980E0BC09A6A44C5B61507D7633E751A4">
    <w:name w:val="980E0BC09A6A44C5B61507D7633E751A4"/>
    <w:rsid w:val="004A20E8"/>
    <w:pPr>
      <w:spacing w:after="0" w:line="260" w:lineRule="atLeast"/>
    </w:pPr>
    <w:rPr>
      <w:rFonts w:eastAsiaTheme="minorHAnsi"/>
      <w:lang w:eastAsia="en-US"/>
    </w:rPr>
  </w:style>
  <w:style w:type="paragraph" w:customStyle="1" w:styleId="2B681AD5737D4922994A94D8D63410078">
    <w:name w:val="2B681AD5737D4922994A94D8D63410078"/>
    <w:rsid w:val="004A20E8"/>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3">
    <w:name w:val="C9DD0238A61240D0AC199EA3542086C93"/>
    <w:rsid w:val="004A20E8"/>
    <w:pPr>
      <w:spacing w:line="260" w:lineRule="atLeast"/>
      <w:jc w:val="center"/>
    </w:pPr>
    <w:rPr>
      <w:rFonts w:eastAsiaTheme="minorHAnsi"/>
      <w:b/>
      <w:caps/>
    </w:rPr>
  </w:style>
  <w:style w:type="paragraph" w:customStyle="1" w:styleId="EE96421251444573B6897316BD48B66F3">
    <w:name w:val="EE96421251444573B6897316BD48B66F3"/>
    <w:rsid w:val="004A20E8"/>
    <w:pPr>
      <w:spacing w:line="260" w:lineRule="atLeast"/>
      <w:jc w:val="center"/>
    </w:pPr>
    <w:rPr>
      <w:rFonts w:eastAsiaTheme="minorHAnsi"/>
      <w:b/>
      <w:caps/>
    </w:rPr>
  </w:style>
  <w:style w:type="paragraph" w:customStyle="1" w:styleId="A39ACD97DB174FFCABCA97DB23D742F53">
    <w:name w:val="A39ACD97DB174FFCABCA97DB23D742F53"/>
    <w:rsid w:val="004A20E8"/>
    <w:pPr>
      <w:spacing w:line="260" w:lineRule="atLeast"/>
      <w:jc w:val="center"/>
    </w:pPr>
    <w:rPr>
      <w:rFonts w:eastAsiaTheme="minorHAnsi"/>
      <w:b/>
      <w:caps/>
    </w:rPr>
  </w:style>
  <w:style w:type="paragraph" w:customStyle="1" w:styleId="F8523E93FFA144408B56CB9B5A004C8A2">
    <w:name w:val="F8523E93FFA144408B56CB9B5A004C8A2"/>
    <w:rsid w:val="004A20E8"/>
    <w:pPr>
      <w:tabs>
        <w:tab w:val="right" w:pos="9638"/>
      </w:tabs>
      <w:spacing w:after="0" w:line="240" w:lineRule="auto"/>
    </w:pPr>
    <w:rPr>
      <w:rFonts w:eastAsiaTheme="minorHAnsi"/>
      <w:sz w:val="16"/>
      <w:szCs w:val="16"/>
      <w:lang w:eastAsia="en-US"/>
    </w:rPr>
  </w:style>
  <w:style w:type="paragraph" w:customStyle="1" w:styleId="970C171108EB48EF965018773F7A3DF42">
    <w:name w:val="970C171108EB48EF965018773F7A3DF42"/>
    <w:rsid w:val="004A20E8"/>
    <w:pPr>
      <w:tabs>
        <w:tab w:val="right" w:pos="9638"/>
      </w:tabs>
      <w:spacing w:after="0" w:line="240" w:lineRule="auto"/>
    </w:pPr>
    <w:rPr>
      <w:rFonts w:eastAsiaTheme="minorHAnsi"/>
      <w:sz w:val="16"/>
      <w:szCs w:val="16"/>
      <w:lang w:eastAsia="en-US"/>
    </w:rPr>
  </w:style>
  <w:style w:type="paragraph" w:customStyle="1" w:styleId="92BE380C6300430FA99802F71E4D3A472">
    <w:name w:val="92BE380C6300430FA99802F71E4D3A472"/>
    <w:rsid w:val="004A20E8"/>
    <w:pPr>
      <w:tabs>
        <w:tab w:val="right" w:pos="9638"/>
      </w:tabs>
      <w:spacing w:after="0" w:line="240" w:lineRule="auto"/>
    </w:pPr>
    <w:rPr>
      <w:rFonts w:eastAsiaTheme="minorHAnsi"/>
      <w:sz w:val="16"/>
      <w:szCs w:val="16"/>
      <w:lang w:eastAsia="en-US"/>
    </w:rPr>
  </w:style>
  <w:style w:type="paragraph" w:customStyle="1" w:styleId="980E0BC09A6A44C5B61507D7633E751A5">
    <w:name w:val="980E0BC09A6A44C5B61507D7633E751A5"/>
    <w:rsid w:val="008A6F9F"/>
    <w:pPr>
      <w:spacing w:after="0" w:line="260" w:lineRule="atLeast"/>
    </w:pPr>
    <w:rPr>
      <w:rFonts w:eastAsiaTheme="minorHAnsi"/>
      <w:lang w:eastAsia="en-US"/>
    </w:rPr>
  </w:style>
  <w:style w:type="paragraph" w:customStyle="1" w:styleId="2B681AD5737D4922994A94D8D63410079">
    <w:name w:val="2B681AD5737D4922994A94D8D63410079"/>
    <w:rsid w:val="008A6F9F"/>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4">
    <w:name w:val="C9DD0238A61240D0AC199EA3542086C94"/>
    <w:rsid w:val="008A6F9F"/>
    <w:pPr>
      <w:spacing w:line="260" w:lineRule="atLeast"/>
      <w:jc w:val="center"/>
    </w:pPr>
    <w:rPr>
      <w:rFonts w:eastAsiaTheme="minorHAnsi"/>
      <w:b/>
      <w:caps/>
    </w:rPr>
  </w:style>
  <w:style w:type="paragraph" w:customStyle="1" w:styleId="EE96421251444573B6897316BD48B66F4">
    <w:name w:val="EE96421251444573B6897316BD48B66F4"/>
    <w:rsid w:val="008A6F9F"/>
    <w:pPr>
      <w:spacing w:line="260" w:lineRule="atLeast"/>
      <w:jc w:val="center"/>
    </w:pPr>
    <w:rPr>
      <w:rFonts w:eastAsiaTheme="minorHAnsi"/>
      <w:b/>
      <w:caps/>
    </w:rPr>
  </w:style>
  <w:style w:type="paragraph" w:customStyle="1" w:styleId="A39ACD97DB174FFCABCA97DB23D742F54">
    <w:name w:val="A39ACD97DB174FFCABCA97DB23D742F54"/>
    <w:rsid w:val="008A6F9F"/>
    <w:pPr>
      <w:spacing w:line="260" w:lineRule="atLeast"/>
      <w:jc w:val="center"/>
    </w:pPr>
    <w:rPr>
      <w:rFonts w:eastAsiaTheme="minorHAnsi"/>
      <w:b/>
      <w:caps/>
    </w:rPr>
  </w:style>
  <w:style w:type="paragraph" w:customStyle="1" w:styleId="F8523E93FFA144408B56CB9B5A004C8A3">
    <w:name w:val="F8523E93FFA144408B56CB9B5A004C8A3"/>
    <w:rsid w:val="008A6F9F"/>
    <w:pPr>
      <w:tabs>
        <w:tab w:val="right" w:pos="9638"/>
      </w:tabs>
      <w:spacing w:after="0" w:line="240" w:lineRule="auto"/>
    </w:pPr>
    <w:rPr>
      <w:rFonts w:eastAsiaTheme="minorHAnsi"/>
      <w:sz w:val="16"/>
      <w:szCs w:val="16"/>
      <w:lang w:eastAsia="en-US"/>
    </w:rPr>
  </w:style>
  <w:style w:type="paragraph" w:customStyle="1" w:styleId="970C171108EB48EF965018773F7A3DF43">
    <w:name w:val="970C171108EB48EF965018773F7A3DF43"/>
    <w:rsid w:val="008A6F9F"/>
    <w:pPr>
      <w:tabs>
        <w:tab w:val="right" w:pos="9638"/>
      </w:tabs>
      <w:spacing w:after="0" w:line="240" w:lineRule="auto"/>
    </w:pPr>
    <w:rPr>
      <w:rFonts w:eastAsiaTheme="minorHAnsi"/>
      <w:sz w:val="16"/>
      <w:szCs w:val="16"/>
      <w:lang w:eastAsia="en-US"/>
    </w:rPr>
  </w:style>
  <w:style w:type="paragraph" w:customStyle="1" w:styleId="92BE380C6300430FA99802F71E4D3A473">
    <w:name w:val="92BE380C6300430FA99802F71E4D3A473"/>
    <w:rsid w:val="008A6F9F"/>
    <w:pPr>
      <w:tabs>
        <w:tab w:val="right" w:pos="9638"/>
      </w:tabs>
      <w:spacing w:after="0" w:line="240" w:lineRule="auto"/>
    </w:pPr>
    <w:rPr>
      <w:rFonts w:eastAsiaTheme="minorHAnsi"/>
      <w:sz w:val="16"/>
      <w:szCs w:val="16"/>
      <w:lang w:eastAsia="en-US"/>
    </w:rPr>
  </w:style>
  <w:style w:type="paragraph" w:customStyle="1" w:styleId="980E0BC09A6A44C5B61507D7633E751A6">
    <w:name w:val="980E0BC09A6A44C5B61507D7633E751A6"/>
    <w:rsid w:val="00F83435"/>
    <w:pPr>
      <w:spacing w:after="0" w:line="260" w:lineRule="atLeast"/>
    </w:pPr>
    <w:rPr>
      <w:rFonts w:eastAsiaTheme="minorHAnsi"/>
      <w:lang w:eastAsia="en-US"/>
    </w:rPr>
  </w:style>
  <w:style w:type="paragraph" w:customStyle="1" w:styleId="2B681AD5737D4922994A94D8D634100710">
    <w:name w:val="2B681AD5737D4922994A94D8D634100710"/>
    <w:rsid w:val="00F83435"/>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5">
    <w:name w:val="C9DD0238A61240D0AC199EA3542086C95"/>
    <w:rsid w:val="00F83435"/>
    <w:pPr>
      <w:spacing w:line="260" w:lineRule="atLeast"/>
      <w:jc w:val="center"/>
    </w:pPr>
    <w:rPr>
      <w:rFonts w:eastAsiaTheme="minorHAnsi"/>
      <w:b/>
      <w:caps/>
    </w:rPr>
  </w:style>
  <w:style w:type="paragraph" w:customStyle="1" w:styleId="EE96421251444573B6897316BD48B66F5">
    <w:name w:val="EE96421251444573B6897316BD48B66F5"/>
    <w:rsid w:val="00F83435"/>
    <w:pPr>
      <w:spacing w:line="260" w:lineRule="atLeast"/>
      <w:jc w:val="center"/>
    </w:pPr>
    <w:rPr>
      <w:rFonts w:eastAsiaTheme="minorHAnsi"/>
      <w:b/>
      <w:caps/>
    </w:rPr>
  </w:style>
  <w:style w:type="paragraph" w:customStyle="1" w:styleId="A39ACD97DB174FFCABCA97DB23D742F55">
    <w:name w:val="A39ACD97DB174FFCABCA97DB23D742F55"/>
    <w:rsid w:val="00F83435"/>
    <w:pPr>
      <w:spacing w:line="260" w:lineRule="atLeast"/>
      <w:jc w:val="center"/>
    </w:pPr>
    <w:rPr>
      <w:rFonts w:eastAsiaTheme="minorHAnsi"/>
      <w:b/>
      <w:caps/>
    </w:rPr>
  </w:style>
  <w:style w:type="paragraph" w:customStyle="1" w:styleId="F8523E93FFA144408B56CB9B5A004C8A4">
    <w:name w:val="F8523E93FFA144408B56CB9B5A004C8A4"/>
    <w:rsid w:val="00F83435"/>
    <w:pPr>
      <w:tabs>
        <w:tab w:val="right" w:pos="9638"/>
      </w:tabs>
      <w:spacing w:after="0" w:line="240" w:lineRule="auto"/>
    </w:pPr>
    <w:rPr>
      <w:rFonts w:eastAsiaTheme="minorHAnsi"/>
      <w:sz w:val="16"/>
      <w:szCs w:val="16"/>
      <w:lang w:eastAsia="en-US"/>
    </w:rPr>
  </w:style>
  <w:style w:type="paragraph" w:customStyle="1" w:styleId="970C171108EB48EF965018773F7A3DF44">
    <w:name w:val="970C171108EB48EF965018773F7A3DF44"/>
    <w:rsid w:val="00F83435"/>
    <w:pPr>
      <w:tabs>
        <w:tab w:val="right" w:pos="9638"/>
      </w:tabs>
      <w:spacing w:after="0" w:line="240" w:lineRule="auto"/>
    </w:pPr>
    <w:rPr>
      <w:rFonts w:eastAsiaTheme="minorHAnsi"/>
      <w:sz w:val="16"/>
      <w:szCs w:val="16"/>
      <w:lang w:eastAsia="en-US"/>
    </w:rPr>
  </w:style>
  <w:style w:type="paragraph" w:customStyle="1" w:styleId="92BE380C6300430FA99802F71E4D3A474">
    <w:name w:val="92BE380C6300430FA99802F71E4D3A474"/>
    <w:rsid w:val="00F83435"/>
    <w:pPr>
      <w:tabs>
        <w:tab w:val="right" w:pos="9638"/>
      </w:tabs>
      <w:spacing w:after="0" w:line="240" w:lineRule="auto"/>
    </w:pPr>
    <w:rPr>
      <w:rFonts w:eastAsiaTheme="minorHAnsi"/>
      <w:sz w:val="16"/>
      <w:szCs w:val="16"/>
      <w:lang w:eastAsia="en-US"/>
    </w:rPr>
  </w:style>
  <w:style w:type="paragraph" w:customStyle="1" w:styleId="980E0BC09A6A44C5B61507D7633E751A7">
    <w:name w:val="980E0BC09A6A44C5B61507D7633E751A7"/>
    <w:rsid w:val="00B24CA6"/>
    <w:pPr>
      <w:spacing w:after="0" w:line="260" w:lineRule="atLeast"/>
    </w:pPr>
    <w:rPr>
      <w:rFonts w:eastAsiaTheme="minorHAnsi"/>
      <w:lang w:eastAsia="en-US"/>
    </w:rPr>
  </w:style>
  <w:style w:type="paragraph" w:customStyle="1" w:styleId="2B681AD5737D4922994A94D8D634100711">
    <w:name w:val="2B681AD5737D4922994A94D8D634100711"/>
    <w:rsid w:val="00B24CA6"/>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6">
    <w:name w:val="C9DD0238A61240D0AC199EA3542086C96"/>
    <w:rsid w:val="00B24CA6"/>
    <w:pPr>
      <w:spacing w:line="260" w:lineRule="atLeast"/>
      <w:jc w:val="center"/>
    </w:pPr>
    <w:rPr>
      <w:rFonts w:eastAsiaTheme="minorHAnsi"/>
      <w:b/>
      <w:caps/>
    </w:rPr>
  </w:style>
  <w:style w:type="paragraph" w:customStyle="1" w:styleId="EE96421251444573B6897316BD48B66F6">
    <w:name w:val="EE96421251444573B6897316BD48B66F6"/>
    <w:rsid w:val="00B24CA6"/>
    <w:pPr>
      <w:spacing w:line="260" w:lineRule="atLeast"/>
      <w:jc w:val="center"/>
    </w:pPr>
    <w:rPr>
      <w:rFonts w:eastAsiaTheme="minorHAnsi"/>
      <w:b/>
      <w:caps/>
    </w:rPr>
  </w:style>
  <w:style w:type="paragraph" w:customStyle="1" w:styleId="A39ACD97DB174FFCABCA97DB23D742F56">
    <w:name w:val="A39ACD97DB174FFCABCA97DB23D742F56"/>
    <w:rsid w:val="00B24CA6"/>
    <w:pPr>
      <w:spacing w:line="260" w:lineRule="atLeast"/>
      <w:jc w:val="center"/>
    </w:pPr>
    <w:rPr>
      <w:rFonts w:eastAsiaTheme="minorHAnsi"/>
      <w:b/>
      <w:caps/>
    </w:rPr>
  </w:style>
  <w:style w:type="paragraph" w:customStyle="1" w:styleId="F8523E93FFA144408B56CB9B5A004C8A5">
    <w:name w:val="F8523E93FFA144408B56CB9B5A004C8A5"/>
    <w:rsid w:val="00B24CA6"/>
    <w:pPr>
      <w:tabs>
        <w:tab w:val="right" w:pos="9638"/>
      </w:tabs>
      <w:spacing w:after="0" w:line="240" w:lineRule="auto"/>
    </w:pPr>
    <w:rPr>
      <w:rFonts w:eastAsiaTheme="minorHAnsi"/>
      <w:sz w:val="16"/>
      <w:szCs w:val="16"/>
      <w:lang w:eastAsia="en-US"/>
    </w:rPr>
  </w:style>
  <w:style w:type="paragraph" w:customStyle="1" w:styleId="970C171108EB48EF965018773F7A3DF45">
    <w:name w:val="970C171108EB48EF965018773F7A3DF45"/>
    <w:rsid w:val="00B24CA6"/>
    <w:pPr>
      <w:tabs>
        <w:tab w:val="right" w:pos="9638"/>
      </w:tabs>
      <w:spacing w:after="0" w:line="240" w:lineRule="auto"/>
    </w:pPr>
    <w:rPr>
      <w:rFonts w:eastAsiaTheme="minorHAnsi"/>
      <w:sz w:val="16"/>
      <w:szCs w:val="16"/>
      <w:lang w:eastAsia="en-US"/>
    </w:rPr>
  </w:style>
  <w:style w:type="paragraph" w:customStyle="1" w:styleId="92BE380C6300430FA99802F71E4D3A475">
    <w:name w:val="92BE380C6300430FA99802F71E4D3A475"/>
    <w:rsid w:val="00B24CA6"/>
    <w:pPr>
      <w:tabs>
        <w:tab w:val="right" w:pos="9638"/>
      </w:tabs>
      <w:spacing w:after="0" w:line="240" w:lineRule="auto"/>
    </w:pPr>
    <w:rPr>
      <w:rFonts w:eastAsiaTheme="minorHAnsi"/>
      <w:sz w:val="16"/>
      <w:szCs w:val="16"/>
      <w:lang w:eastAsia="en-US"/>
    </w:rPr>
  </w:style>
  <w:style w:type="paragraph" w:customStyle="1" w:styleId="980E0BC09A6A44C5B61507D7633E751A8">
    <w:name w:val="980E0BC09A6A44C5B61507D7633E751A8"/>
    <w:rsid w:val="00523F6C"/>
    <w:pPr>
      <w:spacing w:after="0" w:line="260" w:lineRule="atLeast"/>
    </w:pPr>
    <w:rPr>
      <w:rFonts w:eastAsiaTheme="minorHAnsi"/>
      <w:lang w:eastAsia="en-US"/>
    </w:rPr>
  </w:style>
  <w:style w:type="paragraph" w:customStyle="1" w:styleId="2B681AD5737D4922994A94D8D634100712">
    <w:name w:val="2B681AD5737D4922994A94D8D634100712"/>
    <w:rsid w:val="00523F6C"/>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7">
    <w:name w:val="C9DD0238A61240D0AC199EA3542086C97"/>
    <w:rsid w:val="00523F6C"/>
    <w:pPr>
      <w:spacing w:line="260" w:lineRule="atLeast"/>
      <w:jc w:val="center"/>
    </w:pPr>
    <w:rPr>
      <w:rFonts w:eastAsiaTheme="minorHAnsi"/>
      <w:b/>
      <w:caps/>
    </w:rPr>
  </w:style>
  <w:style w:type="paragraph" w:customStyle="1" w:styleId="EE96421251444573B6897316BD48B66F7">
    <w:name w:val="EE96421251444573B6897316BD48B66F7"/>
    <w:rsid w:val="00523F6C"/>
    <w:pPr>
      <w:spacing w:line="260" w:lineRule="atLeast"/>
      <w:jc w:val="center"/>
    </w:pPr>
    <w:rPr>
      <w:rFonts w:eastAsiaTheme="minorHAnsi"/>
      <w:b/>
      <w:caps/>
    </w:rPr>
  </w:style>
  <w:style w:type="paragraph" w:customStyle="1" w:styleId="A39ACD97DB174FFCABCA97DB23D742F57">
    <w:name w:val="A39ACD97DB174FFCABCA97DB23D742F57"/>
    <w:rsid w:val="00523F6C"/>
    <w:pPr>
      <w:spacing w:line="260" w:lineRule="atLeast"/>
      <w:jc w:val="center"/>
    </w:pPr>
    <w:rPr>
      <w:rFonts w:eastAsiaTheme="minorHAnsi"/>
      <w:b/>
      <w:caps/>
    </w:rPr>
  </w:style>
  <w:style w:type="paragraph" w:customStyle="1" w:styleId="F8523E93FFA144408B56CB9B5A004C8A6">
    <w:name w:val="F8523E93FFA144408B56CB9B5A004C8A6"/>
    <w:rsid w:val="00523F6C"/>
    <w:pPr>
      <w:tabs>
        <w:tab w:val="right" w:pos="9638"/>
      </w:tabs>
      <w:spacing w:after="0" w:line="240" w:lineRule="auto"/>
    </w:pPr>
    <w:rPr>
      <w:rFonts w:eastAsiaTheme="minorHAnsi"/>
      <w:sz w:val="16"/>
      <w:szCs w:val="16"/>
      <w:lang w:eastAsia="en-US"/>
    </w:rPr>
  </w:style>
  <w:style w:type="paragraph" w:customStyle="1" w:styleId="970C171108EB48EF965018773F7A3DF46">
    <w:name w:val="970C171108EB48EF965018773F7A3DF46"/>
    <w:rsid w:val="00523F6C"/>
    <w:pPr>
      <w:tabs>
        <w:tab w:val="right" w:pos="9638"/>
      </w:tabs>
      <w:spacing w:after="0" w:line="240" w:lineRule="auto"/>
    </w:pPr>
    <w:rPr>
      <w:rFonts w:eastAsiaTheme="minorHAnsi"/>
      <w:sz w:val="16"/>
      <w:szCs w:val="16"/>
      <w:lang w:eastAsia="en-US"/>
    </w:rPr>
  </w:style>
  <w:style w:type="paragraph" w:customStyle="1" w:styleId="92BE380C6300430FA99802F71E4D3A476">
    <w:name w:val="92BE380C6300430FA99802F71E4D3A476"/>
    <w:rsid w:val="00523F6C"/>
    <w:pPr>
      <w:tabs>
        <w:tab w:val="right" w:pos="9638"/>
      </w:tabs>
      <w:spacing w:after="0" w:line="240" w:lineRule="auto"/>
    </w:pPr>
    <w:rPr>
      <w:rFonts w:eastAsiaTheme="minorHAnsi"/>
      <w:sz w:val="16"/>
      <w:szCs w:val="16"/>
      <w:lang w:eastAsia="en-US"/>
    </w:rPr>
  </w:style>
  <w:style w:type="paragraph" w:customStyle="1" w:styleId="980E0BC09A6A44C5B61507D7633E751A9">
    <w:name w:val="980E0BC09A6A44C5B61507D7633E751A9"/>
    <w:rsid w:val="00AE43EB"/>
    <w:pPr>
      <w:spacing w:after="0" w:line="260" w:lineRule="atLeast"/>
    </w:pPr>
    <w:rPr>
      <w:rFonts w:eastAsiaTheme="minorHAnsi"/>
      <w:lang w:eastAsia="en-US"/>
    </w:rPr>
  </w:style>
  <w:style w:type="paragraph" w:customStyle="1" w:styleId="2B681AD5737D4922994A94D8D634100713">
    <w:name w:val="2B681AD5737D4922994A94D8D634100713"/>
    <w:rsid w:val="00AE43EB"/>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8">
    <w:name w:val="C9DD0238A61240D0AC199EA3542086C98"/>
    <w:rsid w:val="00AE43EB"/>
    <w:pPr>
      <w:spacing w:line="260" w:lineRule="atLeast"/>
      <w:jc w:val="center"/>
    </w:pPr>
    <w:rPr>
      <w:rFonts w:eastAsiaTheme="minorHAnsi"/>
      <w:b/>
      <w:caps/>
    </w:rPr>
  </w:style>
  <w:style w:type="paragraph" w:customStyle="1" w:styleId="EE96421251444573B6897316BD48B66F8">
    <w:name w:val="EE96421251444573B6897316BD48B66F8"/>
    <w:rsid w:val="00AE43EB"/>
    <w:pPr>
      <w:spacing w:line="260" w:lineRule="atLeast"/>
      <w:jc w:val="center"/>
    </w:pPr>
    <w:rPr>
      <w:rFonts w:eastAsiaTheme="minorHAnsi"/>
      <w:b/>
      <w:caps/>
    </w:rPr>
  </w:style>
  <w:style w:type="paragraph" w:customStyle="1" w:styleId="A39ACD97DB174FFCABCA97DB23D742F58">
    <w:name w:val="A39ACD97DB174FFCABCA97DB23D742F58"/>
    <w:rsid w:val="00AE43EB"/>
    <w:pPr>
      <w:spacing w:line="260" w:lineRule="atLeast"/>
      <w:jc w:val="center"/>
    </w:pPr>
    <w:rPr>
      <w:rFonts w:eastAsiaTheme="minorHAnsi"/>
      <w:b/>
      <w:caps/>
    </w:rPr>
  </w:style>
  <w:style w:type="paragraph" w:customStyle="1" w:styleId="184E481C97614ACFA5029A0F885399E6">
    <w:name w:val="184E481C97614ACFA5029A0F885399E6"/>
    <w:rsid w:val="00AE43EB"/>
    <w:pPr>
      <w:tabs>
        <w:tab w:val="center" w:pos="4513"/>
        <w:tab w:val="right" w:pos="9026"/>
      </w:tabs>
      <w:spacing w:after="220" w:line="240" w:lineRule="auto"/>
    </w:pPr>
    <w:rPr>
      <w:rFonts w:eastAsiaTheme="minorHAnsi"/>
      <w:lang w:eastAsia="en-US"/>
    </w:rPr>
  </w:style>
  <w:style w:type="paragraph" w:customStyle="1" w:styleId="F8523E93FFA144408B56CB9B5A004C8A7">
    <w:name w:val="F8523E93FFA144408B56CB9B5A004C8A7"/>
    <w:rsid w:val="00AE43EB"/>
    <w:pPr>
      <w:tabs>
        <w:tab w:val="right" w:pos="9638"/>
      </w:tabs>
      <w:spacing w:after="0" w:line="240" w:lineRule="auto"/>
    </w:pPr>
    <w:rPr>
      <w:rFonts w:eastAsiaTheme="minorHAnsi"/>
      <w:sz w:val="16"/>
      <w:szCs w:val="16"/>
      <w:lang w:eastAsia="en-US"/>
    </w:rPr>
  </w:style>
  <w:style w:type="paragraph" w:customStyle="1" w:styleId="970C171108EB48EF965018773F7A3DF47">
    <w:name w:val="970C171108EB48EF965018773F7A3DF47"/>
    <w:rsid w:val="00AE43EB"/>
    <w:pPr>
      <w:tabs>
        <w:tab w:val="right" w:pos="9638"/>
      </w:tabs>
      <w:spacing w:after="0" w:line="240" w:lineRule="auto"/>
    </w:pPr>
    <w:rPr>
      <w:rFonts w:eastAsiaTheme="minorHAnsi"/>
      <w:sz w:val="16"/>
      <w:szCs w:val="16"/>
      <w:lang w:eastAsia="en-US"/>
    </w:rPr>
  </w:style>
  <w:style w:type="paragraph" w:customStyle="1" w:styleId="92BE380C6300430FA99802F71E4D3A477">
    <w:name w:val="92BE380C6300430FA99802F71E4D3A477"/>
    <w:rsid w:val="00AE43EB"/>
    <w:pPr>
      <w:tabs>
        <w:tab w:val="right" w:pos="9638"/>
      </w:tabs>
      <w:spacing w:after="0" w:line="240" w:lineRule="auto"/>
    </w:pPr>
    <w:rPr>
      <w:rFonts w:eastAsiaTheme="minorHAnsi"/>
      <w:sz w:val="16"/>
      <w:szCs w:val="16"/>
      <w:lang w:eastAsia="en-US"/>
    </w:rPr>
  </w:style>
  <w:style w:type="paragraph" w:customStyle="1" w:styleId="980E0BC09A6A44C5B61507D7633E751A10">
    <w:name w:val="980E0BC09A6A44C5B61507D7633E751A10"/>
    <w:rsid w:val="00046D04"/>
    <w:pPr>
      <w:spacing w:after="0" w:line="260" w:lineRule="atLeast"/>
    </w:pPr>
    <w:rPr>
      <w:rFonts w:eastAsiaTheme="minorHAnsi"/>
      <w:lang w:eastAsia="en-US"/>
    </w:rPr>
  </w:style>
  <w:style w:type="paragraph" w:customStyle="1" w:styleId="2B681AD5737D4922994A94D8D634100714">
    <w:name w:val="2B681AD5737D4922994A94D8D634100714"/>
    <w:rsid w:val="00046D04"/>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9">
    <w:name w:val="C9DD0238A61240D0AC199EA3542086C99"/>
    <w:rsid w:val="00046D04"/>
    <w:pPr>
      <w:spacing w:line="260" w:lineRule="atLeast"/>
      <w:jc w:val="center"/>
    </w:pPr>
    <w:rPr>
      <w:rFonts w:eastAsiaTheme="minorHAnsi"/>
      <w:b/>
      <w:caps/>
    </w:rPr>
  </w:style>
  <w:style w:type="paragraph" w:customStyle="1" w:styleId="EE96421251444573B6897316BD48B66F9">
    <w:name w:val="EE96421251444573B6897316BD48B66F9"/>
    <w:rsid w:val="00046D04"/>
    <w:pPr>
      <w:spacing w:line="260" w:lineRule="atLeast"/>
      <w:jc w:val="center"/>
    </w:pPr>
    <w:rPr>
      <w:rFonts w:eastAsiaTheme="minorHAnsi"/>
      <w:b/>
      <w:caps/>
    </w:rPr>
  </w:style>
  <w:style w:type="paragraph" w:customStyle="1" w:styleId="A39ACD97DB174FFCABCA97DB23D742F59">
    <w:name w:val="A39ACD97DB174FFCABCA97DB23D742F59"/>
    <w:rsid w:val="00046D04"/>
    <w:pPr>
      <w:spacing w:line="260" w:lineRule="atLeast"/>
      <w:jc w:val="center"/>
    </w:pPr>
    <w:rPr>
      <w:rFonts w:eastAsiaTheme="minorHAnsi"/>
      <w:b/>
      <w:caps/>
    </w:rPr>
  </w:style>
  <w:style w:type="paragraph" w:customStyle="1" w:styleId="184E481C97614ACFA5029A0F885399E61">
    <w:name w:val="184E481C97614ACFA5029A0F885399E61"/>
    <w:rsid w:val="00046D04"/>
    <w:pPr>
      <w:tabs>
        <w:tab w:val="center" w:pos="4513"/>
        <w:tab w:val="right" w:pos="9026"/>
      </w:tabs>
      <w:spacing w:after="220" w:line="240" w:lineRule="auto"/>
    </w:pPr>
    <w:rPr>
      <w:rFonts w:eastAsiaTheme="minorHAnsi"/>
      <w:lang w:eastAsia="en-US"/>
    </w:rPr>
  </w:style>
  <w:style w:type="paragraph" w:customStyle="1" w:styleId="F8523E93FFA144408B56CB9B5A004C8A8">
    <w:name w:val="F8523E93FFA144408B56CB9B5A004C8A8"/>
    <w:rsid w:val="00046D04"/>
    <w:pPr>
      <w:tabs>
        <w:tab w:val="right" w:pos="9638"/>
      </w:tabs>
      <w:spacing w:after="0" w:line="240" w:lineRule="auto"/>
    </w:pPr>
    <w:rPr>
      <w:rFonts w:eastAsiaTheme="minorHAnsi"/>
      <w:sz w:val="16"/>
      <w:szCs w:val="16"/>
      <w:lang w:eastAsia="en-US"/>
    </w:rPr>
  </w:style>
  <w:style w:type="paragraph" w:customStyle="1" w:styleId="970C171108EB48EF965018773F7A3DF48">
    <w:name w:val="970C171108EB48EF965018773F7A3DF48"/>
    <w:rsid w:val="00046D04"/>
    <w:pPr>
      <w:tabs>
        <w:tab w:val="right" w:pos="9638"/>
      </w:tabs>
      <w:spacing w:after="0" w:line="240" w:lineRule="auto"/>
    </w:pPr>
    <w:rPr>
      <w:rFonts w:eastAsiaTheme="minorHAnsi"/>
      <w:sz w:val="16"/>
      <w:szCs w:val="16"/>
      <w:lang w:eastAsia="en-US"/>
    </w:rPr>
  </w:style>
  <w:style w:type="paragraph" w:customStyle="1" w:styleId="92BE380C6300430FA99802F71E4D3A478">
    <w:name w:val="92BE380C6300430FA99802F71E4D3A478"/>
    <w:rsid w:val="00046D04"/>
    <w:pPr>
      <w:tabs>
        <w:tab w:val="right" w:pos="9638"/>
      </w:tabs>
      <w:spacing w:after="0" w:line="240" w:lineRule="auto"/>
    </w:pPr>
    <w:rPr>
      <w:rFonts w:eastAsiaTheme="minorHAnsi"/>
      <w:sz w:val="16"/>
      <w:szCs w:val="16"/>
      <w:lang w:eastAsia="en-US"/>
    </w:rPr>
  </w:style>
  <w:style w:type="paragraph" w:customStyle="1" w:styleId="9FB4270EBD1C47EE926BAB71D106919F">
    <w:name w:val="9FB4270EBD1C47EE926BAB71D106919F"/>
    <w:rsid w:val="00A8117D"/>
    <w:rPr>
      <w:lang w:val="en-US" w:eastAsia="en-US"/>
    </w:rPr>
  </w:style>
  <w:style w:type="paragraph" w:customStyle="1" w:styleId="E6D894B2731A45CB802A8E20FFA802A5">
    <w:name w:val="E6D894B2731A45CB802A8E20FFA802A5"/>
    <w:rsid w:val="00A8117D"/>
    <w:rPr>
      <w:lang w:val="en-US" w:eastAsia="en-US"/>
    </w:rPr>
  </w:style>
  <w:style w:type="paragraph" w:customStyle="1" w:styleId="E6D894B2731A45CB802A8E20FFA802A51">
    <w:name w:val="E6D894B2731A45CB802A8E20FFA802A51"/>
    <w:rsid w:val="00A8117D"/>
    <w:pPr>
      <w:spacing w:before="200" w:after="200" w:line="240" w:lineRule="atLeast"/>
      <w:contextualSpacing/>
      <w:jc w:val="center"/>
    </w:pPr>
    <w:rPr>
      <w:rFonts w:ascii="Arial" w:eastAsiaTheme="minorHAnsi" w:hAnsi="Arial"/>
      <w:bCs/>
      <w:color w:val="E7E6E6" w:themeColor="background2"/>
      <w:kern w:val="40"/>
      <w:sz w:val="80"/>
      <w:szCs w:val="8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F Black">
      <a:dk1>
        <a:srgbClr val="404040"/>
      </a:dk1>
      <a:lt1>
        <a:sysClr val="window" lastClr="FFFFFF"/>
      </a:lt1>
      <a:dk2>
        <a:srgbClr val="FFFFFF"/>
      </a:dk2>
      <a:lt2>
        <a:srgbClr val="1E1E1E"/>
      </a:lt2>
      <a:accent1>
        <a:srgbClr val="C7C8CA"/>
      </a:accent1>
      <a:accent2>
        <a:srgbClr val="939598"/>
      </a:accent2>
      <a:accent3>
        <a:srgbClr val="636466"/>
      </a:accent3>
      <a:accent4>
        <a:srgbClr val="CD202C"/>
      </a:accent4>
      <a:accent5>
        <a:srgbClr val="0055AA"/>
      </a:accent5>
      <a:accent6>
        <a:srgbClr val="FFAA22"/>
      </a:accent6>
      <a:hlink>
        <a:srgbClr val="0563C1"/>
      </a:hlink>
      <a:folHlink>
        <a:srgbClr val="954F72"/>
      </a:folHlink>
    </a:clrScheme>
    <a:fontScheme name="Global Fund">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king Document" ma:contentTypeID="0x010100DB1926E75FE6D448A94BA4FC7E9CAC0400EB82F3FDC0493647B521A7A424B5B012" ma:contentTypeVersion="8" ma:contentTypeDescription=" Working Document (0 years retention period)" ma:contentTypeScope="" ma:versionID="2e9cd3450a7698f9077782a12829d500">
  <xsd:schema xmlns:xsd="http://www.w3.org/2001/XMLSchema" xmlns:xs="http://www.w3.org/2001/XMLSchema" xmlns:p="http://schemas.microsoft.com/office/2006/metadata/properties" xmlns:ns2="a03ac030-8fc0-429e-a59d-aec15056182b" xmlns:ns3="http://schemas.microsoft.com/sharepoint/v4" xmlns:ns4="2219519e-2df8-4e68-9bc8-47ece53c639c" targetNamespace="http://schemas.microsoft.com/office/2006/metadata/properties" ma:root="true" ma:fieldsID="32a84c95add331215c70071da39b10c5" ns2:_="" ns3:_="" ns4:_="">
    <xsd:import namespace="a03ac030-8fc0-429e-a59d-aec15056182b"/>
    <xsd:import namespace="http://schemas.microsoft.com/sharepoint/v4"/>
    <xsd:import namespace="2219519e-2df8-4e68-9bc8-47ece53c639c"/>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MediaServiceMetadata" minOccurs="0"/>
                <xsd:element ref="ns4:MediaServiceFastMetadata" minOccurs="0"/>
                <xsd:element ref="ns4:MediaServiceAutoKeyPoints" minOccurs="0"/>
                <xsd:element ref="ns4:MediaServiceKeyPoints" minOccurs="0"/>
                <xsd:element ref="ns4: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ac030-8fc0-429e-a59d-aec1505618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9519e-2df8-4e68-9bc8-47ece53c639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ote" ma:index="16" nillable="true" ma:displayName="Note"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dataSource":"ColourThemes","displayColumn":"displayName","hideIfNoUserInteractionRequired":false,"distinct":true,"required":true,"defaultValue":"3","autoSelectFirstOption":false,"type":"dropDown","name":"ColourTheme","label":"Colour theme","helpTexts":{"prefix":"","postfix":""},"spacing":{},"fullyQualifiedName":"ColourTheme"},{"type":"heading","name":"ReportHeadingA","label":"Items for title page and footer text","helpTexts":{"prefix":"","postfix":""},"spacing":{},"fullyQualifiedName":"ReportHeadingA"},{"type":"instructions","name":"ReportInstructionsA","label":"The date, location and country will appear on the front sheet and in the footer of the main part of the document.","helpTexts":{"prefix":"","postfix":""},"spacing":{},"fullyQualifiedName":"ReportInstructionsA"},{"required":true,"type":"datePicker","name":"ReportDate","label":"Document date","helpTexts":{"prefix":"","postfix":""},"spacing":{},"fullyQualifiedName":"ReportDate"},{"required":true,"placeholder":"","lines":0,"defaultValue":"Geneva","type":"textBox","name":"ReportLocation","label":"Location","helpTexts":{"prefix":"","postfix":"The entry on the title page will not be updatable through this form."},"spacing":{},"fullyQualifiedName":"ReportLocation"},{"required":true,"placeholder":"","lines":0,"defaultValue":"Switzerland","type":"textBox","name":"ReportCountry","label":"Country","helpTexts":{"prefix":"","postfix":"The entry on the title page will not be updatable through this form."},"spacing":{},"fullyQualifiedName":"ReportCountry"}],"formDataEntries":[{"name":"ColourTheme","value":"PHxKaO3dKTWBZQ8bFHvPTA=="},{"name":"ReportLocation","value":"TWCzxzGaVv/noqKfmWFd3g=="},{"name":"ReportCountry","value":"nBoaWl++UMM5RwVrtZXUvg=="}]}]]></TemplafyFormConfiguration>
</file>

<file path=customXml/item4.xml><?xml version="1.0" encoding="utf-8"?>
<TemplafyTemplateConfiguration><![CDATA[{"elementsMetadata":[{"type":"richTextContentControl","id":"12bec168-d80f-4ad3-b827-e94b457987f4","elementConfiguration":{"format":"d MMMM yyyy","binding":"Form.ReportDate","removeAndKeepContent":false,"disableUpdates":false,"type":"date"}},{"type":"richTextContentControl","id":"fe01dc37-8ac1-4b47-a65d-6e38f83aed95","elementConfiguration":{"binding":"Form.ReportLocation","removeAndKeepContent":false,"disableUpdates":false,"type":"text"}},{"type":"richTextContentControl","id":"a25d74cb-6c4b-40fa-9ec1-ddd0a35393d3","elementConfiguration":{"binding":"Form.ReportCountry","removeAndKeepContent":false,"disableUpdates":false,"type":"text"}},{"type":"richTextContentControl","id":"df3addba-5040-40ab-9b8a-156bd632013e","elementConfiguration":{"binding":"Form.ReportLocation","removeAndKeepContent":false,"disableUpdates":false,"type":"text"}},{"type":"richTextContentControl","id":"c0e2ba74-3394-4c55-b0cc-2fc8a393067e","elementConfiguration":{"binding":"Form.ReportCountry","removeAndKeepContent":false,"disableUpdates":false,"type":"text"}},{"type":"richTextContentControl","id":"227033cd-8895-47c3-9030-98457c383c51","elementConfiguration":{"format":"d MMMM yyyy","binding":"Form.ReportDate","removeAndKeepContent":false,"disableUpdates":false,"type":"date"}},{"type":"richTextContentControl","id":"15b78cde-5b03-4a4d-a494-ede7e8fb7397","elementConfiguration":{"binding":"Form.ReportLocation","removeAndKeepContent":false,"disableUpdates":false,"type":"text"}},{"type":"richTextContentControl","id":"44816cc2-e3cd-4b49-ba70-f976ad9120f6","elementConfiguration":{"binding":"Form.ReportCountry","removeAndKeepContent":false,"disableUpdates":false,"type":"text"}}],"transformationConfigurations":[{"colorTheme":"{{Form.ColourTheme.ThemeName}}","originalColorThemeXml":"<a:clrScheme name=\"GF Green\" xmlns:a=\"http://schemas.openxmlformats.org/drawingml/2006/main\"><a:dk1><a:srgbClr val=\"404040\" /></a:dk1><a:lt1><a:sysClr val=\"window\" lastClr=\"FFFFFF\" /></a:lt1><a:dk2><a:srgbClr val=\"F0F8EA\" /></a:dk2><a:lt2><a:srgbClr val=\"69BE28\" /></a:lt2><a:accent1><a:srgbClr val=\"D4EAC0\" /></a:accent1><a:accent2><a:srgbClr val=\"B7DD97\" /></a:accent2><a:accent3><a:srgbClr val=\"8CC95A\" /></a:accent3><a:accent4><a:srgbClr val=\"00B0CA\" /></a:accent4><a:accent5><a:srgbClr val=\"9A996E\" /></a:accent5><a:accent6><a:srgbClr val=\"9A996E\" /></a:accent6><a:hlink><a:srgbClr val=\"0563C1\" /></a:hlink><a:folHlink><a:srgbClr val=\"954F72\" /></a:folHlink></a:clrScheme>","disableUpdates":false,"type":"colorTheme"},{"propertyName":"Language","propertyValue":"en-US","disableUpdates":false,"type":"customDocumentProperty"},{"language":"en-US","disableUpdates":false,"type":"proofingLanguage"}],"isBaseTemplate":false,"templateName":"Report 1 Column","templateDescription":"","enableDocumentContentUpdater":true,"version":"1.3"}]]></TemplafyTemplateConfigura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a03ac030-8fc0-429e-a59d-aec15056182b">3NAZ7T4E3CZ3-539361286-731</_dlc_DocId>
    <_dlc_DocIdUrl xmlns="a03ac030-8fc0-429e-a59d-aec15056182b">
      <Url>https://tgf.sharepoint.com/sites/TSA2F1/A2FD/_layouts/15/DocIdRedir.aspx?ID=3NAZ7T4E3CZ3-539361286-731</Url>
      <Description>3NAZ7T4E3CZ3-539361286-731</Description>
    </_dlc_DocIdUrl>
    <Note xmlns="2219519e-2df8-4e68-9bc8-47ece53c639c"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10F86-9454-464A-B6A9-12945F3ED480}">
  <ds:schemaRefs>
    <ds:schemaRef ds:uri="http://schemas.microsoft.com/sharepoint/v3/contenttype/forms"/>
  </ds:schemaRefs>
</ds:datastoreItem>
</file>

<file path=customXml/itemProps2.xml><?xml version="1.0" encoding="utf-8"?>
<ds:datastoreItem xmlns:ds="http://schemas.openxmlformats.org/officeDocument/2006/customXml" ds:itemID="{BE267485-D719-4E6A-BAB2-608726B81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ac030-8fc0-429e-a59d-aec15056182b"/>
    <ds:schemaRef ds:uri="http://schemas.microsoft.com/sharepoint/v4"/>
    <ds:schemaRef ds:uri="2219519e-2df8-4e68-9bc8-47ece53c6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D8980-C987-48AF-BFD7-20D6444F7008}">
  <ds:schemaRefs/>
</ds:datastoreItem>
</file>

<file path=customXml/itemProps4.xml><?xml version="1.0" encoding="utf-8"?>
<ds:datastoreItem xmlns:ds="http://schemas.openxmlformats.org/officeDocument/2006/customXml" ds:itemID="{A7AE4FFB-B547-437A-A56E-613A8F346671}">
  <ds:schemaRefs/>
</ds:datastoreItem>
</file>

<file path=customXml/itemProps5.xml><?xml version="1.0" encoding="utf-8"?>
<ds:datastoreItem xmlns:ds="http://schemas.openxmlformats.org/officeDocument/2006/customXml" ds:itemID="{189118EE-6514-479C-9377-81C10756DC9A}">
  <ds:schemaRefs>
    <ds:schemaRef ds:uri="http://schemas.microsoft.com/sharepoint/events"/>
  </ds:schemaRefs>
</ds:datastoreItem>
</file>

<file path=customXml/itemProps6.xml><?xml version="1.0" encoding="utf-8"?>
<ds:datastoreItem xmlns:ds="http://schemas.openxmlformats.org/officeDocument/2006/customXml" ds:itemID="{B1B133AE-9B08-49ED-96FC-CC948069E978}">
  <ds:schemaRefs>
    <ds:schemaRef ds:uri="http://schemas.microsoft.com/office/2006/metadata/properties"/>
    <ds:schemaRef ds:uri="http://schemas.microsoft.com/office/infopath/2007/PartnerControls"/>
    <ds:schemaRef ds:uri="http://schemas.microsoft.com/sharepoint/v4"/>
    <ds:schemaRef ds:uri="a03ac030-8fc0-429e-a59d-aec15056182b"/>
    <ds:schemaRef ds:uri="2219519e-2df8-4e68-9bc8-47ece53c639c"/>
  </ds:schemaRefs>
</ds:datastoreItem>
</file>

<file path=customXml/itemProps7.xml><?xml version="1.0" encoding="utf-8"?>
<ds:datastoreItem xmlns:ds="http://schemas.openxmlformats.org/officeDocument/2006/customXml" ds:itemID="{02EF6CAA-14F1-4E01-A0A6-7A540107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Report Template 1 Column</Template>
  <TotalTime>0</TotalTime>
  <Pages>6</Pages>
  <Words>17738</Words>
  <Characters>101107</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Phillips</dc:creator>
  <cp:keywords/>
  <dc:description/>
  <cp:lastModifiedBy>HP</cp:lastModifiedBy>
  <cp:revision>2</cp:revision>
  <cp:lastPrinted>2019-10-25T11:25:00Z</cp:lastPrinted>
  <dcterms:created xsi:type="dcterms:W3CDTF">2020-03-20T05:57:00Z</dcterms:created>
  <dcterms:modified xsi:type="dcterms:W3CDTF">2020-03-20T05:57:00Z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theglobalfund</vt:lpwstr>
  </property>
  <property fmtid="{D5CDD505-2E9C-101B-9397-08002B2CF9AE}" pid="3" name="TemplafyTemplateId">
    <vt:lpwstr>636857370821766504</vt:lpwstr>
  </property>
  <property fmtid="{D5CDD505-2E9C-101B-9397-08002B2CF9AE}" pid="4" name="TemplafyUserProfileId">
    <vt:lpwstr>636740640861854487</vt:lpwstr>
  </property>
  <property fmtid="{D5CDD505-2E9C-101B-9397-08002B2CF9AE}" pid="5" name="TemplafyLanguageCode">
    <vt:lpwstr>en-US</vt:lpwstr>
  </property>
  <property fmtid="{D5CDD505-2E9C-101B-9397-08002B2CF9AE}" pid="6" name="Language">
    <vt:lpwstr>en-US</vt:lpwstr>
  </property>
  <property fmtid="{D5CDD505-2E9C-101B-9397-08002B2CF9AE}" pid="7" name="ContentTypeId">
    <vt:lpwstr>0x010100DB1926E75FE6D448A94BA4FC7E9CAC0400EB82F3FDC0493647B521A7A424B5B012</vt:lpwstr>
  </property>
  <property fmtid="{D5CDD505-2E9C-101B-9397-08002B2CF9AE}" pid="8" name="_dlc_DocId">
    <vt:lpwstr>3NAZ7T4E3CZ3-2063355578-4233</vt:lpwstr>
  </property>
  <property fmtid="{D5CDD505-2E9C-101B-9397-08002B2CF9AE}" pid="9" name="_dlc_DocIdUrl">
    <vt:lpwstr>https://tgf.sharepoint.com/sites/TSA2F1/A2FT/_layouts/15/DocIdRedir.aspx?ID=3NAZ7T4E3CZ3-2063355578-4233, 3NAZ7T4E3CZ3-2063355578-4233</vt:lpwstr>
  </property>
  <property fmtid="{D5CDD505-2E9C-101B-9397-08002B2CF9AE}" pid="10" name="_dlc_DocIdItemGuid">
    <vt:lpwstr>9c606bba-bd6b-4883-9349-5ea7ef99f2cf</vt:lpwstr>
  </property>
  <property fmtid="{D5CDD505-2E9C-101B-9397-08002B2CF9AE}" pid="11" name="Order">
    <vt:r8>393300</vt:r8>
  </property>
</Properties>
</file>